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75CDA">
      <w:pPr>
        <w:shd w:val="clear"/>
        <w:rPr>
          <w:rFonts w:hint="eastAsia" w:ascii="宋体" w:hAnsi="宋体" w:eastAsia="宋体" w:cs="宋体"/>
          <w:color w:val="auto"/>
          <w:highlight w:val="none"/>
        </w:rPr>
      </w:pPr>
    </w:p>
    <w:p w14:paraId="29790860">
      <w:pPr>
        <w:shd w:val="clear"/>
        <w:topLinePunct/>
        <w:autoSpaceDE w:val="0"/>
        <w:autoSpaceDN w:val="0"/>
        <w:spacing w:line="240" w:lineRule="auto"/>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磋商文件</w:t>
      </w:r>
    </w:p>
    <w:p w14:paraId="6D12B546">
      <w:pPr>
        <w:shd w:val="clear"/>
        <w:tabs>
          <w:tab w:val="center" w:pos="4427"/>
          <w:tab w:val="left" w:pos="7120"/>
        </w:tabs>
        <w:topLinePunct/>
        <w:autoSpaceDE w:val="0"/>
        <w:autoSpaceDN w:val="0"/>
        <w:snapToGrid w:val="0"/>
        <w:spacing w:line="240" w:lineRule="auto"/>
        <w:jc w:val="center"/>
        <w:outlineLvl w:val="0"/>
        <w:rPr>
          <w:rFonts w:hint="eastAsia" w:ascii="宋体" w:hAnsi="宋体" w:eastAsia="宋体" w:cs="宋体"/>
          <w:b/>
          <w:bCs w:val="0"/>
          <w:color w:val="auto"/>
          <w:sz w:val="44"/>
          <w:szCs w:val="44"/>
          <w:highlight w:val="none"/>
          <w:lang w:eastAsia="zh-CN"/>
        </w:rPr>
      </w:pPr>
      <w:bookmarkStart w:id="0" w:name="_Toc19706"/>
      <w:bookmarkStart w:id="1" w:name="_Toc25030"/>
      <w:bookmarkStart w:id="114" w:name="_GoBack"/>
      <w:bookmarkEnd w:id="114"/>
      <w:r>
        <w:rPr>
          <w:rFonts w:hint="eastAsia" w:ascii="宋体" w:hAnsi="宋体" w:eastAsia="宋体" w:cs="宋体"/>
          <w:b/>
          <w:bCs w:val="0"/>
          <w:color w:val="auto"/>
          <w:sz w:val="30"/>
          <w:szCs w:val="30"/>
          <w:highlight w:val="none"/>
        </w:rPr>
        <w:t>（商务部分）</w:t>
      </w:r>
      <w:bookmarkEnd w:id="0"/>
      <w:bookmarkEnd w:id="1"/>
    </w:p>
    <w:p w14:paraId="36711AF0">
      <w:pPr>
        <w:shd w:val="clear"/>
        <w:bidi w:val="0"/>
        <w:rPr>
          <w:rFonts w:hint="eastAsia" w:ascii="宋体" w:hAnsi="宋体" w:eastAsia="宋体" w:cs="宋体"/>
          <w:b/>
          <w:bCs w:val="0"/>
          <w:color w:val="auto"/>
          <w:sz w:val="44"/>
          <w:szCs w:val="44"/>
          <w:highlight w:val="none"/>
        </w:rPr>
      </w:pPr>
    </w:p>
    <w:p w14:paraId="12C52BA3">
      <w:pPr>
        <w:pStyle w:val="20"/>
        <w:shd w:val="clear"/>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14:paraId="04579705">
      <w:pPr>
        <w:pStyle w:val="16"/>
        <w:shd w:val="clear"/>
        <w:rPr>
          <w:rFonts w:hint="eastAsia" w:ascii="宋体" w:hAnsi="宋体" w:eastAsia="宋体" w:cs="宋体"/>
          <w:color w:val="auto"/>
          <w:highlight w:val="none"/>
        </w:rPr>
      </w:pPr>
    </w:p>
    <w:p w14:paraId="680D789B">
      <w:pPr>
        <w:pStyle w:val="16"/>
        <w:shd w:val="clear"/>
        <w:tabs>
          <w:tab w:val="left" w:pos="5454"/>
        </w:tabs>
        <w:rPr>
          <w:rFonts w:hint="eastAsia" w:ascii="宋体" w:hAnsi="宋体" w:eastAsia="宋体" w:cs="宋体"/>
          <w:color w:val="auto"/>
          <w:highlight w:val="none"/>
        </w:rPr>
      </w:pPr>
      <w:r>
        <w:rPr>
          <w:rFonts w:hint="eastAsia" w:ascii="宋体" w:hAnsi="宋体" w:eastAsia="宋体" w:cs="宋体"/>
          <w:color w:val="auto"/>
          <w:highlight w:val="none"/>
          <w:lang w:eastAsia="zh-CN"/>
        </w:rPr>
        <w:tab/>
      </w:r>
    </w:p>
    <w:p w14:paraId="3AAA4539">
      <w:pPr>
        <w:pStyle w:val="16"/>
        <w:shd w:val="clear"/>
        <w:rPr>
          <w:rFonts w:hint="eastAsia" w:ascii="宋体" w:hAnsi="宋体" w:eastAsia="宋体" w:cs="宋体"/>
          <w:color w:val="auto"/>
          <w:highlight w:val="none"/>
        </w:rPr>
      </w:pPr>
    </w:p>
    <w:p w14:paraId="6829DF01">
      <w:pPr>
        <w:shd w:val="clear"/>
        <w:bidi w:val="0"/>
        <w:rPr>
          <w:rFonts w:hint="eastAsia" w:ascii="宋体" w:hAnsi="宋体" w:eastAsia="宋体" w:cs="宋体"/>
          <w:color w:val="auto"/>
          <w:highlight w:val="none"/>
        </w:rPr>
      </w:pPr>
    </w:p>
    <w:p w14:paraId="41535451">
      <w:pPr>
        <w:keepNext w:val="0"/>
        <w:keepLines w:val="0"/>
        <w:pageBreakBefore w:val="0"/>
        <w:widowControl w:val="0"/>
        <w:shd w:val="clear"/>
        <w:kinsoku/>
        <w:wordWrap/>
        <w:overflowPunct/>
        <w:topLinePunct w:val="0"/>
        <w:autoSpaceDE/>
        <w:autoSpaceDN/>
        <w:bidi w:val="0"/>
        <w:adjustRightInd/>
        <w:snapToGrid/>
        <w:spacing w:line="480" w:lineRule="auto"/>
        <w:ind w:left="1959" w:leftChars="266" w:hanging="1400" w:hangingChars="500"/>
        <w:jc w:val="both"/>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rPr>
        <w:t>项目名称：</w:t>
      </w:r>
      <w:r>
        <w:rPr>
          <w:rFonts w:hint="eastAsia" w:ascii="宋体" w:hAnsi="宋体" w:cs="宋体"/>
          <w:b w:val="0"/>
          <w:bCs w:val="0"/>
          <w:color w:val="auto"/>
          <w:sz w:val="28"/>
          <w:szCs w:val="28"/>
          <w:highlight w:val="none"/>
          <w:u w:val="none"/>
          <w:lang w:eastAsia="zh-CN"/>
        </w:rPr>
        <w:t>国家税务总局南宁市西乡塘区税务局2026年物业管理项目</w:t>
      </w:r>
    </w:p>
    <w:p w14:paraId="54DA5E22">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项目编号：FC（ZB3）2026012C</w:t>
      </w:r>
    </w:p>
    <w:p w14:paraId="31ED61C0">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采 购 人：</w:t>
      </w:r>
      <w:r>
        <w:rPr>
          <w:rFonts w:hint="eastAsia" w:ascii="宋体" w:hAnsi="宋体" w:cs="宋体"/>
          <w:color w:val="auto"/>
          <w:sz w:val="28"/>
          <w:szCs w:val="28"/>
          <w:highlight w:val="none"/>
          <w:u w:val="none"/>
          <w:lang w:eastAsia="zh-CN"/>
        </w:rPr>
        <w:t>国家税务总局南宁市西乡塘区税务局</w:t>
      </w:r>
    </w:p>
    <w:p w14:paraId="00CA14A1">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采购代理机构：广西建设工程机电设备招标中心有限公司</w:t>
      </w:r>
    </w:p>
    <w:p w14:paraId="6814F21F">
      <w:pPr>
        <w:shd w:val="clear"/>
        <w:topLinePunct/>
        <w:autoSpaceDE w:val="0"/>
        <w:autoSpaceDN w:val="0"/>
        <w:spacing w:line="460" w:lineRule="exact"/>
        <w:rPr>
          <w:rFonts w:hint="eastAsia" w:ascii="宋体" w:hAnsi="宋体" w:eastAsia="宋体" w:cs="宋体"/>
          <w:b/>
          <w:color w:val="auto"/>
          <w:sz w:val="28"/>
          <w:szCs w:val="28"/>
          <w:highlight w:val="none"/>
          <w:u w:val="none"/>
        </w:rPr>
      </w:pPr>
    </w:p>
    <w:p w14:paraId="4D043016">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国家税务总局南宁市西乡塘区税务局</w:t>
      </w:r>
    </w:p>
    <w:p w14:paraId="096D94C3">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8"/>
          <w:szCs w:val="28"/>
          <w:highlight w:val="none"/>
          <w:u w:val="none"/>
          <w:lang w:val="en-US" w:eastAsia="zh-CN"/>
        </w:rPr>
        <w:t>2026年2月2日</w:t>
      </w:r>
    </w:p>
    <w:p w14:paraId="74D24020">
      <w:pPr>
        <w:pStyle w:val="45"/>
        <w:shd w:val="clear"/>
        <w:rPr>
          <w:rFonts w:hint="eastAsia" w:ascii="宋体" w:hAnsi="宋体" w:eastAsia="宋体" w:cs="宋体"/>
          <w:color w:val="auto"/>
          <w:highlight w:val="none"/>
        </w:rPr>
        <w:sectPr>
          <w:footerReference r:id="rId8" w:type="first"/>
          <w:footerReference r:id="rId6" w:type="default"/>
          <w:headerReference r:id="rId5" w:type="even"/>
          <w:footerReference r:id="rId7" w:type="even"/>
          <w:pgSz w:w="11906" w:h="16838"/>
          <w:pgMar w:top="1440" w:right="1954" w:bottom="1440" w:left="1752" w:header="851" w:footer="992" w:gutter="0"/>
          <w:cols w:space="720" w:num="1"/>
          <w:titlePg/>
          <w:docGrid w:type="lines" w:linePitch="312" w:charSpace="0"/>
        </w:sectPr>
      </w:pPr>
    </w:p>
    <w:p w14:paraId="0F81060C">
      <w:pPr>
        <w:pStyle w:val="45"/>
        <w:shd w:val="clear"/>
        <w:rPr>
          <w:rFonts w:hint="eastAsia" w:ascii="宋体" w:hAnsi="宋体" w:eastAsia="宋体" w:cs="宋体"/>
          <w:color w:val="auto"/>
          <w:highlight w:val="none"/>
        </w:rPr>
      </w:pPr>
    </w:p>
    <w:p w14:paraId="610DFCB0">
      <w:pPr>
        <w:shd w:val="clear"/>
        <w:spacing w:before="0" w:beforeAutospacing="0" w:after="0" w:afterAutospacing="0" w:line="360" w:lineRule="auto"/>
        <w:jc w:val="center"/>
        <w:outlineLvl w:val="0"/>
        <w:rPr>
          <w:rFonts w:hint="eastAsia" w:ascii="宋体" w:hAnsi="宋体" w:eastAsia="宋体" w:cs="宋体"/>
          <w:color w:val="auto"/>
          <w:sz w:val="28"/>
          <w:szCs w:val="28"/>
          <w:highlight w:val="none"/>
        </w:rPr>
      </w:pPr>
      <w:bookmarkStart w:id="2" w:name="_Toc20894"/>
      <w:bookmarkStart w:id="3" w:name="_Toc11815"/>
      <w:r>
        <w:rPr>
          <w:rFonts w:hint="eastAsia" w:ascii="宋体" w:hAnsi="宋体" w:eastAsia="宋体" w:cs="宋体"/>
          <w:color w:val="auto"/>
          <w:sz w:val="28"/>
          <w:szCs w:val="28"/>
          <w:highlight w:val="none"/>
          <w:lang w:val="zh-CN"/>
        </w:rPr>
        <w:t>目  录</w:t>
      </w:r>
      <w:bookmarkEnd w:id="2"/>
      <w:bookmarkEnd w:id="3"/>
    </w:p>
    <w:p w14:paraId="1337A1F0">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_Toc19706 </w:instrText>
      </w:r>
      <w:r>
        <w:rPr>
          <w:rFonts w:hint="eastAsia" w:ascii="宋体" w:hAnsi="宋体" w:eastAsia="宋体" w:cs="宋体"/>
          <w:color w:val="auto"/>
          <w:highlight w:val="none"/>
        </w:rPr>
        <w:fldChar w:fldCharType="separate"/>
      </w:r>
      <w:r>
        <w:rPr>
          <w:rFonts w:hint="eastAsia" w:ascii="宋体" w:hAnsi="宋体" w:eastAsia="宋体" w:cs="宋体"/>
          <w:bCs w:val="0"/>
          <w:color w:val="auto"/>
          <w:szCs w:val="30"/>
          <w:highlight w:val="none"/>
        </w:rPr>
        <w:t>（商务部分）</w:t>
      </w:r>
      <w:r>
        <w:rPr>
          <w:color w:val="auto"/>
          <w:highlight w:val="none"/>
        </w:rPr>
        <w:tab/>
      </w:r>
      <w:r>
        <w:rPr>
          <w:color w:val="auto"/>
          <w:highlight w:val="none"/>
        </w:rPr>
        <w:fldChar w:fldCharType="begin"/>
      </w:r>
      <w:r>
        <w:rPr>
          <w:color w:val="auto"/>
          <w:highlight w:val="none"/>
        </w:rPr>
        <w:instrText xml:space="preserve"> PAGEREF _Toc19706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14:paraId="7A89EF74">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_Toc11815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8"/>
          <w:highlight w:val="none"/>
          <w:lang w:val="zh-CN"/>
        </w:rPr>
        <w:t>目  录</w:t>
      </w:r>
      <w:r>
        <w:rPr>
          <w:color w:val="auto"/>
          <w:highlight w:val="none"/>
        </w:rPr>
        <w:tab/>
      </w:r>
      <w:r>
        <w:rPr>
          <w:color w:val="auto"/>
          <w:highlight w:val="none"/>
        </w:rPr>
        <w:fldChar w:fldCharType="begin"/>
      </w:r>
      <w:r>
        <w:rPr>
          <w:color w:val="auto"/>
          <w:highlight w:val="none"/>
        </w:rPr>
        <w:instrText xml:space="preserve"> PAGEREF _Toc11815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14:paraId="57960D50">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_Toc30224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第一章  磋商邀请</w:t>
      </w:r>
      <w:r>
        <w:rPr>
          <w:color w:val="auto"/>
          <w:highlight w:val="none"/>
        </w:rPr>
        <w:tab/>
      </w:r>
      <w:r>
        <w:rPr>
          <w:color w:val="auto"/>
          <w:highlight w:val="none"/>
        </w:rPr>
        <w:fldChar w:fldCharType="begin"/>
      </w:r>
      <w:r>
        <w:rPr>
          <w:color w:val="auto"/>
          <w:highlight w:val="none"/>
        </w:rPr>
        <w:instrText xml:space="preserve"> PAGEREF _Toc30224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highlight w:val="none"/>
        </w:rPr>
        <w:fldChar w:fldCharType="end"/>
      </w:r>
    </w:p>
    <w:p w14:paraId="7910041E">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_Toc17206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第二章</w:t>
      </w:r>
      <w:r>
        <w:rPr>
          <w:rFonts w:hint="eastAsia" w:ascii="宋体" w:hAnsi="宋体" w:eastAsia="宋体" w:cs="宋体"/>
          <w:bCs/>
          <w:color w:val="auto"/>
          <w:szCs w:val="28"/>
          <w:highlight w:val="none"/>
          <w:lang w:val="en-US" w:eastAsia="zh-CN"/>
        </w:rPr>
        <w:t xml:space="preserve">  </w:t>
      </w:r>
      <w:r>
        <w:rPr>
          <w:rFonts w:hint="eastAsia" w:ascii="宋体" w:hAnsi="宋体" w:eastAsia="宋体" w:cs="宋体"/>
          <w:bCs/>
          <w:color w:val="auto"/>
          <w:szCs w:val="28"/>
          <w:highlight w:val="none"/>
        </w:rPr>
        <w:t>供应商须知</w:t>
      </w:r>
      <w:r>
        <w:rPr>
          <w:color w:val="auto"/>
          <w:highlight w:val="none"/>
        </w:rPr>
        <w:tab/>
      </w:r>
      <w:r>
        <w:rPr>
          <w:color w:val="auto"/>
          <w:highlight w:val="none"/>
        </w:rPr>
        <w:fldChar w:fldCharType="begin"/>
      </w:r>
      <w:r>
        <w:rPr>
          <w:color w:val="auto"/>
          <w:highlight w:val="none"/>
        </w:rPr>
        <w:instrText xml:space="preserve"> PAGEREF _Toc17206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503CE0E4">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供应商须知前附表</w:t>
      </w:r>
      <w:r>
        <w:rPr>
          <w:color w:val="auto"/>
          <w:highlight w:val="none"/>
        </w:rPr>
        <w:tab/>
      </w:r>
      <w:r>
        <w:rPr>
          <w:color w:val="auto"/>
          <w:highlight w:val="none"/>
        </w:rPr>
        <w:fldChar w:fldCharType="begin"/>
      </w:r>
      <w:r>
        <w:rPr>
          <w:color w:val="auto"/>
          <w:highlight w:val="none"/>
        </w:rPr>
        <w:instrText xml:space="preserve"> PAGEREF _Toc30612 \h </w:instrText>
      </w:r>
      <w:r>
        <w:rPr>
          <w:color w:val="auto"/>
          <w:highlight w:val="none"/>
        </w:rPr>
        <w:fldChar w:fldCharType="separate"/>
      </w:r>
      <w:r>
        <w:rPr>
          <w:color w:val="auto"/>
          <w:highlight w:val="none"/>
        </w:rPr>
        <w:t>4</w:t>
      </w:r>
      <w:r>
        <w:rPr>
          <w:color w:val="auto"/>
          <w:highlight w:val="none"/>
        </w:rPr>
        <w:fldChar w:fldCharType="end"/>
      </w:r>
      <w:r>
        <w:rPr>
          <w:rFonts w:hint="eastAsia" w:ascii="宋体" w:hAnsi="宋体" w:eastAsia="宋体" w:cs="宋体"/>
          <w:color w:val="auto"/>
          <w:highlight w:val="none"/>
        </w:rPr>
        <w:fldChar w:fldCharType="end"/>
      </w:r>
    </w:p>
    <w:p w14:paraId="41CF2C78">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_Toc10168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_Toc10168 \h </w:instrText>
      </w:r>
      <w:r>
        <w:rPr>
          <w:color w:val="auto"/>
          <w:highlight w:val="none"/>
        </w:rPr>
        <w:fldChar w:fldCharType="separate"/>
      </w:r>
      <w:r>
        <w:rPr>
          <w:color w:val="auto"/>
          <w:highlight w:val="none"/>
        </w:rPr>
        <w:t>14</w:t>
      </w:r>
      <w:r>
        <w:rPr>
          <w:color w:val="auto"/>
          <w:highlight w:val="none"/>
        </w:rPr>
        <w:fldChar w:fldCharType="end"/>
      </w:r>
      <w:r>
        <w:rPr>
          <w:rFonts w:hint="eastAsia" w:ascii="宋体" w:hAnsi="宋体" w:eastAsia="宋体" w:cs="宋体"/>
          <w:color w:val="auto"/>
          <w:highlight w:val="none"/>
        </w:rPr>
        <w:fldChar w:fldCharType="end"/>
      </w:r>
    </w:p>
    <w:p w14:paraId="68674E8F">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_Toc3457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二、采购文件</w:t>
      </w:r>
      <w:r>
        <w:rPr>
          <w:color w:val="auto"/>
          <w:highlight w:val="none"/>
        </w:rPr>
        <w:tab/>
      </w:r>
      <w:r>
        <w:rPr>
          <w:color w:val="auto"/>
          <w:highlight w:val="none"/>
        </w:rPr>
        <w:fldChar w:fldCharType="begin"/>
      </w:r>
      <w:r>
        <w:rPr>
          <w:color w:val="auto"/>
          <w:highlight w:val="none"/>
        </w:rPr>
        <w:instrText xml:space="preserve"> PAGEREF _Toc3457 \h </w:instrText>
      </w:r>
      <w:r>
        <w:rPr>
          <w:color w:val="auto"/>
          <w:highlight w:val="none"/>
        </w:rPr>
        <w:fldChar w:fldCharType="separate"/>
      </w:r>
      <w:r>
        <w:rPr>
          <w:color w:val="auto"/>
          <w:highlight w:val="none"/>
        </w:rPr>
        <w:t>15</w:t>
      </w:r>
      <w:r>
        <w:rPr>
          <w:color w:val="auto"/>
          <w:highlight w:val="none"/>
        </w:rPr>
        <w:fldChar w:fldCharType="end"/>
      </w:r>
      <w:r>
        <w:rPr>
          <w:rFonts w:hint="eastAsia" w:ascii="宋体" w:hAnsi="宋体" w:eastAsia="宋体" w:cs="宋体"/>
          <w:color w:val="auto"/>
          <w:highlight w:val="none"/>
        </w:rPr>
        <w:fldChar w:fldCharType="end"/>
      </w:r>
    </w:p>
    <w:p w14:paraId="0964D069">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_Toc8122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三、响应文件</w:t>
      </w:r>
      <w:r>
        <w:rPr>
          <w:color w:val="auto"/>
          <w:highlight w:val="none"/>
        </w:rPr>
        <w:tab/>
      </w:r>
      <w:r>
        <w:rPr>
          <w:color w:val="auto"/>
          <w:highlight w:val="none"/>
        </w:rPr>
        <w:fldChar w:fldCharType="begin"/>
      </w:r>
      <w:r>
        <w:rPr>
          <w:color w:val="auto"/>
          <w:highlight w:val="none"/>
        </w:rPr>
        <w:instrText xml:space="preserve"> PAGEREF _Toc8122 \h </w:instrText>
      </w:r>
      <w:r>
        <w:rPr>
          <w:color w:val="auto"/>
          <w:highlight w:val="none"/>
        </w:rPr>
        <w:fldChar w:fldCharType="separate"/>
      </w:r>
      <w:r>
        <w:rPr>
          <w:color w:val="auto"/>
          <w:highlight w:val="none"/>
        </w:rPr>
        <w:t>16</w:t>
      </w:r>
      <w:r>
        <w:rPr>
          <w:color w:val="auto"/>
          <w:highlight w:val="none"/>
        </w:rPr>
        <w:fldChar w:fldCharType="end"/>
      </w:r>
      <w:r>
        <w:rPr>
          <w:rFonts w:hint="eastAsia" w:ascii="宋体" w:hAnsi="宋体" w:eastAsia="宋体" w:cs="宋体"/>
          <w:color w:val="auto"/>
          <w:highlight w:val="none"/>
        </w:rPr>
        <w:fldChar w:fldCharType="end"/>
      </w:r>
    </w:p>
    <w:p w14:paraId="74382589">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_Toc27586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四、响应文件递交</w:t>
      </w:r>
      <w:r>
        <w:rPr>
          <w:color w:val="auto"/>
          <w:highlight w:val="none"/>
        </w:rPr>
        <w:tab/>
      </w:r>
      <w:r>
        <w:rPr>
          <w:color w:val="auto"/>
          <w:highlight w:val="none"/>
        </w:rPr>
        <w:fldChar w:fldCharType="begin"/>
      </w:r>
      <w:r>
        <w:rPr>
          <w:color w:val="auto"/>
          <w:highlight w:val="none"/>
        </w:rPr>
        <w:instrText xml:space="preserve"> PAGEREF _Toc27586 \h </w:instrText>
      </w:r>
      <w:r>
        <w:rPr>
          <w:color w:val="auto"/>
          <w:highlight w:val="none"/>
        </w:rPr>
        <w:fldChar w:fldCharType="separate"/>
      </w:r>
      <w:r>
        <w:rPr>
          <w:color w:val="auto"/>
          <w:highlight w:val="none"/>
        </w:rPr>
        <w:t>17</w:t>
      </w:r>
      <w:r>
        <w:rPr>
          <w:color w:val="auto"/>
          <w:highlight w:val="none"/>
        </w:rPr>
        <w:fldChar w:fldCharType="end"/>
      </w:r>
      <w:r>
        <w:rPr>
          <w:rFonts w:hint="eastAsia" w:ascii="宋体" w:hAnsi="宋体" w:eastAsia="宋体" w:cs="宋体"/>
          <w:color w:val="auto"/>
          <w:highlight w:val="none"/>
        </w:rPr>
        <w:fldChar w:fldCharType="end"/>
      </w:r>
    </w:p>
    <w:p w14:paraId="0427B010">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_Toc22340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五、磋商与评审</w:t>
      </w:r>
      <w:r>
        <w:rPr>
          <w:color w:val="auto"/>
          <w:highlight w:val="none"/>
        </w:rPr>
        <w:tab/>
      </w:r>
      <w:r>
        <w:rPr>
          <w:color w:val="auto"/>
          <w:highlight w:val="none"/>
        </w:rPr>
        <w:fldChar w:fldCharType="begin"/>
      </w:r>
      <w:r>
        <w:rPr>
          <w:color w:val="auto"/>
          <w:highlight w:val="none"/>
        </w:rPr>
        <w:instrText xml:space="preserve"> PAGEREF _Toc22340 \h </w:instrText>
      </w:r>
      <w:r>
        <w:rPr>
          <w:color w:val="auto"/>
          <w:highlight w:val="none"/>
        </w:rPr>
        <w:fldChar w:fldCharType="separate"/>
      </w:r>
      <w:r>
        <w:rPr>
          <w:color w:val="auto"/>
          <w:highlight w:val="none"/>
        </w:rPr>
        <w:t>18</w:t>
      </w:r>
      <w:r>
        <w:rPr>
          <w:color w:val="auto"/>
          <w:highlight w:val="none"/>
        </w:rPr>
        <w:fldChar w:fldCharType="end"/>
      </w:r>
      <w:r>
        <w:rPr>
          <w:rFonts w:hint="eastAsia" w:ascii="宋体" w:hAnsi="宋体" w:eastAsia="宋体" w:cs="宋体"/>
          <w:color w:val="auto"/>
          <w:highlight w:val="none"/>
        </w:rPr>
        <w:fldChar w:fldCharType="end"/>
      </w:r>
    </w:p>
    <w:p w14:paraId="273E1B12">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_Toc24289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六、成交和合同</w:t>
      </w:r>
      <w:r>
        <w:rPr>
          <w:color w:val="auto"/>
          <w:highlight w:val="none"/>
        </w:rPr>
        <w:tab/>
      </w:r>
      <w:r>
        <w:rPr>
          <w:color w:val="auto"/>
          <w:highlight w:val="none"/>
        </w:rPr>
        <w:fldChar w:fldCharType="begin"/>
      </w:r>
      <w:r>
        <w:rPr>
          <w:color w:val="auto"/>
          <w:highlight w:val="none"/>
        </w:rPr>
        <w:instrText xml:space="preserve"> PAGEREF _Toc24289 \h </w:instrText>
      </w:r>
      <w:r>
        <w:rPr>
          <w:color w:val="auto"/>
          <w:highlight w:val="none"/>
        </w:rPr>
        <w:fldChar w:fldCharType="separate"/>
      </w:r>
      <w:r>
        <w:rPr>
          <w:color w:val="auto"/>
          <w:highlight w:val="none"/>
        </w:rPr>
        <w:t>21</w:t>
      </w:r>
      <w:r>
        <w:rPr>
          <w:color w:val="auto"/>
          <w:highlight w:val="none"/>
        </w:rPr>
        <w:fldChar w:fldCharType="end"/>
      </w:r>
      <w:r>
        <w:rPr>
          <w:rFonts w:hint="eastAsia" w:ascii="宋体" w:hAnsi="宋体" w:eastAsia="宋体" w:cs="宋体"/>
          <w:color w:val="auto"/>
          <w:highlight w:val="none"/>
        </w:rPr>
        <w:fldChar w:fldCharType="end"/>
      </w:r>
    </w:p>
    <w:p w14:paraId="56D41D99">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七、询问和质疑</w:t>
      </w:r>
      <w:r>
        <w:rPr>
          <w:color w:val="auto"/>
          <w:highlight w:val="none"/>
        </w:rPr>
        <w:tab/>
      </w:r>
      <w:r>
        <w:rPr>
          <w:color w:val="auto"/>
          <w:highlight w:val="none"/>
        </w:rPr>
        <w:fldChar w:fldCharType="begin"/>
      </w:r>
      <w:r>
        <w:rPr>
          <w:color w:val="auto"/>
          <w:highlight w:val="none"/>
        </w:rPr>
        <w:instrText xml:space="preserve"> PAGEREF _Toc32464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02CC3570">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_Toc31523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八、其他</w:t>
      </w:r>
      <w:r>
        <w:rPr>
          <w:color w:val="auto"/>
          <w:highlight w:val="none"/>
        </w:rPr>
        <w:tab/>
      </w:r>
      <w:r>
        <w:rPr>
          <w:color w:val="auto"/>
          <w:highlight w:val="none"/>
        </w:rPr>
        <w:fldChar w:fldCharType="begin"/>
      </w:r>
      <w:r>
        <w:rPr>
          <w:color w:val="auto"/>
          <w:highlight w:val="none"/>
        </w:rPr>
        <w:instrText xml:space="preserve"> PAGEREF _Toc31523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eastAsia="宋体" w:cs="宋体"/>
          <w:color w:val="auto"/>
          <w:highlight w:val="none"/>
        </w:rPr>
        <w:fldChar w:fldCharType="end"/>
      </w:r>
    </w:p>
    <w:p w14:paraId="5084D8B1">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_Toc12409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第三章  评审方法及标准</w:t>
      </w:r>
      <w:r>
        <w:rPr>
          <w:color w:val="auto"/>
          <w:highlight w:val="none"/>
        </w:rPr>
        <w:tab/>
      </w:r>
      <w:r>
        <w:rPr>
          <w:color w:val="auto"/>
          <w:highlight w:val="none"/>
        </w:rPr>
        <w:fldChar w:fldCharType="begin"/>
      </w:r>
      <w:r>
        <w:rPr>
          <w:color w:val="auto"/>
          <w:highlight w:val="none"/>
        </w:rPr>
        <w:instrText xml:space="preserve"> PAGEREF _Toc12409 \h </w:instrText>
      </w:r>
      <w:r>
        <w:rPr>
          <w:color w:val="auto"/>
          <w:highlight w:val="none"/>
        </w:rPr>
        <w:fldChar w:fldCharType="separate"/>
      </w:r>
      <w:r>
        <w:rPr>
          <w:color w:val="auto"/>
          <w:highlight w:val="none"/>
        </w:rPr>
        <w:t>24</w:t>
      </w:r>
      <w:r>
        <w:rPr>
          <w:color w:val="auto"/>
          <w:highlight w:val="none"/>
        </w:rPr>
        <w:fldChar w:fldCharType="end"/>
      </w:r>
      <w:r>
        <w:rPr>
          <w:rFonts w:hint="eastAsia" w:ascii="宋体" w:hAnsi="宋体" w:eastAsia="宋体" w:cs="宋体"/>
          <w:color w:val="auto"/>
          <w:highlight w:val="none"/>
        </w:rPr>
        <w:fldChar w:fldCharType="end"/>
      </w:r>
    </w:p>
    <w:p w14:paraId="05787B4E">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_Toc5495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第四章  采购合同文本</w:t>
      </w:r>
      <w:r>
        <w:rPr>
          <w:color w:val="auto"/>
          <w:highlight w:val="none"/>
        </w:rPr>
        <w:tab/>
      </w:r>
      <w:r>
        <w:rPr>
          <w:color w:val="auto"/>
          <w:highlight w:val="none"/>
        </w:rPr>
        <w:fldChar w:fldCharType="begin"/>
      </w:r>
      <w:r>
        <w:rPr>
          <w:color w:val="auto"/>
          <w:highlight w:val="none"/>
        </w:rPr>
        <w:instrText xml:space="preserve"> PAGEREF _Toc5495 \h </w:instrText>
      </w:r>
      <w:r>
        <w:rPr>
          <w:color w:val="auto"/>
          <w:highlight w:val="none"/>
        </w:rPr>
        <w:fldChar w:fldCharType="separate"/>
      </w:r>
      <w:r>
        <w:rPr>
          <w:color w:val="auto"/>
          <w:highlight w:val="none"/>
        </w:rPr>
        <w:t>29</w:t>
      </w:r>
      <w:r>
        <w:rPr>
          <w:color w:val="auto"/>
          <w:highlight w:val="none"/>
        </w:rPr>
        <w:fldChar w:fldCharType="end"/>
      </w:r>
      <w:r>
        <w:rPr>
          <w:rFonts w:hint="eastAsia" w:ascii="宋体" w:hAnsi="宋体" w:eastAsia="宋体" w:cs="宋体"/>
          <w:color w:val="auto"/>
          <w:highlight w:val="none"/>
        </w:rPr>
        <w:fldChar w:fldCharType="end"/>
      </w:r>
    </w:p>
    <w:p w14:paraId="69F13F1C">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_Toc2991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第五章</w:t>
      </w:r>
      <w:r>
        <w:rPr>
          <w:rFonts w:hint="eastAsia" w:ascii="宋体" w:hAnsi="宋体" w:eastAsia="宋体" w:cs="宋体"/>
          <w:bCs/>
          <w:color w:val="auto"/>
          <w:szCs w:val="28"/>
          <w:highlight w:val="none"/>
          <w:lang w:val="en-US" w:eastAsia="zh-CN"/>
        </w:rPr>
        <w:t xml:space="preserve">  </w:t>
      </w:r>
      <w:r>
        <w:rPr>
          <w:rFonts w:hint="eastAsia" w:ascii="宋体" w:hAnsi="宋体" w:eastAsia="宋体" w:cs="宋体"/>
          <w:bCs/>
          <w:color w:val="auto"/>
          <w:szCs w:val="28"/>
          <w:highlight w:val="none"/>
        </w:rPr>
        <w:t>响应文件格式</w:t>
      </w:r>
      <w:r>
        <w:rPr>
          <w:color w:val="auto"/>
          <w:highlight w:val="none"/>
        </w:rPr>
        <w:tab/>
      </w:r>
      <w:r>
        <w:rPr>
          <w:color w:val="auto"/>
          <w:highlight w:val="none"/>
        </w:rPr>
        <w:fldChar w:fldCharType="begin"/>
      </w:r>
      <w:r>
        <w:rPr>
          <w:color w:val="auto"/>
          <w:highlight w:val="none"/>
        </w:rPr>
        <w:instrText xml:space="preserve"> PAGEREF _Toc2991 \h </w:instrText>
      </w:r>
      <w:r>
        <w:rPr>
          <w:color w:val="auto"/>
          <w:highlight w:val="none"/>
        </w:rPr>
        <w:fldChar w:fldCharType="separate"/>
      </w:r>
      <w:r>
        <w:rPr>
          <w:color w:val="auto"/>
          <w:highlight w:val="none"/>
        </w:rPr>
        <w:t>40</w:t>
      </w:r>
      <w:r>
        <w:rPr>
          <w:color w:val="auto"/>
          <w:highlight w:val="none"/>
        </w:rPr>
        <w:fldChar w:fldCharType="end"/>
      </w:r>
      <w:r>
        <w:rPr>
          <w:rFonts w:hint="eastAsia" w:ascii="宋体" w:hAnsi="宋体" w:eastAsia="宋体" w:cs="宋体"/>
          <w:color w:val="auto"/>
          <w:highlight w:val="none"/>
        </w:rPr>
        <w:fldChar w:fldCharType="end"/>
      </w:r>
    </w:p>
    <w:p w14:paraId="6C7601AC">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_Toc27647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2"/>
          <w:highlight w:val="none"/>
        </w:rPr>
        <w:t>（技术部分）</w:t>
      </w:r>
      <w:r>
        <w:rPr>
          <w:color w:val="auto"/>
          <w:highlight w:val="none"/>
        </w:rPr>
        <w:tab/>
      </w:r>
      <w:r>
        <w:rPr>
          <w:color w:val="auto"/>
          <w:highlight w:val="none"/>
        </w:rPr>
        <w:fldChar w:fldCharType="begin"/>
      </w:r>
      <w:r>
        <w:rPr>
          <w:color w:val="auto"/>
          <w:highlight w:val="none"/>
        </w:rPr>
        <w:instrText xml:space="preserve"> PAGEREF _Toc27647 \h </w:instrText>
      </w:r>
      <w:r>
        <w:rPr>
          <w:color w:val="auto"/>
          <w:highlight w:val="none"/>
        </w:rPr>
        <w:fldChar w:fldCharType="separate"/>
      </w:r>
      <w:r>
        <w:rPr>
          <w:color w:val="auto"/>
          <w:highlight w:val="none"/>
        </w:rPr>
        <w:t>68</w:t>
      </w:r>
      <w:r>
        <w:rPr>
          <w:color w:val="auto"/>
          <w:highlight w:val="none"/>
        </w:rPr>
        <w:fldChar w:fldCharType="end"/>
      </w:r>
      <w:r>
        <w:rPr>
          <w:rFonts w:hint="eastAsia" w:ascii="宋体" w:hAnsi="宋体" w:eastAsia="宋体" w:cs="宋体"/>
          <w:color w:val="auto"/>
          <w:highlight w:val="none"/>
        </w:rPr>
        <w:fldChar w:fldCharType="end"/>
      </w:r>
    </w:p>
    <w:p w14:paraId="604406C6">
      <w:pPr>
        <w:pStyle w:val="26"/>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_Toc12366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28"/>
          <w:highlight w:val="none"/>
        </w:rPr>
        <w:t>第六章  项目采购需求</w:t>
      </w:r>
      <w:r>
        <w:rPr>
          <w:color w:val="auto"/>
          <w:highlight w:val="none"/>
        </w:rPr>
        <w:tab/>
      </w:r>
      <w:r>
        <w:rPr>
          <w:color w:val="auto"/>
          <w:highlight w:val="none"/>
        </w:rPr>
        <w:fldChar w:fldCharType="begin"/>
      </w:r>
      <w:r>
        <w:rPr>
          <w:color w:val="auto"/>
          <w:highlight w:val="none"/>
        </w:rPr>
        <w:instrText xml:space="preserve"> PAGEREF _Toc12366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0B2D4CB4">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_Toc26124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一、项目概况</w:t>
      </w:r>
      <w:r>
        <w:rPr>
          <w:color w:val="auto"/>
          <w:highlight w:val="none"/>
        </w:rPr>
        <w:tab/>
      </w:r>
      <w:r>
        <w:rPr>
          <w:color w:val="auto"/>
          <w:highlight w:val="none"/>
        </w:rPr>
        <w:fldChar w:fldCharType="begin"/>
      </w:r>
      <w:r>
        <w:rPr>
          <w:color w:val="auto"/>
          <w:highlight w:val="none"/>
        </w:rPr>
        <w:instrText xml:space="preserve"> PAGEREF _Toc26124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3DC831D9">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_Toc5062 </w:instrText>
      </w:r>
      <w:r>
        <w:rPr>
          <w:rFonts w:hint="eastAsia" w:ascii="宋体" w:hAnsi="宋体" w:eastAsia="宋体" w:cs="宋体"/>
          <w:color w:val="auto"/>
          <w:highlight w:val="none"/>
        </w:rPr>
        <w:fldChar w:fldCharType="separate"/>
      </w:r>
      <w:r>
        <w:rPr>
          <w:rFonts w:hint="eastAsia" w:ascii="宋体" w:hAnsi="宋体" w:eastAsia="宋体" w:cs="宋体"/>
          <w:bCs/>
          <w:color w:val="auto"/>
          <w:highlight w:val="none"/>
        </w:rPr>
        <w:t>二、技术要求</w:t>
      </w:r>
      <w:r>
        <w:rPr>
          <w:color w:val="auto"/>
          <w:highlight w:val="none"/>
        </w:rPr>
        <w:tab/>
      </w:r>
      <w:r>
        <w:rPr>
          <w:color w:val="auto"/>
          <w:highlight w:val="none"/>
        </w:rPr>
        <w:fldChar w:fldCharType="begin"/>
      </w:r>
      <w:r>
        <w:rPr>
          <w:color w:val="auto"/>
          <w:highlight w:val="none"/>
        </w:rPr>
        <w:instrText xml:space="preserve"> PAGEREF _Toc5062 \h </w:instrText>
      </w:r>
      <w:r>
        <w:rPr>
          <w:color w:val="auto"/>
          <w:highlight w:val="none"/>
        </w:rPr>
        <w:fldChar w:fldCharType="separate"/>
      </w:r>
      <w:r>
        <w:rPr>
          <w:color w:val="auto"/>
          <w:highlight w:val="none"/>
        </w:rPr>
        <w:t>69</w:t>
      </w:r>
      <w:r>
        <w:rPr>
          <w:color w:val="auto"/>
          <w:highlight w:val="none"/>
        </w:rPr>
        <w:fldChar w:fldCharType="end"/>
      </w:r>
      <w:r>
        <w:rPr>
          <w:rFonts w:hint="eastAsia" w:ascii="宋体" w:hAnsi="宋体" w:eastAsia="宋体" w:cs="宋体"/>
          <w:color w:val="auto"/>
          <w:highlight w:val="none"/>
        </w:rPr>
        <w:fldChar w:fldCharType="end"/>
      </w:r>
    </w:p>
    <w:p w14:paraId="73C58C8F">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_Toc22760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Cs w:val="21"/>
          <w:highlight w:val="none"/>
          <w:lang w:val="en-US" w:eastAsia="zh-CN" w:bidi="ar-SA"/>
        </w:rPr>
        <w:t>三、</w:t>
      </w:r>
      <w:r>
        <w:rPr>
          <w:rFonts w:hint="eastAsia" w:ascii="宋体" w:hAnsi="宋体" w:eastAsia="宋体" w:cs="宋体"/>
          <w:bCs/>
          <w:color w:val="auto"/>
          <w:szCs w:val="21"/>
          <w:highlight w:val="none"/>
          <w:lang w:val="en-US" w:eastAsia="zh-CN"/>
        </w:rPr>
        <w:t>商务要求</w:t>
      </w:r>
      <w:r>
        <w:rPr>
          <w:color w:val="auto"/>
          <w:highlight w:val="none"/>
        </w:rPr>
        <w:tab/>
      </w:r>
      <w:r>
        <w:rPr>
          <w:color w:val="auto"/>
          <w:highlight w:val="none"/>
        </w:rPr>
        <w:fldChar w:fldCharType="begin"/>
      </w:r>
      <w:r>
        <w:rPr>
          <w:color w:val="auto"/>
          <w:highlight w:val="none"/>
        </w:rPr>
        <w:instrText xml:space="preserve"> PAGEREF _Toc22760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highlight w:val="none"/>
        </w:rPr>
        <w:fldChar w:fldCharType="end"/>
      </w:r>
    </w:p>
    <w:p w14:paraId="58321982">
      <w:pPr>
        <w:pStyle w:val="29"/>
        <w:tabs>
          <w:tab w:val="right" w:leader="dot" w:pos="8402"/>
        </w:tabs>
        <w:rPr>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_Toc11519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2"/>
          <w:szCs w:val="21"/>
          <w:highlight w:val="none"/>
          <w:lang w:val="en-US" w:eastAsia="zh-CN" w:bidi="ar-SA"/>
        </w:rPr>
        <w:t>四、</w:t>
      </w:r>
      <w:r>
        <w:rPr>
          <w:rFonts w:hint="eastAsia" w:ascii="宋体" w:hAnsi="宋体" w:eastAsia="宋体" w:cs="宋体"/>
          <w:bCs/>
          <w:color w:val="auto"/>
          <w:szCs w:val="21"/>
          <w:highlight w:val="none"/>
          <w:lang w:val="en-US" w:eastAsia="zh-CN"/>
        </w:rPr>
        <w:t>其他要求</w:t>
      </w:r>
      <w:r>
        <w:rPr>
          <w:color w:val="auto"/>
          <w:highlight w:val="none"/>
        </w:rPr>
        <w:tab/>
      </w:r>
      <w:r>
        <w:rPr>
          <w:color w:val="auto"/>
          <w:highlight w:val="none"/>
        </w:rPr>
        <w:fldChar w:fldCharType="begin"/>
      </w:r>
      <w:r>
        <w:rPr>
          <w:color w:val="auto"/>
          <w:highlight w:val="none"/>
        </w:rPr>
        <w:instrText xml:space="preserve"> PAGEREF _Toc11519 \h </w:instrText>
      </w:r>
      <w:r>
        <w:rPr>
          <w:color w:val="auto"/>
          <w:highlight w:val="none"/>
        </w:rPr>
        <w:fldChar w:fldCharType="separate"/>
      </w:r>
      <w:r>
        <w:rPr>
          <w:color w:val="auto"/>
          <w:highlight w:val="none"/>
        </w:rPr>
        <w:t>77</w:t>
      </w:r>
      <w:r>
        <w:rPr>
          <w:color w:val="auto"/>
          <w:highlight w:val="none"/>
        </w:rPr>
        <w:fldChar w:fldCharType="end"/>
      </w:r>
      <w:r>
        <w:rPr>
          <w:rFonts w:hint="eastAsia" w:ascii="宋体" w:hAnsi="宋体" w:eastAsia="宋体" w:cs="宋体"/>
          <w:color w:val="auto"/>
          <w:highlight w:val="none"/>
        </w:rPr>
        <w:fldChar w:fldCharType="end"/>
      </w:r>
    </w:p>
    <w:p w14:paraId="4648CCCF">
      <w:pPr>
        <w:shd w:val="clear"/>
        <w:spacing w:before="0" w:beforeAutospacing="0" w:after="0" w:afterAutospacing="0" w:line="240" w:lineRule="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2949B1BC">
      <w:pPr>
        <w:shd w:val="clear"/>
        <w:spacing w:before="0" w:beforeAutospacing="0" w:after="0" w:afterAutospacing="0" w:line="240" w:lineRule="auto"/>
        <w:rPr>
          <w:rFonts w:hint="eastAsia" w:ascii="宋体" w:hAnsi="宋体" w:eastAsia="宋体" w:cs="宋体"/>
          <w:b/>
          <w:color w:val="auto"/>
          <w:sz w:val="44"/>
          <w:szCs w:val="44"/>
          <w:highlight w:val="none"/>
        </w:rPr>
      </w:pPr>
    </w:p>
    <w:p w14:paraId="270AFF35">
      <w:pPr>
        <w:shd w:val="clear"/>
        <w:spacing w:before="0" w:beforeAutospacing="0" w:after="0" w:afterAutospacing="0" w:line="240" w:lineRule="auto"/>
        <w:rPr>
          <w:rFonts w:hint="eastAsia" w:ascii="宋体" w:hAnsi="宋体" w:eastAsia="宋体" w:cs="宋体"/>
          <w:color w:val="auto"/>
          <w:highlight w:val="none"/>
        </w:rPr>
      </w:pPr>
    </w:p>
    <w:p w14:paraId="01F05FEE">
      <w:pPr>
        <w:shd w:val="clear"/>
        <w:spacing w:before="0" w:beforeAutospacing="0" w:after="0" w:afterAutospacing="0" w:line="240" w:lineRule="auto"/>
        <w:rPr>
          <w:rFonts w:hint="eastAsia" w:ascii="宋体" w:hAnsi="宋体" w:eastAsia="宋体" w:cs="宋体"/>
          <w:color w:val="auto"/>
          <w:highlight w:val="none"/>
        </w:rPr>
        <w:sectPr>
          <w:footerReference r:id="rId10" w:type="first"/>
          <w:footerReference r:id="rId9" w:type="default"/>
          <w:pgSz w:w="11906" w:h="16838"/>
          <w:pgMar w:top="1440" w:right="1752" w:bottom="1440" w:left="1752" w:header="851" w:footer="992" w:gutter="0"/>
          <w:pgNumType w:fmt="decimal" w:start="1"/>
          <w:cols w:space="720" w:num="1"/>
          <w:titlePg/>
          <w:docGrid w:type="lines" w:linePitch="312" w:charSpace="0"/>
        </w:sectPr>
      </w:pPr>
    </w:p>
    <w:p w14:paraId="1F62191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4" w:name="_Toc30224"/>
      <w:bookmarkStart w:id="5" w:name="_Toc23354"/>
      <w:r>
        <w:rPr>
          <w:rFonts w:hint="eastAsia" w:ascii="宋体" w:hAnsi="宋体" w:eastAsia="宋体" w:cs="宋体"/>
          <w:b/>
          <w:bCs/>
          <w:color w:val="auto"/>
          <w:sz w:val="28"/>
          <w:szCs w:val="28"/>
          <w:highlight w:val="none"/>
        </w:rPr>
        <w:t>第一章  磋商邀请</w:t>
      </w:r>
      <w:bookmarkEnd w:id="4"/>
      <w:bookmarkEnd w:id="5"/>
    </w:p>
    <w:p w14:paraId="2815019A">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21CF95A">
      <w:pPr>
        <w:keepNext w:val="0"/>
        <w:keepLines w:val="0"/>
        <w:pageBreakBefore w:val="0"/>
        <w:widowControl/>
        <w:pBdr>
          <w:top w:val="single" w:color="auto" w:sz="4" w:space="1"/>
          <w:left w:val="single" w:color="auto" w:sz="4" w:space="4"/>
          <w:bottom w:val="single" w:color="auto" w:sz="4" w:space="1"/>
          <w:right w:val="single" w:color="auto" w:sz="4" w:space="4"/>
        </w:pBdr>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国家税务总局南宁市西乡塘区税务局2026年物业管理项目</w:t>
      </w:r>
      <w:r>
        <w:rPr>
          <w:rFonts w:hint="eastAsia" w:ascii="宋体" w:hAnsi="宋体" w:eastAsia="宋体" w:cs="宋体"/>
          <w:color w:val="auto"/>
          <w:sz w:val="21"/>
          <w:szCs w:val="21"/>
          <w:highlight w:val="none"/>
        </w:rPr>
        <w:t>的潜在供应商应在</w:t>
      </w:r>
      <w:r>
        <w:rPr>
          <w:rFonts w:hint="eastAsia" w:ascii="宋体" w:hAnsi="宋体" w:eastAsia="宋体" w:cs="宋体"/>
          <w:color w:val="auto"/>
          <w:sz w:val="21"/>
          <w:szCs w:val="21"/>
          <w:highlight w:val="none"/>
          <w:u w:val="single"/>
        </w:rPr>
        <w:t>广西阳光采购服务平台</w:t>
      </w:r>
      <w:r>
        <w:rPr>
          <w:rFonts w:hint="eastAsia" w:ascii="宋体" w:hAnsi="宋体" w:eastAsia="宋体" w:cs="宋体"/>
          <w:color w:val="auto"/>
          <w:szCs w:val="21"/>
          <w:highlight w:val="none"/>
        </w:rPr>
        <w:t>（行政事业国资专区）</w:t>
      </w:r>
      <w:r>
        <w:rPr>
          <w:rFonts w:hint="eastAsia" w:ascii="宋体" w:hAnsi="宋体" w:eastAsia="宋体" w:cs="宋体"/>
          <w:color w:val="auto"/>
          <w:sz w:val="21"/>
          <w:szCs w:val="21"/>
          <w:highlight w:val="none"/>
        </w:rPr>
        <w:t>获取采购文件，并于</w:t>
      </w:r>
      <w:r>
        <w:rPr>
          <w:rFonts w:hint="eastAsia" w:ascii="宋体" w:hAnsi="宋体" w:cs="宋体"/>
          <w:color w:val="auto"/>
          <w:sz w:val="21"/>
          <w:szCs w:val="21"/>
          <w:highlight w:val="none"/>
          <w:u w:val="single"/>
          <w:lang w:val="en-US" w:eastAsia="zh-CN"/>
        </w:rPr>
        <w:t>2026年2月12日</w:t>
      </w:r>
      <w:r>
        <w:rPr>
          <w:rFonts w:hint="eastAsia" w:ascii="宋体" w:hAnsi="宋体" w:eastAsia="宋体" w:cs="宋体"/>
          <w:bCs/>
          <w:color w:val="auto"/>
          <w:sz w:val="21"/>
          <w:szCs w:val="21"/>
          <w:highlight w:val="none"/>
          <w:u w:val="single"/>
        </w:rPr>
        <w:t>9点30分</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0819BE78">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14:paraId="5879A73B">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项目编号：FC（ZB3）</w:t>
      </w:r>
      <w:r>
        <w:rPr>
          <w:rFonts w:hint="eastAsia" w:ascii="宋体" w:hAnsi="宋体" w:cs="宋体"/>
          <w:color w:val="auto"/>
          <w:sz w:val="21"/>
          <w:szCs w:val="21"/>
          <w:highlight w:val="none"/>
          <w:lang w:eastAsia="zh-CN"/>
        </w:rPr>
        <w:t>2026012C</w:t>
      </w:r>
    </w:p>
    <w:p w14:paraId="077BC062">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国家税务总局南宁市西乡塘区税务局2026年物业管理项目</w:t>
      </w:r>
    </w:p>
    <w:p w14:paraId="6EAC4DEC">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采购方式：磋商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本项目为目录外标准下项目</w:t>
      </w:r>
      <w:r>
        <w:rPr>
          <w:rFonts w:hint="eastAsia" w:ascii="宋体" w:hAnsi="宋体" w:eastAsia="宋体" w:cs="宋体"/>
          <w:color w:val="auto"/>
          <w:sz w:val="21"/>
          <w:szCs w:val="21"/>
          <w:highlight w:val="none"/>
          <w:lang w:eastAsia="zh-CN"/>
        </w:rPr>
        <w:t>）</w:t>
      </w:r>
    </w:p>
    <w:p w14:paraId="4D9C0BE0">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预算金额：人民币（大写）</w:t>
      </w:r>
      <w:r>
        <w:rPr>
          <w:rFonts w:hint="eastAsia" w:ascii="宋体" w:hAnsi="宋体" w:cs="宋体"/>
          <w:color w:val="auto"/>
          <w:sz w:val="21"/>
          <w:szCs w:val="21"/>
          <w:highlight w:val="none"/>
          <w:lang w:eastAsia="zh-CN"/>
        </w:rPr>
        <w:t>玖拾捌万捌仟元</w:t>
      </w:r>
      <w:r>
        <w:rPr>
          <w:rFonts w:hint="eastAsia" w:ascii="宋体" w:hAnsi="宋体" w:eastAsia="宋体" w:cs="宋体"/>
          <w:color w:val="auto"/>
          <w:sz w:val="21"/>
          <w:szCs w:val="21"/>
          <w:highlight w:val="none"/>
        </w:rPr>
        <w:t>整/年（¥</w:t>
      </w:r>
      <w:r>
        <w:rPr>
          <w:rFonts w:hint="eastAsia" w:ascii="宋体" w:hAnsi="宋体" w:cs="宋体"/>
          <w:color w:val="auto"/>
          <w:sz w:val="21"/>
          <w:szCs w:val="21"/>
          <w:highlight w:val="none"/>
          <w:lang w:eastAsia="zh-CN"/>
        </w:rPr>
        <w:t>988,000.00</w:t>
      </w:r>
      <w:r>
        <w:rPr>
          <w:rFonts w:hint="eastAsia" w:ascii="宋体" w:hAnsi="宋体" w:eastAsia="宋体" w:cs="宋体"/>
          <w:color w:val="auto"/>
          <w:sz w:val="21"/>
          <w:szCs w:val="21"/>
          <w:highlight w:val="none"/>
        </w:rPr>
        <w:t>元/年）</w:t>
      </w:r>
    </w:p>
    <w:p w14:paraId="2D3232CD">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最高限价：人民币（大写）</w:t>
      </w:r>
      <w:r>
        <w:rPr>
          <w:rFonts w:hint="eastAsia" w:ascii="宋体" w:hAnsi="宋体" w:cs="宋体"/>
          <w:color w:val="auto"/>
          <w:sz w:val="21"/>
          <w:szCs w:val="21"/>
          <w:highlight w:val="none"/>
          <w:lang w:eastAsia="zh-CN"/>
        </w:rPr>
        <w:t>玖拾捌万捌仟元</w:t>
      </w:r>
      <w:r>
        <w:rPr>
          <w:rFonts w:hint="eastAsia" w:ascii="宋体" w:hAnsi="宋体" w:eastAsia="宋体" w:cs="宋体"/>
          <w:color w:val="auto"/>
          <w:sz w:val="21"/>
          <w:szCs w:val="21"/>
          <w:highlight w:val="none"/>
        </w:rPr>
        <w:t>整/年（¥</w:t>
      </w:r>
      <w:r>
        <w:rPr>
          <w:rFonts w:hint="eastAsia" w:ascii="宋体" w:hAnsi="宋体" w:cs="宋体"/>
          <w:color w:val="auto"/>
          <w:sz w:val="21"/>
          <w:szCs w:val="21"/>
          <w:highlight w:val="none"/>
          <w:lang w:eastAsia="zh-CN"/>
        </w:rPr>
        <w:t>988,000.00</w:t>
      </w:r>
      <w:r>
        <w:rPr>
          <w:rFonts w:hint="eastAsia" w:ascii="宋体" w:hAnsi="宋体" w:eastAsia="宋体" w:cs="宋体"/>
          <w:color w:val="auto"/>
          <w:sz w:val="21"/>
          <w:szCs w:val="21"/>
          <w:highlight w:val="none"/>
        </w:rPr>
        <w:t>元/年）</w:t>
      </w:r>
    </w:p>
    <w:p w14:paraId="421BF225">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采购需求：</w:t>
      </w:r>
      <w:r>
        <w:rPr>
          <w:rFonts w:hint="eastAsia" w:ascii="宋体" w:hAnsi="宋体" w:cs="宋体"/>
          <w:color w:val="auto"/>
          <w:sz w:val="21"/>
          <w:szCs w:val="21"/>
          <w:highlight w:val="none"/>
          <w:lang w:eastAsia="zh-CN"/>
        </w:rPr>
        <w:t>包括综合管理与维护、环境卫生与保洁、绿化养护、秩序管理、会议及其他服务等</w:t>
      </w:r>
      <w:r>
        <w:rPr>
          <w:rFonts w:hint="eastAsia" w:ascii="宋体" w:hAnsi="宋体" w:eastAsia="宋体" w:cs="宋体"/>
          <w:color w:val="auto"/>
          <w:sz w:val="21"/>
          <w:szCs w:val="21"/>
          <w:highlight w:val="none"/>
          <w:lang w:val="en-US" w:eastAsia="zh-CN" w:bidi="ar"/>
        </w:rPr>
        <w:t>，</w:t>
      </w:r>
      <w:r>
        <w:rPr>
          <w:rFonts w:hint="eastAsia" w:ascii="宋体" w:hAnsi="宋体" w:eastAsia="宋体" w:cs="宋体"/>
          <w:color w:val="auto"/>
          <w:sz w:val="21"/>
          <w:szCs w:val="21"/>
          <w:highlight w:val="none"/>
          <w:lang w:eastAsia="zh-CN"/>
        </w:rPr>
        <w:t>具体要求详见本项目</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eastAsia="zh-CN"/>
        </w:rPr>
        <w:t>文件。</w:t>
      </w:r>
    </w:p>
    <w:p w14:paraId="74AE8ED4">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合同履行期限：</w:t>
      </w:r>
      <w:r>
        <w:rPr>
          <w:rFonts w:hint="eastAsia" w:ascii="宋体" w:hAnsi="宋体" w:cs="宋体"/>
          <w:color w:val="auto"/>
          <w:sz w:val="21"/>
          <w:szCs w:val="21"/>
          <w:highlight w:val="none"/>
          <w:lang w:val="en-US" w:eastAsia="zh-CN"/>
        </w:rPr>
        <w:t>1年</w:t>
      </w:r>
      <w:r>
        <w:rPr>
          <w:rFonts w:hint="eastAsia" w:ascii="宋体" w:hAnsi="宋体" w:eastAsia="宋体" w:cs="宋体"/>
          <w:color w:val="auto"/>
          <w:sz w:val="21"/>
          <w:szCs w:val="21"/>
          <w:highlight w:val="none"/>
          <w:lang w:val="en-US" w:eastAsia="zh-CN"/>
        </w:rPr>
        <w:t>。</w:t>
      </w:r>
    </w:p>
    <w:p w14:paraId="05543996">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01FDDA2D">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w:t>
      </w:r>
    </w:p>
    <w:p w14:paraId="60400520">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符合国家</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zh-CN"/>
        </w:rPr>
        <w:t>法律规定，在中国境内（指关境内）注册</w:t>
      </w:r>
      <w:r>
        <w:rPr>
          <w:rFonts w:hint="eastAsia" w:ascii="宋体" w:hAnsi="宋体" w:eastAsia="宋体" w:cs="宋体"/>
          <w:color w:val="auto"/>
          <w:sz w:val="21"/>
          <w:szCs w:val="21"/>
          <w:highlight w:val="none"/>
        </w:rPr>
        <w:t>。</w:t>
      </w:r>
    </w:p>
    <w:p w14:paraId="2813CEE0">
      <w:pPr>
        <w:keepNext w:val="0"/>
        <w:keepLines w:val="0"/>
        <w:pageBreakBefore w:val="0"/>
        <w:widowControl/>
        <w:shd w:val="clear"/>
        <w:kinsoku/>
        <w:wordWrap/>
        <w:overflowPunct/>
        <w:topLinePunct/>
        <w:autoSpaceDE/>
        <w:autoSpaceDN/>
        <w:bidi w:val="0"/>
        <w:adjustRightInd/>
        <w:snapToGrid w:val="0"/>
        <w:spacing w:beforeAutospacing="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供应商参加本采购活动应当具备下列条件：</w:t>
      </w:r>
    </w:p>
    <w:p w14:paraId="500AF5EE">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）具有独立承担民事责任的能力；</w:t>
      </w:r>
    </w:p>
    <w:p w14:paraId="5FFD7030">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）具有良好的商业信誉和健全的财务会计制度；</w:t>
      </w:r>
    </w:p>
    <w:p w14:paraId="43410256">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）具有履行合同所必需的设备和专业技术能力；</w:t>
      </w:r>
    </w:p>
    <w:p w14:paraId="7D8D33FA">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）有依法缴纳税收和社会保障资金的良好记录；</w:t>
      </w:r>
    </w:p>
    <w:p w14:paraId="61AAF1A7">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210" w:leftChars="100" w:firstLine="210" w:firstLineChars="1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）参加采购活动前三年内，在经营活动中没有重大违法记录；</w:t>
      </w:r>
    </w:p>
    <w:p w14:paraId="2E41DDC4">
      <w:pPr>
        <w:keepNext w:val="0"/>
        <w:keepLines w:val="0"/>
        <w:pageBreakBefore w:val="0"/>
        <w:widowControl/>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w:t>
      </w:r>
      <w:r>
        <w:rPr>
          <w:rFonts w:hint="eastAsia" w:ascii="宋体"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企业采购，即在本采购项目中，服务由中小企业承接（提供服务的人员为中小企业依照《中华人民共和国劳动合同法》订立劳动合同的从业人员）。</w:t>
      </w:r>
    </w:p>
    <w:p w14:paraId="180C137B">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本项目采购标的对应的中小企业划分标准所属行业为</w:t>
      </w:r>
      <w:r>
        <w:rPr>
          <w:rFonts w:hint="eastAsia" w:ascii="宋体" w:hAnsi="宋体" w:cs="宋体"/>
          <w:color w:val="auto"/>
          <w:sz w:val="21"/>
          <w:szCs w:val="21"/>
          <w:highlight w:val="none"/>
          <w:lang w:eastAsia="zh-CN"/>
        </w:rPr>
        <w:t>物业管理</w:t>
      </w:r>
      <w:r>
        <w:rPr>
          <w:rFonts w:hint="eastAsia" w:ascii="宋体" w:hAnsi="宋体" w:eastAsia="宋体" w:cs="宋体"/>
          <w:color w:val="auto"/>
          <w:sz w:val="21"/>
          <w:szCs w:val="21"/>
          <w:highlight w:val="none"/>
        </w:rPr>
        <w:t>。</w:t>
      </w:r>
    </w:p>
    <w:p w14:paraId="0B6D4C0C">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snapToGrid w:val="0"/>
          <w:color w:val="auto"/>
          <w:sz w:val="21"/>
          <w:szCs w:val="21"/>
          <w:highlight w:val="none"/>
          <w:u w:val="singl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.本项目的特定资格要求：</w:t>
      </w:r>
      <w:r>
        <w:rPr>
          <w:rFonts w:hint="eastAsia" w:ascii="宋体" w:hAnsi="宋体" w:eastAsia="宋体" w:cs="宋体"/>
          <w:snapToGrid w:val="0"/>
          <w:color w:val="auto"/>
          <w:sz w:val="21"/>
          <w:szCs w:val="21"/>
          <w:highlight w:val="none"/>
          <w:u w:val="single"/>
        </w:rPr>
        <w:t>无</w:t>
      </w:r>
    </w:p>
    <w:p w14:paraId="577D96A1">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本项目由符合国家有关法律法规规定、同时满足本项目资质要求、在中国境内的供应商参加</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12E6BC9C">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对在“信用中国”网站〈www.creditchina.gov.cn</w:t>
      </w:r>
      <w:r>
        <w:rPr>
          <w:rFonts w:hint="eastAsia" w:ascii="宋体" w:hAnsi="宋体" w:cs="宋体"/>
          <w:color w:val="auto"/>
          <w:sz w:val="21"/>
          <w:szCs w:val="21"/>
          <w:highlight w:val="none"/>
          <w:lang w:eastAsia="zh-CN"/>
        </w:rPr>
        <w:t>&gt;</w:t>
      </w:r>
      <w:r>
        <w:rPr>
          <w:rFonts w:hint="eastAsia" w:ascii="宋体" w:hAnsi="宋体" w:eastAsia="宋体" w:cs="宋体"/>
          <w:color w:val="auto"/>
          <w:sz w:val="21"/>
          <w:szCs w:val="21"/>
          <w:highlight w:val="none"/>
          <w:lang w:eastAsia="zh-CN"/>
        </w:rPr>
        <w:t>中国政府采购网〈www.ccgp.gov.cn〉等渠道被列入失信被执行人、重大税收违法失信主体、政府采购严重违法失信行为记录名单及其他不符合《中华人民共和国政府采购法》第二十二条规定条件的供应商，不得参与采购活动</w:t>
      </w:r>
      <w:r>
        <w:rPr>
          <w:rFonts w:hint="eastAsia" w:ascii="宋体" w:hAnsi="宋体" w:eastAsia="宋体" w:cs="宋体"/>
          <w:color w:val="auto"/>
          <w:sz w:val="21"/>
          <w:szCs w:val="21"/>
          <w:highlight w:val="none"/>
        </w:rPr>
        <w:t>。</w:t>
      </w:r>
    </w:p>
    <w:p w14:paraId="13E064B9">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w:t>
      </w:r>
    </w:p>
    <w:p w14:paraId="6599F485">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为本项目提供整体设计、规范编制或者项目管理、监理、检测等服务的供应商，不得再参加本次采购活动。</w:t>
      </w:r>
    </w:p>
    <w:p w14:paraId="4C90C4A8">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三、获取采购文件</w:t>
      </w:r>
    </w:p>
    <w:p w14:paraId="0460C667">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u w:val="none"/>
          <w:lang w:val="en-US" w:eastAsia="zh-CN"/>
        </w:rPr>
        <w:t>2026年2月2日</w:t>
      </w:r>
      <w:r>
        <w:rPr>
          <w:rFonts w:hint="eastAsia" w:ascii="宋体" w:hAnsi="宋体" w:cs="宋体"/>
          <w:color w:val="auto"/>
          <w:sz w:val="21"/>
          <w:szCs w:val="21"/>
          <w:highlight w:val="none"/>
          <w:u w:val="none"/>
          <w:lang w:val="en-US" w:eastAsia="zh-CN"/>
        </w:rPr>
        <w:t>至</w:t>
      </w:r>
      <w:r>
        <w:rPr>
          <w:rFonts w:hint="eastAsia" w:ascii="宋体" w:hAnsi="宋体" w:cs="宋体"/>
          <w:color w:val="auto"/>
          <w:sz w:val="21"/>
          <w:szCs w:val="21"/>
          <w:highlight w:val="none"/>
          <w:u w:val="none"/>
          <w:lang w:val="en-US" w:eastAsia="zh-CN"/>
        </w:rPr>
        <w:t>2026年2月9日</w:t>
      </w:r>
      <w:r>
        <w:rPr>
          <w:rFonts w:hint="eastAsia" w:ascii="宋体" w:hAnsi="宋体" w:eastAsia="宋体" w:cs="宋体"/>
          <w:color w:val="auto"/>
          <w:sz w:val="21"/>
          <w:szCs w:val="21"/>
          <w:highlight w:val="none"/>
        </w:rPr>
        <w:t>，每天上午</w:t>
      </w:r>
      <w:r>
        <w:rPr>
          <w:rFonts w:hint="eastAsia" w:ascii="宋体" w:hAnsi="宋体" w:eastAsia="宋体" w:cs="宋体"/>
          <w:color w:val="auto"/>
          <w:sz w:val="21"/>
          <w:szCs w:val="21"/>
          <w:highlight w:val="none"/>
          <w:u w:val="none"/>
          <w:lang w:val="en-US" w:eastAsia="zh-CN"/>
        </w:rPr>
        <w:t>8</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lang w:val="en-US" w:eastAsia="zh-CN"/>
        </w:rPr>
        <w:t>12</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，下午</w:t>
      </w:r>
      <w:r>
        <w:rPr>
          <w:rFonts w:hint="eastAsia" w:ascii="宋体" w:hAnsi="宋体" w:eastAsia="宋体" w:cs="宋体"/>
          <w:color w:val="auto"/>
          <w:sz w:val="21"/>
          <w:szCs w:val="21"/>
          <w:highlight w:val="none"/>
          <w:u w:val="none"/>
          <w:lang w:val="en-US" w:eastAsia="zh-CN"/>
        </w:rPr>
        <w:t>3</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u w:val="none"/>
          <w:lang w:val="en-US" w:eastAsia="zh-CN"/>
        </w:rPr>
        <w:t>6</w:t>
      </w:r>
      <w:r>
        <w:rPr>
          <w:rFonts w:hint="eastAsia" w:ascii="宋体" w:hAnsi="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（北京时间，法定节假日除外）</w:t>
      </w:r>
      <w:r>
        <w:rPr>
          <w:rFonts w:hint="eastAsia" w:ascii="宋体" w:hAnsi="宋体" w:eastAsia="宋体" w:cs="宋体"/>
          <w:color w:val="auto"/>
          <w:sz w:val="21"/>
          <w:szCs w:val="21"/>
          <w:highlight w:val="none"/>
          <w:lang w:val="en-US" w:eastAsia="zh-CN"/>
        </w:rPr>
        <w:t>。</w:t>
      </w:r>
    </w:p>
    <w:p w14:paraId="4A502AD9">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地点：广西阳光采购服务平台（行政事业国资专区）（</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w:t>
      </w:r>
    </w:p>
    <w:p w14:paraId="00131EF2">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方式：网上获取，供应商请登录广西阳光采购服务平台（行政事业国资专区）（</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bidi="ar"/>
        </w:rPr>
        <w:t>购买</w:t>
      </w:r>
      <w:r>
        <w:rPr>
          <w:rFonts w:hint="eastAsia" w:ascii="宋体" w:hAnsi="宋体" w:eastAsia="宋体" w:cs="宋体"/>
          <w:color w:val="auto"/>
          <w:szCs w:val="21"/>
          <w:highlight w:val="none"/>
        </w:rPr>
        <w:t>及下载</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bidi="ar"/>
        </w:rPr>
        <w:t>文件</w:t>
      </w:r>
      <w:r>
        <w:rPr>
          <w:rFonts w:hint="eastAsia" w:ascii="宋体" w:hAnsi="宋体" w:eastAsia="宋体" w:cs="宋体"/>
          <w:color w:val="auto"/>
          <w:szCs w:val="21"/>
          <w:highlight w:val="none"/>
        </w:rPr>
        <w:t>。</w:t>
      </w:r>
    </w:p>
    <w:p w14:paraId="66904E04">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售价：¥250.00元，缴后不退</w:t>
      </w:r>
      <w:r>
        <w:rPr>
          <w:rFonts w:hint="eastAsia" w:ascii="宋体" w:hAnsi="宋体" w:eastAsia="宋体" w:cs="宋体"/>
          <w:color w:val="auto"/>
          <w:szCs w:val="21"/>
          <w:highlight w:val="none"/>
          <w:lang w:eastAsia="zh-CN"/>
        </w:rPr>
        <w:t>。</w:t>
      </w:r>
    </w:p>
    <w:p w14:paraId="42B09A45">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注册与登录：</w:t>
      </w:r>
    </w:p>
    <w:p w14:paraId="336B8EF1">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①注册：打开广西阳光采购服务平台（行政事业国资专区）官网（</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），进入门户首页点击“立即注册”，依“供应商操作手册”完善企业注册信息。</w:t>
      </w:r>
    </w:p>
    <w:p w14:paraId="5CBD8400">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②登录：访问</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在门户首页“平台登录入口”处点击“供应商”按钮，输入账号密码登录。</w:t>
      </w:r>
    </w:p>
    <w:p w14:paraId="0E334FE2">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③费用缴纳及文件获取：登录后，在系统左侧“我的项目”找到参与项目列表，点击“进入项目”。</w:t>
      </w:r>
    </w:p>
    <w:p w14:paraId="753197B3">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系统服务费缴纳：点击“支付系统服务费”，选在线缴纳进入支付详情页，点击“申请开票”确认信息后，再点“支付”生成二维码，用微信、支付宝或云闪付扫码支付。</w:t>
      </w:r>
    </w:p>
    <w:p w14:paraId="46417177">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文件费缴纳：点击“支付文件费用”，按系统服务费缴纳方式操作。</w:t>
      </w:r>
    </w:p>
    <w:p w14:paraId="67686E5C">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④下载文件：</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文件费缴清后，点击“下载”，按提示获取文件，未付服务费或文件费无法下载。</w:t>
      </w:r>
    </w:p>
    <w:p w14:paraId="16F1DAF3">
      <w:pPr>
        <w:keepNext w:val="0"/>
        <w:keepLines w:val="0"/>
        <w:pageBreakBefore w:val="0"/>
        <w:widowControl/>
        <w:shd w:val="clear"/>
        <w:kinsoku/>
        <w:wordWrap w:val="0"/>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⑤操作手册获取：详见</w:t>
      </w:r>
      <w:r>
        <w:rPr>
          <w:rFonts w:hint="eastAsia" w:ascii="宋体" w:hAnsi="宋体" w:cs="宋体"/>
          <w:color w:val="auto"/>
          <w:szCs w:val="21"/>
          <w:highlight w:val="none"/>
          <w:u w:val="single"/>
          <w:lang w:eastAsia="zh-CN"/>
        </w:rPr>
        <w:t>（https://xz.gxygcg.com）</w:t>
      </w:r>
      <w:r>
        <w:rPr>
          <w:rFonts w:hint="eastAsia" w:ascii="宋体" w:hAnsi="宋体" w:eastAsia="宋体" w:cs="宋体"/>
          <w:color w:val="auto"/>
          <w:szCs w:val="21"/>
          <w:highlight w:val="none"/>
          <w:u w:val="single"/>
        </w:rPr>
        <w:t>/detail/10326/9284?timemap=1732882522782</w:t>
      </w:r>
      <w:r>
        <w:rPr>
          <w:rFonts w:hint="eastAsia" w:ascii="宋体" w:hAnsi="宋体" w:cs="宋体"/>
          <w:color w:val="auto"/>
          <w:szCs w:val="21"/>
          <w:highlight w:val="none"/>
          <w:u w:val="single"/>
          <w:lang w:eastAsia="zh-CN"/>
        </w:rPr>
        <w:t>.</w:t>
      </w:r>
    </w:p>
    <w:p w14:paraId="224BD61D">
      <w:pPr>
        <w:keepNext w:val="0"/>
        <w:keepLines w:val="0"/>
        <w:pageBreakBefore w:val="0"/>
        <w:widowControl/>
        <w:shd w:val="clear"/>
        <w:kinsoku/>
        <w:overflowPunct/>
        <w:topLinePunct/>
        <w:autoSpaceDE/>
        <w:autoSpaceDN/>
        <w:bidi w:val="0"/>
        <w:adjustRightInd/>
        <w:snapToGrid w:val="0"/>
        <w:spacing w:before="0" w:beforeAutospacing="0" w:after="0" w:afterAutospacing="0" w:line="400" w:lineRule="exact"/>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如有疑问，请与平台客服联系：0771-5581051、5715031</w:t>
      </w:r>
    </w:p>
    <w:p w14:paraId="5B1A228F">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四、响应文件提交</w:t>
      </w:r>
    </w:p>
    <w:p w14:paraId="516D1640">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color w:val="auto"/>
          <w:sz w:val="21"/>
          <w:szCs w:val="21"/>
          <w:highlight w:val="none"/>
        </w:rPr>
        <w:t>截止时间：</w:t>
      </w:r>
      <w:r>
        <w:rPr>
          <w:rFonts w:hint="eastAsia" w:ascii="宋体" w:hAnsi="宋体" w:cs="宋体"/>
          <w:color w:val="auto"/>
          <w:sz w:val="21"/>
          <w:szCs w:val="21"/>
          <w:highlight w:val="none"/>
          <w:u w:val="none"/>
          <w:lang w:val="en-US" w:eastAsia="zh-CN"/>
        </w:rPr>
        <w:t>2026年2月12日</w:t>
      </w:r>
      <w:r>
        <w:rPr>
          <w:rFonts w:hint="eastAsia" w:ascii="宋体" w:hAnsi="宋体" w:eastAsia="宋体" w:cs="宋体"/>
          <w:bCs w:val="0"/>
          <w:color w:val="auto"/>
          <w:sz w:val="21"/>
          <w:szCs w:val="21"/>
          <w:highlight w:val="none"/>
          <w:u w:val="none"/>
          <w:lang w:val="en-US" w:eastAsia="zh-CN"/>
        </w:rPr>
        <w:t>上午09点30分</w:t>
      </w:r>
      <w:r>
        <w:rPr>
          <w:rFonts w:hint="eastAsia" w:ascii="宋体" w:hAnsi="宋体" w:eastAsia="宋体" w:cs="宋体"/>
          <w:bCs w:val="0"/>
          <w:color w:val="auto"/>
          <w:sz w:val="21"/>
          <w:szCs w:val="21"/>
          <w:highlight w:val="none"/>
        </w:rPr>
        <w:t>（北京时间）</w:t>
      </w:r>
    </w:p>
    <w:p w14:paraId="7E397D55">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i w:val="0"/>
          <w:iCs w:val="0"/>
          <w:caps w:val="0"/>
          <w:color w:val="auto"/>
          <w:spacing w:val="0"/>
          <w:sz w:val="21"/>
          <w:szCs w:val="21"/>
          <w:highlight w:val="none"/>
          <w:shd w:val="clear"/>
        </w:rPr>
        <w:t>南宁市青秀区枫林路18号广西国资交易中心（具体以电子屏幕开标项目场地安排信息为准）</w:t>
      </w:r>
      <w:r>
        <w:rPr>
          <w:rFonts w:hint="eastAsia" w:ascii="宋体" w:hAnsi="宋体" w:eastAsia="宋体" w:cs="宋体"/>
          <w:color w:val="auto"/>
          <w:szCs w:val="21"/>
          <w:highlight w:val="none"/>
        </w:rPr>
        <w:t>，逾期送达的将予以拒收。</w:t>
      </w:r>
    </w:p>
    <w:p w14:paraId="3E4F26E4">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color w:val="auto"/>
          <w:sz w:val="21"/>
          <w:szCs w:val="21"/>
          <w:highlight w:val="none"/>
        </w:rPr>
        <w:t>五、开启</w:t>
      </w:r>
    </w:p>
    <w:p w14:paraId="7C1BFEE5">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b w:val="0"/>
          <w:bCs w:val="0"/>
          <w:color w:val="auto"/>
          <w:szCs w:val="21"/>
          <w:highlight w:val="none"/>
          <w:u w:val="none"/>
        </w:rPr>
      </w:pPr>
      <w:r>
        <w:rPr>
          <w:rFonts w:hint="eastAsia" w:ascii="宋体" w:hAnsi="宋体" w:eastAsia="宋体" w:cs="宋体"/>
          <w:color w:val="auto"/>
          <w:szCs w:val="21"/>
          <w:highlight w:val="none"/>
        </w:rPr>
        <w:t>时间：</w:t>
      </w:r>
      <w:r>
        <w:rPr>
          <w:rFonts w:hint="eastAsia" w:ascii="宋体" w:hAnsi="宋体" w:cs="宋体"/>
          <w:color w:val="auto"/>
          <w:sz w:val="21"/>
          <w:szCs w:val="21"/>
          <w:highlight w:val="none"/>
          <w:u w:val="none"/>
          <w:lang w:val="en-US" w:eastAsia="zh-CN"/>
        </w:rPr>
        <w:t>2026年2月12日</w:t>
      </w:r>
      <w:r>
        <w:rPr>
          <w:rFonts w:hint="eastAsia" w:ascii="宋体" w:hAnsi="宋体" w:eastAsia="宋体" w:cs="宋体"/>
          <w:bCs w:val="0"/>
          <w:color w:val="auto"/>
          <w:sz w:val="21"/>
          <w:szCs w:val="21"/>
          <w:highlight w:val="none"/>
          <w:u w:val="none"/>
          <w:lang w:val="en-US" w:eastAsia="zh-CN"/>
        </w:rPr>
        <w:t>上午09点30分</w:t>
      </w:r>
      <w:r>
        <w:rPr>
          <w:rFonts w:hint="eastAsia" w:ascii="宋体" w:hAnsi="宋体" w:eastAsia="宋体" w:cs="宋体"/>
          <w:b w:val="0"/>
          <w:bCs w:val="0"/>
          <w:color w:val="auto"/>
          <w:szCs w:val="21"/>
          <w:highlight w:val="none"/>
        </w:rPr>
        <w:t>后（北京时间）</w:t>
      </w:r>
    </w:p>
    <w:p w14:paraId="3941EA69">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bCs w:val="0"/>
          <w:color w:val="auto"/>
          <w:sz w:val="21"/>
          <w:szCs w:val="21"/>
          <w:highlight w:val="none"/>
          <w:u w:val="none"/>
        </w:rPr>
      </w:pPr>
      <w:r>
        <w:rPr>
          <w:rFonts w:hint="eastAsia" w:ascii="宋体" w:hAnsi="宋体" w:eastAsia="宋体" w:cs="宋体"/>
          <w:color w:val="auto"/>
          <w:szCs w:val="21"/>
          <w:highlight w:val="none"/>
        </w:rPr>
        <w:t>地点：</w:t>
      </w:r>
      <w:r>
        <w:rPr>
          <w:rFonts w:hint="eastAsia" w:ascii="宋体" w:hAnsi="宋体" w:eastAsia="宋体" w:cs="宋体"/>
          <w:i w:val="0"/>
          <w:iCs w:val="0"/>
          <w:caps w:val="0"/>
          <w:color w:val="auto"/>
          <w:spacing w:val="0"/>
          <w:sz w:val="21"/>
          <w:szCs w:val="21"/>
          <w:highlight w:val="none"/>
          <w:shd w:val="clear"/>
        </w:rPr>
        <w:t>南宁市青秀区枫林路18号广西国资交易中心</w:t>
      </w:r>
      <w:r>
        <w:rPr>
          <w:rFonts w:hint="eastAsia" w:ascii="宋体" w:hAnsi="宋体" w:eastAsia="宋体" w:cs="宋体"/>
          <w:i w:val="0"/>
          <w:iCs w:val="0"/>
          <w:caps w:val="0"/>
          <w:color w:val="auto"/>
          <w:spacing w:val="0"/>
          <w:sz w:val="21"/>
          <w:szCs w:val="21"/>
          <w:highlight w:val="none"/>
          <w:shd w:val="clear"/>
          <w:lang w:val="en-US" w:eastAsia="zh-CN"/>
        </w:rPr>
        <w:t>评标室</w:t>
      </w:r>
    </w:p>
    <w:p w14:paraId="0CA1EE1C">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六、公告期限</w:t>
      </w:r>
    </w:p>
    <w:p w14:paraId="25F73901">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自本公告发布之日起3个工作日。</w:t>
      </w:r>
    </w:p>
    <w:p w14:paraId="78640DAA">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七、其他补充事宜</w:t>
      </w:r>
    </w:p>
    <w:p w14:paraId="3E302C5A">
      <w:pPr>
        <w:keepNext w:val="0"/>
        <w:keepLines w:val="0"/>
        <w:pageBreakBefore w:val="0"/>
        <w:widowControl/>
        <w:shd w:val="clear"/>
        <w:kinsoku/>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1.公告媒体：</w:t>
      </w:r>
      <w:r>
        <w:rPr>
          <w:rFonts w:hint="eastAsia" w:ascii="宋体" w:hAnsi="宋体" w:cs="宋体"/>
          <w:color w:val="auto"/>
          <w:szCs w:val="21"/>
          <w:highlight w:val="none"/>
          <w:lang w:eastAsia="zh-CN"/>
        </w:rPr>
        <w:t>国家税务总局广西壮族自治区税务局南宁市频道（http://guangxi.chinatax.gov.cn/nanning/）</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Cs w:val="21"/>
          <w:highlight w:val="none"/>
        </w:rPr>
        <w:t>广西阳光采购服务平台（行政事业国资专区）（</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w:t>
      </w:r>
      <w:r>
        <w:rPr>
          <w:rFonts w:hint="eastAsia" w:ascii="宋体" w:hAnsi="宋体" w:eastAsia="宋体" w:cs="宋体"/>
          <w:b w:val="0"/>
          <w:bCs w:val="0"/>
          <w:color w:val="auto"/>
          <w:sz w:val="21"/>
          <w:szCs w:val="21"/>
          <w:highlight w:val="none"/>
          <w:lang w:eastAsia="zh-CN"/>
        </w:rPr>
        <w:t>、广西招标网（http://www.guangxibid.com.cn</w:t>
      </w:r>
      <w:r>
        <w:rPr>
          <w:rFonts w:hint="eastAsia" w:ascii="宋体" w:hAnsi="宋体" w:cs="宋体"/>
          <w:b w:val="0"/>
          <w:bCs w:val="0"/>
          <w:color w:val="auto"/>
          <w:sz w:val="21"/>
          <w:szCs w:val="21"/>
          <w:highlight w:val="none"/>
          <w:lang w:eastAsia="zh-CN"/>
        </w:rPr>
        <w:t>）</w:t>
      </w:r>
      <w:r>
        <w:rPr>
          <w:rFonts w:hint="eastAsia" w:ascii="宋体" w:hAnsi="宋体" w:eastAsia="宋体" w:cs="宋体"/>
          <w:color w:val="auto"/>
          <w:szCs w:val="21"/>
          <w:highlight w:val="none"/>
        </w:rPr>
        <w:t>。</w:t>
      </w:r>
    </w:p>
    <w:p w14:paraId="75CE2816">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八、凡对本次采购提出询问，请按以下方式联系。</w:t>
      </w:r>
    </w:p>
    <w:p w14:paraId="1B9240B1">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1.采购人信息</w:t>
      </w:r>
    </w:p>
    <w:p w14:paraId="74666E8D">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名称：</w:t>
      </w:r>
      <w:r>
        <w:rPr>
          <w:rFonts w:hint="eastAsia" w:ascii="宋体" w:hAnsi="宋体" w:cs="宋体"/>
          <w:color w:val="auto"/>
          <w:szCs w:val="21"/>
          <w:highlight w:val="none"/>
          <w:u w:val="none"/>
          <w:lang w:eastAsia="zh-CN"/>
        </w:rPr>
        <w:t>国家税务总局南宁市西乡塘区税务局</w:t>
      </w:r>
    </w:p>
    <w:p w14:paraId="3DE6BD1C">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地址：</w:t>
      </w:r>
      <w:r>
        <w:rPr>
          <w:rFonts w:hint="eastAsia" w:ascii="宋体" w:hAnsi="宋体" w:cs="宋体"/>
          <w:color w:val="auto"/>
          <w:szCs w:val="21"/>
          <w:highlight w:val="none"/>
          <w:u w:val="none"/>
          <w:lang w:eastAsia="zh-CN"/>
        </w:rPr>
        <w:t>南宁市明秀东路135号</w:t>
      </w:r>
    </w:p>
    <w:p w14:paraId="2B7C1F56">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联系方式：</w:t>
      </w:r>
      <w:r>
        <w:rPr>
          <w:rFonts w:hint="eastAsia" w:ascii="宋体" w:hAnsi="宋体" w:cs="宋体"/>
          <w:bCs/>
          <w:color w:val="auto"/>
          <w:sz w:val="21"/>
          <w:szCs w:val="21"/>
          <w:highlight w:val="none"/>
          <w:lang w:eastAsia="zh-CN"/>
        </w:rPr>
        <w:t>谭一荣</w:t>
      </w:r>
      <w:r>
        <w:rPr>
          <w:rFonts w:hint="eastAsia" w:ascii="宋体" w:hAnsi="宋体" w:cs="宋体"/>
          <w:bCs/>
          <w:color w:val="auto"/>
          <w:sz w:val="21"/>
          <w:szCs w:val="21"/>
          <w:highlight w:val="none"/>
          <w:lang w:val="en-US" w:eastAsia="zh-CN"/>
        </w:rPr>
        <w:t xml:space="preserve">  </w:t>
      </w:r>
      <w:r>
        <w:rPr>
          <w:rFonts w:hint="eastAsia" w:ascii="宋体" w:hAnsi="宋体" w:cs="宋体"/>
          <w:bCs/>
          <w:color w:val="auto"/>
          <w:sz w:val="21"/>
          <w:szCs w:val="21"/>
          <w:highlight w:val="none"/>
          <w:lang w:eastAsia="zh-CN"/>
        </w:rPr>
        <w:t>0771-3806639</w:t>
      </w:r>
    </w:p>
    <w:p w14:paraId="366A03F6">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s="宋体"/>
          <w:color w:val="auto"/>
          <w:highlight w:val="none"/>
          <w:lang w:eastAsia="zh-CN"/>
        </w:rPr>
        <w:t>2.</w:t>
      </w:r>
      <w:r>
        <w:rPr>
          <w:rFonts w:hint="eastAsia" w:ascii="宋体" w:hAnsi="宋体" w:eastAsia="宋体" w:cs="宋体"/>
          <w:color w:val="auto"/>
          <w:highlight w:val="none"/>
        </w:rPr>
        <w:t>采购代理机构信息</w:t>
      </w:r>
    </w:p>
    <w:p w14:paraId="61D78C5F">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名称：广西建设工程机电设备招标中心有限公司</w:t>
      </w:r>
    </w:p>
    <w:p w14:paraId="46BE22D4">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地址：</w:t>
      </w:r>
      <w:r>
        <w:rPr>
          <w:rFonts w:hint="eastAsia" w:ascii="宋体" w:hAnsi="宋体" w:cs="宋体"/>
          <w:bCs/>
          <w:color w:val="auto"/>
          <w:sz w:val="21"/>
          <w:szCs w:val="21"/>
          <w:highlight w:val="none"/>
          <w:lang w:val="en-US" w:eastAsia="zh-CN"/>
        </w:rPr>
        <w:t>南宁市青秀区枫林路18号广西国控集团（枫林路办公区）裙楼三层</w:t>
      </w:r>
    </w:p>
    <w:p w14:paraId="72CD3DDB">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联系方式：0771-2807659</w:t>
      </w:r>
      <w:r>
        <w:rPr>
          <w:rFonts w:hint="eastAsia" w:ascii="宋体" w:hAnsi="宋体" w:cs="宋体"/>
          <w:bCs/>
          <w:color w:val="auto"/>
          <w:sz w:val="21"/>
          <w:szCs w:val="21"/>
          <w:highlight w:val="none"/>
          <w:u w:val="none"/>
          <w:lang w:val="en-US" w:eastAsia="zh-CN"/>
        </w:rPr>
        <w:t>、2819799</w:t>
      </w:r>
    </w:p>
    <w:p w14:paraId="3B54CC2F">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项目联系方式</w:t>
      </w:r>
    </w:p>
    <w:p w14:paraId="1DC3512A">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项目联系人：</w:t>
      </w:r>
      <w:r>
        <w:rPr>
          <w:rFonts w:hint="eastAsia" w:ascii="宋体" w:hAnsi="宋体" w:eastAsia="宋体" w:cs="宋体"/>
          <w:bCs/>
          <w:color w:val="auto"/>
          <w:sz w:val="21"/>
          <w:szCs w:val="21"/>
          <w:highlight w:val="none"/>
          <w:u w:val="none"/>
          <w:lang w:val="en-US" w:eastAsia="zh-CN"/>
        </w:rPr>
        <w:t>黄天懿</w:t>
      </w:r>
      <w:r>
        <w:rPr>
          <w:rFonts w:hint="eastAsia"/>
          <w:color w:val="auto"/>
          <w:highlight w:val="none"/>
          <w:u w:val="none"/>
          <w:lang w:eastAsia="zh-CN"/>
        </w:rPr>
        <w:t>、吴兴红、</w:t>
      </w:r>
      <w:r>
        <w:rPr>
          <w:rFonts w:hint="eastAsia"/>
          <w:color w:val="auto"/>
          <w:highlight w:val="none"/>
          <w:u w:val="none"/>
          <w:lang w:val="en-US" w:eastAsia="zh-CN"/>
        </w:rPr>
        <w:t>刘风</w:t>
      </w:r>
    </w:p>
    <w:p w14:paraId="5D6124F1">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ind w:left="0" w:leftChars="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电话：</w:t>
      </w:r>
      <w:r>
        <w:rPr>
          <w:rFonts w:hint="eastAsia" w:ascii="宋体" w:hAnsi="宋体" w:eastAsia="宋体" w:cs="宋体"/>
          <w:bCs/>
          <w:color w:val="auto"/>
          <w:sz w:val="21"/>
          <w:szCs w:val="21"/>
          <w:highlight w:val="none"/>
          <w:u w:val="none"/>
          <w:lang w:val="en-US" w:eastAsia="zh-CN"/>
        </w:rPr>
        <w:t>0771-</w:t>
      </w:r>
      <w:r>
        <w:rPr>
          <w:rFonts w:hint="eastAsia" w:ascii="宋体" w:hAnsi="宋体" w:cs="宋体"/>
          <w:bCs/>
          <w:color w:val="auto"/>
          <w:sz w:val="21"/>
          <w:szCs w:val="21"/>
          <w:highlight w:val="none"/>
          <w:u w:val="none"/>
          <w:lang w:val="en-US" w:eastAsia="zh-CN"/>
        </w:rPr>
        <w:t>2807659、2819799</w:t>
      </w:r>
    </w:p>
    <w:p w14:paraId="4543ABF4">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jc w:val="righ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2026年2月2日</w:t>
      </w:r>
    </w:p>
    <w:p w14:paraId="13AB58C9">
      <w:pPr>
        <w:keepNext w:val="0"/>
        <w:keepLines w:val="0"/>
        <w:pageBreakBefore w:val="0"/>
        <w:widowControl/>
        <w:shd w:val="clear"/>
        <w:kinsoku/>
        <w:wordWrap/>
        <w:overflowPunct/>
        <w:topLinePunct/>
        <w:autoSpaceDE/>
        <w:bidi w:val="0"/>
        <w:adjustRightInd/>
        <w:snapToGrid w:val="0"/>
        <w:spacing w:before="0" w:beforeAutospacing="0" w:after="0" w:afterAutospacing="0" w:line="400" w:lineRule="exact"/>
        <w:textAlignment w:val="auto"/>
        <w:rPr>
          <w:rFonts w:hint="eastAsia" w:ascii="宋体" w:hAnsi="宋体" w:eastAsia="宋体" w:cs="宋体"/>
          <w:color w:val="auto"/>
          <w:sz w:val="21"/>
          <w:szCs w:val="21"/>
          <w:highlight w:val="none"/>
        </w:rPr>
      </w:pPr>
    </w:p>
    <w:p w14:paraId="24CB9A46">
      <w:pPr>
        <w:pStyle w:val="32"/>
        <w:rPr>
          <w:rFonts w:hint="eastAsia"/>
          <w:color w:val="auto"/>
          <w:highlight w:val="none"/>
        </w:rPr>
        <w:sectPr>
          <w:footerReference r:id="rId12" w:type="first"/>
          <w:footerReference r:id="rId11" w:type="default"/>
          <w:pgSz w:w="11906" w:h="16838"/>
          <w:pgMar w:top="1440" w:right="1752" w:bottom="1440" w:left="1752" w:header="851" w:footer="992" w:gutter="0"/>
          <w:pgNumType w:fmt="decimal" w:start="1"/>
          <w:cols w:space="720" w:num="1"/>
          <w:titlePg/>
          <w:docGrid w:type="lines" w:linePitch="312" w:charSpace="0"/>
        </w:sectPr>
      </w:pPr>
    </w:p>
    <w:p w14:paraId="275BCDF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6" w:name="_Toc17832"/>
      <w:bookmarkStart w:id="7" w:name="_Toc17206"/>
      <w:r>
        <w:rPr>
          <w:rFonts w:hint="eastAsia" w:ascii="宋体" w:hAnsi="宋体" w:eastAsia="宋体" w:cs="宋体"/>
          <w:b/>
          <w:bCs/>
          <w:color w:val="auto"/>
          <w:sz w:val="28"/>
          <w:szCs w:val="28"/>
          <w:highlight w:val="none"/>
        </w:rPr>
        <w:t>第二章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供应商须知</w:t>
      </w:r>
      <w:bookmarkEnd w:id="6"/>
      <w:bookmarkEnd w:id="7"/>
    </w:p>
    <w:p w14:paraId="36BC6CD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ind w:firstLine="420" w:firstLineChars="200"/>
        <w:jc w:val="center"/>
        <w:textAlignment w:val="auto"/>
        <w:outlineLvl w:val="1"/>
        <w:rPr>
          <w:rFonts w:hint="eastAsia" w:ascii="宋体" w:hAnsi="宋体" w:eastAsia="宋体" w:cs="宋体"/>
          <w:color w:val="auto"/>
          <w:highlight w:val="none"/>
        </w:rPr>
      </w:pPr>
      <w:bookmarkStart w:id="8" w:name="_Toc30860"/>
      <w:bookmarkStart w:id="9" w:name="_Toc30612"/>
      <w:r>
        <w:rPr>
          <w:rFonts w:hint="eastAsia" w:ascii="宋体" w:hAnsi="宋体" w:eastAsia="宋体" w:cs="宋体"/>
          <w:color w:val="auto"/>
          <w:highlight w:val="none"/>
        </w:rPr>
        <w:t>供应商须知前附表</w:t>
      </w:r>
      <w:bookmarkEnd w:id="8"/>
      <w:bookmarkEnd w:id="9"/>
    </w:p>
    <w:tbl>
      <w:tblPr>
        <w:tblStyle w:val="35"/>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1984"/>
        <w:gridCol w:w="851"/>
        <w:gridCol w:w="5207"/>
      </w:tblGrid>
      <w:tr w14:paraId="75A7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15EED4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 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EB3221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类  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28734B6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3E28A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tcBorders>
              <w:top w:val="single" w:color="auto" w:sz="4" w:space="0"/>
              <w:left w:val="single" w:color="auto" w:sz="4" w:space="0"/>
              <w:right w:val="single" w:color="auto" w:sz="4" w:space="0"/>
            </w:tcBorders>
            <w:noWrap w:val="0"/>
            <w:vAlign w:val="center"/>
          </w:tcPr>
          <w:p w14:paraId="4851F2A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84" w:type="dxa"/>
            <w:vMerge w:val="restart"/>
            <w:tcBorders>
              <w:top w:val="single" w:color="auto" w:sz="4" w:space="0"/>
              <w:left w:val="single" w:color="auto" w:sz="4" w:space="0"/>
              <w:right w:val="single" w:color="auto" w:sz="4" w:space="0"/>
            </w:tcBorders>
            <w:noWrap w:val="0"/>
            <w:vAlign w:val="center"/>
          </w:tcPr>
          <w:p w14:paraId="14AEF21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项目名称、编号、预算及最高限价</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7A40FC1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国家税务总局南宁市西乡塘区税务局2026年物业管理项目</w:t>
            </w:r>
          </w:p>
        </w:tc>
      </w:tr>
      <w:tr w14:paraId="1336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6EC8285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019DA5C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7291189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项目编号：FC（ZB3）2026012C</w:t>
            </w:r>
          </w:p>
        </w:tc>
      </w:tr>
      <w:tr w14:paraId="2FC1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tcBorders>
              <w:left w:val="single" w:color="auto" w:sz="4" w:space="0"/>
              <w:right w:val="single" w:color="auto" w:sz="4" w:space="0"/>
            </w:tcBorders>
            <w:noWrap w:val="0"/>
            <w:vAlign w:val="center"/>
          </w:tcPr>
          <w:p w14:paraId="5D327A6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tcBorders>
              <w:left w:val="single" w:color="auto" w:sz="4" w:space="0"/>
              <w:right w:val="single" w:color="auto" w:sz="4" w:space="0"/>
            </w:tcBorders>
            <w:noWrap w:val="0"/>
            <w:vAlign w:val="center"/>
          </w:tcPr>
          <w:p w14:paraId="63397DB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CA7AD3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预算金额：人民币（大写）</w:t>
            </w:r>
            <w:r>
              <w:rPr>
                <w:rFonts w:hint="eastAsia" w:ascii="宋体" w:hAnsi="宋体" w:cs="宋体"/>
                <w:color w:val="auto"/>
                <w:sz w:val="21"/>
                <w:szCs w:val="21"/>
                <w:highlight w:val="none"/>
                <w:lang w:eastAsia="zh-CN"/>
              </w:rPr>
              <w:t>玖拾捌万捌仟元</w:t>
            </w:r>
            <w:r>
              <w:rPr>
                <w:rFonts w:hint="eastAsia" w:ascii="宋体" w:hAnsi="宋体" w:eastAsia="宋体" w:cs="宋体"/>
                <w:color w:val="auto"/>
                <w:sz w:val="21"/>
                <w:szCs w:val="21"/>
                <w:highlight w:val="none"/>
              </w:rPr>
              <w:t>整/年（¥</w:t>
            </w:r>
            <w:r>
              <w:rPr>
                <w:rFonts w:hint="eastAsia" w:ascii="宋体" w:hAnsi="宋体" w:cs="宋体"/>
                <w:color w:val="auto"/>
                <w:sz w:val="21"/>
                <w:szCs w:val="21"/>
                <w:highlight w:val="none"/>
                <w:lang w:eastAsia="zh-CN"/>
              </w:rPr>
              <w:t>988,000.00</w:t>
            </w:r>
            <w:r>
              <w:rPr>
                <w:rFonts w:hint="eastAsia" w:ascii="宋体" w:hAnsi="宋体" w:eastAsia="宋体" w:cs="宋体"/>
                <w:color w:val="auto"/>
                <w:sz w:val="21"/>
                <w:szCs w:val="21"/>
                <w:highlight w:val="none"/>
              </w:rPr>
              <w:t>元/年）</w:t>
            </w:r>
          </w:p>
          <w:p w14:paraId="26B21F5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最高限价：人民币（大写）</w:t>
            </w:r>
            <w:r>
              <w:rPr>
                <w:rFonts w:hint="eastAsia" w:ascii="宋体" w:hAnsi="宋体" w:cs="宋体"/>
                <w:color w:val="auto"/>
                <w:sz w:val="21"/>
                <w:szCs w:val="21"/>
                <w:highlight w:val="none"/>
                <w:lang w:eastAsia="zh-CN"/>
              </w:rPr>
              <w:t>玖拾捌万捌仟元</w:t>
            </w:r>
            <w:r>
              <w:rPr>
                <w:rFonts w:hint="eastAsia" w:ascii="宋体" w:hAnsi="宋体" w:eastAsia="宋体" w:cs="宋体"/>
                <w:color w:val="auto"/>
                <w:sz w:val="21"/>
                <w:szCs w:val="21"/>
                <w:highlight w:val="none"/>
              </w:rPr>
              <w:t>整/年（¥</w:t>
            </w:r>
            <w:r>
              <w:rPr>
                <w:rFonts w:hint="eastAsia" w:ascii="宋体" w:hAnsi="宋体" w:cs="宋体"/>
                <w:color w:val="auto"/>
                <w:sz w:val="21"/>
                <w:szCs w:val="21"/>
                <w:highlight w:val="none"/>
                <w:lang w:eastAsia="zh-CN"/>
              </w:rPr>
              <w:t>988,000.00</w:t>
            </w:r>
            <w:r>
              <w:rPr>
                <w:rFonts w:hint="eastAsia" w:ascii="宋体" w:hAnsi="宋体" w:eastAsia="宋体" w:cs="宋体"/>
                <w:color w:val="auto"/>
                <w:sz w:val="21"/>
                <w:szCs w:val="21"/>
                <w:highlight w:val="none"/>
              </w:rPr>
              <w:t>元/年）</w:t>
            </w:r>
          </w:p>
        </w:tc>
      </w:tr>
      <w:tr w14:paraId="25D6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3877B8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569E43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60094E4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详见《采购文件（技术部分）》</w:t>
            </w:r>
          </w:p>
        </w:tc>
      </w:tr>
      <w:tr w14:paraId="4694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1642D02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B66FF8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项目属性和类别</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1F736F4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项目属性：</w:t>
            </w:r>
            <w:r>
              <w:rPr>
                <w:rFonts w:hint="eastAsia" w:ascii="宋体" w:hAnsi="宋体" w:eastAsia="宋体" w:cs="宋体"/>
                <w:color w:val="auto"/>
                <w:sz w:val="21"/>
                <w:szCs w:val="21"/>
                <w:highlight w:val="none"/>
              </w:rPr>
              <w:t xml:space="preserve">□货物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xml:space="preserve">服务        </w:t>
            </w:r>
          </w:p>
          <w:p w14:paraId="5F2B6C1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项目类别：</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信息化项目   </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非信息化项目</w:t>
            </w:r>
          </w:p>
          <w:p w14:paraId="2E24046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Cs w:val="21"/>
                <w:highlight w:val="none"/>
              </w:rPr>
              <w:t>线上采购项目</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highlight w:val="none"/>
              </w:rPr>
              <w:sym w:font="Wingdings 2" w:char="00A3"/>
            </w:r>
            <w:r>
              <w:rPr>
                <w:rFonts w:hint="eastAsia" w:ascii="宋体" w:hAnsi="宋体" w:eastAsia="宋体" w:cs="宋体"/>
                <w:b w:val="0"/>
                <w:bCs w:val="0"/>
                <w:color w:val="auto"/>
                <w:highlight w:val="none"/>
                <w:lang w:eastAsia="zh-CN"/>
              </w:rPr>
              <w:t>是</w:t>
            </w:r>
            <w:r>
              <w:rPr>
                <w:rFonts w:hint="eastAsia" w:ascii="宋体" w:hAnsi="宋体" w:eastAsia="宋体" w:cs="宋体"/>
                <w:b w:val="0"/>
                <w:bCs w:val="0"/>
                <w:color w:val="auto"/>
                <w:highlight w:val="none"/>
              </w:rPr>
              <w:t xml:space="preserve">    </w:t>
            </w:r>
            <w:r>
              <w:rPr>
                <w:rFonts w:hint="eastAsia" w:ascii="宋体" w:hAnsi="宋体" w:eastAsia="宋体" w:cs="宋体"/>
                <w:b w:val="0"/>
                <w:bCs w:val="0"/>
                <w:color w:val="auto"/>
                <w:highlight w:val="none"/>
                <w:lang w:val="en-US" w:eastAsia="zh-CN"/>
              </w:rPr>
              <w:t xml:space="preserve">    </w:t>
            </w:r>
            <w:r>
              <w:rPr>
                <w:rFonts w:hint="eastAsia" w:ascii="宋体" w:hAnsi="宋体" w:eastAsia="宋体" w:cs="宋体"/>
                <w:b w:val="0"/>
                <w:bCs w:val="0"/>
                <w:color w:val="auto"/>
                <w:highlight w:val="none"/>
              </w:rPr>
              <w:t xml:space="preserve"> </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highlight w:val="none"/>
                <w:lang w:eastAsia="zh-CN"/>
              </w:rPr>
              <w:t>否</w:t>
            </w:r>
          </w:p>
        </w:tc>
      </w:tr>
      <w:tr w14:paraId="4928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E51E345">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330C0D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79F874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ascii="宋体" w:hAnsi="宋体" w:cs="宋体"/>
                <w:color w:val="auto"/>
                <w:sz w:val="21"/>
                <w:szCs w:val="21"/>
                <w:highlight w:val="none"/>
                <w:lang w:val="en-US" w:eastAsia="zh-CN"/>
              </w:rPr>
              <w:t>国家税务总局南宁市西乡塘区税务局</w:t>
            </w:r>
            <w:r>
              <w:rPr>
                <w:rFonts w:hint="eastAsia" w:ascii="宋体" w:hAnsi="宋体" w:eastAsia="宋体" w:cs="宋体"/>
                <w:color w:val="auto"/>
                <w:sz w:val="21"/>
                <w:szCs w:val="21"/>
                <w:highlight w:val="none"/>
                <w:lang w:val="en-US" w:eastAsia="zh-CN"/>
              </w:rPr>
              <w:t xml:space="preserve"> </w:t>
            </w:r>
          </w:p>
          <w:p w14:paraId="718B98E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cs="宋体"/>
                <w:color w:val="auto"/>
                <w:sz w:val="21"/>
                <w:szCs w:val="21"/>
                <w:highlight w:val="none"/>
                <w:lang w:val="en-US" w:eastAsia="zh-CN"/>
              </w:rPr>
              <w:t>南宁市明秀东路135号</w:t>
            </w:r>
          </w:p>
          <w:p w14:paraId="47D7A74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cs="宋体"/>
                <w:color w:val="auto"/>
                <w:sz w:val="21"/>
                <w:szCs w:val="21"/>
                <w:highlight w:val="none"/>
                <w:lang w:val="en-US" w:eastAsia="zh-CN"/>
              </w:rPr>
              <w:t>人</w:t>
            </w:r>
            <w:r>
              <w:rPr>
                <w:rFonts w:hint="eastAsia" w:ascii="宋体" w:hAnsi="宋体" w:eastAsia="宋体" w:cs="宋体"/>
                <w:color w:val="auto"/>
                <w:sz w:val="21"/>
                <w:szCs w:val="21"/>
                <w:highlight w:val="none"/>
                <w:lang w:val="en-US" w:eastAsia="zh-CN"/>
              </w:rPr>
              <w:t xml:space="preserve">：谭一荣 </w:t>
            </w:r>
          </w:p>
          <w:p w14:paraId="6EBC0C0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联系方式：0771-3806639</w:t>
            </w:r>
          </w:p>
        </w:tc>
      </w:tr>
      <w:tr w14:paraId="251A8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76BFA73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F5878A5">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3CB9146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广西建设工程机电设备招标中心有限公司</w:t>
            </w:r>
          </w:p>
          <w:p w14:paraId="245B527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cs="宋体"/>
                <w:b w:val="0"/>
                <w:bCs/>
                <w:color w:val="auto"/>
                <w:sz w:val="21"/>
                <w:szCs w:val="21"/>
                <w:highlight w:val="none"/>
                <w:u w:val="none"/>
                <w:lang w:eastAsia="zh-CN"/>
              </w:rPr>
              <w:t>南宁市青秀区枫林路18号广西国控集团（枫林路办公区）裙楼三层</w:t>
            </w:r>
          </w:p>
          <w:p w14:paraId="17EE110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color w:val="auto"/>
                <w:sz w:val="21"/>
                <w:szCs w:val="21"/>
                <w:highlight w:val="none"/>
              </w:rPr>
              <w:t>联系</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u w:val="none"/>
                <w:lang w:eastAsia="zh-CN"/>
              </w:rPr>
              <w:t>黄天懿、吴兴红、</w:t>
            </w:r>
            <w:r>
              <w:rPr>
                <w:rFonts w:hint="eastAsia" w:ascii="宋体" w:hAnsi="宋体" w:eastAsia="宋体" w:cs="宋体"/>
                <w:b w:val="0"/>
                <w:bCs/>
                <w:color w:val="auto"/>
                <w:sz w:val="21"/>
                <w:szCs w:val="21"/>
                <w:highlight w:val="none"/>
                <w:u w:val="none"/>
                <w:lang w:val="en-US" w:eastAsia="zh-CN"/>
              </w:rPr>
              <w:t>刘风</w:t>
            </w:r>
          </w:p>
          <w:p w14:paraId="090A025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val="0"/>
                <w:bCs/>
                <w:color w:val="auto"/>
                <w:sz w:val="21"/>
                <w:szCs w:val="21"/>
                <w:highlight w:val="none"/>
                <w:u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b w:val="0"/>
                <w:bCs/>
                <w:color w:val="auto"/>
                <w:sz w:val="21"/>
                <w:szCs w:val="21"/>
                <w:highlight w:val="none"/>
                <w:u w:val="none"/>
                <w:lang w:val="en-US" w:eastAsia="zh-CN"/>
              </w:rPr>
              <w:t>0771-2807659、2819799</w:t>
            </w:r>
          </w:p>
          <w:p w14:paraId="2551B83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邮箱：</w:t>
            </w:r>
            <w:r>
              <w:rPr>
                <w:rFonts w:hint="eastAsia" w:ascii="宋体" w:hAnsi="宋体" w:eastAsia="宋体" w:cs="宋体"/>
                <w:color w:val="auto"/>
                <w:sz w:val="21"/>
                <w:szCs w:val="21"/>
                <w:highlight w:val="none"/>
                <w:u w:val="none"/>
                <w:lang w:val="en-US" w:eastAsia="zh-CN"/>
              </w:rPr>
              <w:t>zbzx2807659@163.com</w:t>
            </w:r>
          </w:p>
        </w:tc>
      </w:tr>
      <w:tr w14:paraId="34EF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A593E5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5FA496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供应商产生方法</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4CE381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公告</w:t>
            </w:r>
          </w:p>
          <w:p w14:paraId="1B1AFE0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供应商库抽取</w:t>
            </w:r>
          </w:p>
          <w:p w14:paraId="2E00827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专家和采购人推荐</w:t>
            </w:r>
          </w:p>
        </w:tc>
      </w:tr>
      <w:tr w14:paraId="1D93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7198465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F6A1E4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符合要求供应商家数</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55F96E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是否允许符合要求的供应商只有2家时可以继续进行采购活动：</w:t>
            </w:r>
          </w:p>
          <w:p w14:paraId="6C1D60F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否 </w:t>
            </w:r>
          </w:p>
          <w:p w14:paraId="1DBBB6D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是，[本项目属于</w:t>
            </w:r>
            <w:r>
              <w:rPr>
                <w:rFonts w:hint="eastAsia" w:ascii="宋体" w:hAnsi="宋体" w:eastAsia="宋体" w:cs="宋体"/>
                <w:i/>
                <w:color w:val="auto"/>
                <w:sz w:val="21"/>
                <w:szCs w:val="21"/>
                <w:highlight w:val="none"/>
                <w:u w:val="single"/>
                <w:lang w:val="en-US" w:eastAsia="zh-CN"/>
              </w:rPr>
              <w:t>目录外标准下项目，仅有2家供应商响应的，经采购人</w:t>
            </w:r>
            <w:r>
              <w:rPr>
                <w:rFonts w:hint="eastAsia" w:ascii="宋体" w:hAnsi="宋体" w:eastAsia="宋体" w:cs="宋体"/>
                <w:i/>
                <w:color w:val="auto"/>
                <w:szCs w:val="21"/>
                <w:highlight w:val="none"/>
                <w:u w:val="single"/>
                <w:lang w:val="en-US" w:eastAsia="zh-CN"/>
              </w:rPr>
              <w:t>采购小组</w:t>
            </w:r>
            <w:r>
              <w:rPr>
                <w:rFonts w:hint="eastAsia" w:ascii="宋体" w:hAnsi="宋体" w:eastAsia="宋体" w:cs="宋体"/>
                <w:i/>
                <w:color w:val="auto"/>
                <w:sz w:val="21"/>
                <w:szCs w:val="21"/>
                <w:highlight w:val="none"/>
                <w:u w:val="single"/>
                <w:lang w:val="en-US" w:eastAsia="zh-CN"/>
              </w:rPr>
              <w:t>同意后供应商可以为2家</w:t>
            </w:r>
            <w:r>
              <w:rPr>
                <w:rFonts w:hint="eastAsia" w:ascii="宋体" w:hAnsi="宋体" w:eastAsia="宋体" w:cs="宋体"/>
                <w:color w:val="auto"/>
                <w:sz w:val="21"/>
                <w:szCs w:val="21"/>
                <w:highlight w:val="none"/>
              </w:rPr>
              <w:t>]。</w:t>
            </w:r>
          </w:p>
        </w:tc>
      </w:tr>
      <w:tr w14:paraId="4056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59751B3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4BB33D8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供应商资格要求</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5989700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符合国家</w:t>
            </w:r>
            <w:r>
              <w:rPr>
                <w:rFonts w:hint="eastAsia" w:ascii="宋体" w:hAnsi="宋体" w:eastAsia="宋体" w:cs="宋体"/>
                <w:color w:val="auto"/>
                <w:sz w:val="21"/>
                <w:szCs w:val="21"/>
                <w:highlight w:val="none"/>
              </w:rPr>
              <w:t>有关</w:t>
            </w:r>
            <w:r>
              <w:rPr>
                <w:rFonts w:hint="eastAsia" w:ascii="宋体" w:hAnsi="宋体" w:eastAsia="宋体" w:cs="宋体"/>
                <w:color w:val="auto"/>
                <w:sz w:val="21"/>
                <w:szCs w:val="21"/>
                <w:highlight w:val="none"/>
                <w:lang w:val="zh-CN"/>
              </w:rPr>
              <w:t>法律规定，在中国境内（指关境内）注册</w:t>
            </w:r>
            <w:r>
              <w:rPr>
                <w:rFonts w:hint="eastAsia" w:ascii="宋体" w:hAnsi="宋体" w:eastAsia="宋体" w:cs="宋体"/>
                <w:color w:val="auto"/>
                <w:sz w:val="21"/>
                <w:szCs w:val="21"/>
                <w:highlight w:val="none"/>
              </w:rPr>
              <w:t>。</w:t>
            </w:r>
          </w:p>
          <w:p w14:paraId="3B89888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.供应商参加本采购活动应当具备下列条件：</w:t>
            </w:r>
          </w:p>
          <w:p w14:paraId="457C29B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（1）具有独立</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val="zh-CN"/>
              </w:rPr>
              <w:t>民事责任的能力；</w:t>
            </w:r>
          </w:p>
          <w:p w14:paraId="152EF6A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（2）具有良好的商业信誉和健全的财务会计制度；</w:t>
            </w:r>
          </w:p>
          <w:p w14:paraId="5F7744F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（3）具有履行</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zh-CN"/>
              </w:rPr>
              <w:t>所必需的设备和专业技术能力；</w:t>
            </w:r>
          </w:p>
          <w:p w14:paraId="09C927F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（4）有依法</w:t>
            </w:r>
            <w:r>
              <w:rPr>
                <w:rFonts w:hint="eastAsia" w:ascii="宋体" w:hAnsi="宋体" w:eastAsia="宋体" w:cs="宋体"/>
                <w:color w:val="auto"/>
                <w:sz w:val="21"/>
                <w:szCs w:val="21"/>
                <w:highlight w:val="none"/>
              </w:rPr>
              <w:t>缴纳</w:t>
            </w:r>
            <w:r>
              <w:rPr>
                <w:rFonts w:hint="eastAsia" w:ascii="宋体" w:hAnsi="宋体" w:eastAsia="宋体" w:cs="宋体"/>
                <w:color w:val="auto"/>
                <w:sz w:val="21"/>
                <w:szCs w:val="21"/>
                <w:highlight w:val="none"/>
                <w:lang w:val="zh-CN"/>
              </w:rPr>
              <w:t>税收和社会保障资金的良好记录；</w:t>
            </w:r>
          </w:p>
          <w:p w14:paraId="264AA06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（5）参加</w:t>
            </w:r>
            <w:r>
              <w:rPr>
                <w:rFonts w:hint="eastAsia" w:ascii="宋体" w:hAnsi="宋体" w:cs="宋体"/>
                <w:color w:val="auto"/>
                <w:sz w:val="21"/>
                <w:szCs w:val="21"/>
                <w:highlight w:val="none"/>
                <w:lang w:val="zh-CN"/>
              </w:rPr>
              <w:t>采购</w:t>
            </w:r>
            <w:r>
              <w:rPr>
                <w:rFonts w:hint="eastAsia" w:ascii="宋体" w:hAnsi="宋体" w:eastAsia="宋体" w:cs="宋体"/>
                <w:color w:val="auto"/>
                <w:sz w:val="21"/>
                <w:szCs w:val="21"/>
                <w:highlight w:val="none"/>
                <w:lang w:val="zh-CN"/>
              </w:rPr>
              <w:t>活动前三年内，在经营活动中没有重大违法记录；</w:t>
            </w:r>
          </w:p>
          <w:p w14:paraId="19D103E1">
            <w:pPr>
              <w:keepNext w:val="0"/>
              <w:keepLines w:val="0"/>
              <w:pageBreakBefore w:val="0"/>
              <w:widowControl/>
              <w:suppressLineNumbers w:val="0"/>
              <w:shd w:val="clear"/>
              <w:kinsoku/>
              <w:wordWrap/>
              <w:overflowPunct/>
              <w:topLinePunct/>
              <w:autoSpaceDE/>
              <w:bidi w:val="0"/>
              <w:adjustRightInd/>
              <w:snapToGrid/>
              <w:spacing w:before="0" w:beforeAutospacing="0" w:after="0" w:afterLines="0" w:afterAutospacing="0" w:line="400" w:lineRule="exact"/>
              <w:ind w:left="0" w:right="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default"/>
                <w:color w:val="auto"/>
                <w:highlight w:val="none"/>
              </w:rPr>
              <w:t>本项目</w:t>
            </w:r>
            <w:r>
              <w:rPr>
                <w:rFonts w:hint="eastAsia"/>
                <w:color w:val="auto"/>
                <w:highlight w:val="none"/>
                <w:lang w:eastAsia="zh-CN"/>
              </w:rPr>
              <w:t>专门面向中小</w:t>
            </w:r>
            <w:r>
              <w:rPr>
                <w:rFonts w:hint="default"/>
                <w:color w:val="auto"/>
                <w:highlight w:val="none"/>
              </w:rPr>
              <w:t>企业采购，</w:t>
            </w:r>
            <w:r>
              <w:rPr>
                <w:rFonts w:hint="eastAsia" w:ascii="宋体" w:hAnsi="宋体" w:eastAsia="宋体" w:cs="宋体"/>
                <w:color w:val="auto"/>
                <w:sz w:val="21"/>
                <w:szCs w:val="21"/>
                <w:highlight w:val="none"/>
              </w:rPr>
              <w:t>即在本采购项目中，服务由中小企业承接（提供服务的人员为中小企业依照《中华人民共和国劳动合同法》订立劳动合同的从业人员）</w:t>
            </w:r>
            <w:r>
              <w:rPr>
                <w:rFonts w:hint="default"/>
                <w:color w:val="auto"/>
                <w:highlight w:val="none"/>
              </w:rPr>
              <w:t>。</w:t>
            </w:r>
          </w:p>
          <w:p w14:paraId="7385113F">
            <w:pPr>
              <w:keepNext w:val="0"/>
              <w:keepLines w:val="0"/>
              <w:pageBreakBefore w:val="0"/>
              <w:widowControl/>
              <w:suppressLineNumbers w:val="0"/>
              <w:shd w:val="clear"/>
              <w:kinsoku/>
              <w:wordWrap/>
              <w:overflowPunct/>
              <w:topLinePunct/>
              <w:autoSpaceDE/>
              <w:bidi w:val="0"/>
              <w:adjustRightInd/>
              <w:snapToGrid/>
              <w:spacing w:before="0" w:beforeAutospacing="0" w:after="0" w:afterLines="0" w:afterAutospacing="0" w:line="400" w:lineRule="exact"/>
              <w:ind w:left="0" w:right="0"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本项目采购标的对应的中小企业划分标准所属行业为</w:t>
            </w:r>
            <w:r>
              <w:rPr>
                <w:rFonts w:hint="eastAsia" w:ascii="宋体" w:hAnsi="宋体" w:cs="宋体"/>
                <w:color w:val="auto"/>
                <w:sz w:val="21"/>
                <w:szCs w:val="21"/>
                <w:highlight w:val="none"/>
                <w:lang w:eastAsia="zh-CN"/>
              </w:rPr>
              <w:t>物业管理</w:t>
            </w:r>
            <w:r>
              <w:rPr>
                <w:rFonts w:hint="eastAsia" w:ascii="宋体" w:hAnsi="宋体" w:eastAsia="宋体" w:cs="宋体"/>
                <w:color w:val="auto"/>
                <w:sz w:val="21"/>
                <w:szCs w:val="21"/>
                <w:highlight w:val="none"/>
                <w:lang w:val="en-US" w:eastAsia="zh-CN"/>
              </w:rPr>
              <w:t>。</w:t>
            </w:r>
          </w:p>
          <w:p w14:paraId="4FBBCEE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.本项目的特定资格要求：无</w:t>
            </w:r>
          </w:p>
          <w:p w14:paraId="42F4957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本项目由符合国家有关法律法规规定、同时满足本项目资质要求、在中国境内的供应商参加</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w:t>
            </w:r>
          </w:p>
          <w:p w14:paraId="0FA7550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对在“信用中国”网站〈www.creditchina.gov.cn&gt;中国政府采购网〈www.ccgp.gov.cn〉等渠道被列入失信被执行人、重大税收违法失信主体、政府采购严重违法失信行为记录名单及其他不符合《中华人民共和国政府采购法》第二十二条规定条件的供应商，不得参与采购活动</w:t>
            </w:r>
            <w:r>
              <w:rPr>
                <w:rFonts w:hint="eastAsia" w:ascii="宋体" w:hAnsi="宋体" w:eastAsia="宋体" w:cs="宋体"/>
                <w:color w:val="auto"/>
                <w:sz w:val="21"/>
                <w:szCs w:val="21"/>
                <w:highlight w:val="none"/>
              </w:rPr>
              <w:t>。</w:t>
            </w:r>
          </w:p>
          <w:p w14:paraId="53041FB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单位负责人为同一人或者存在直接控股、管理关系的不同供应商，不得参加同一合同项下的采购活动。</w:t>
            </w:r>
          </w:p>
          <w:p w14:paraId="3F9C3D1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为本项目提供整体设计、规范编制或者项目管理、监理、检测等服务的供应商，不得再参加本次采购活动。</w:t>
            </w:r>
          </w:p>
        </w:tc>
      </w:tr>
      <w:tr w14:paraId="5693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0788787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42FBEEC">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是否接受联合体磋商</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73C812A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不接受</w:t>
            </w:r>
          </w:p>
          <w:p w14:paraId="0F1D695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□接受（接受联合体且供应商为联合体的，供应商应提供联合体协议；否则无须提供）</w:t>
            </w:r>
          </w:p>
        </w:tc>
      </w:tr>
      <w:tr w14:paraId="651F4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6724055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667555F9">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401BDA4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物业管理</w:t>
            </w:r>
          </w:p>
        </w:tc>
      </w:tr>
      <w:tr w14:paraId="0195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5" w:type="dxa"/>
            <w:tcBorders>
              <w:top w:val="single" w:color="auto" w:sz="4" w:space="0"/>
              <w:left w:val="single" w:color="auto" w:sz="4" w:space="0"/>
              <w:bottom w:val="single" w:color="auto" w:sz="4" w:space="0"/>
              <w:right w:val="single" w:color="auto" w:sz="4" w:space="0"/>
            </w:tcBorders>
            <w:noWrap w:val="0"/>
            <w:vAlign w:val="center"/>
          </w:tcPr>
          <w:p w14:paraId="1400508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1F87DAF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非主体、非关键性工作分包</w:t>
            </w:r>
          </w:p>
        </w:tc>
        <w:tc>
          <w:tcPr>
            <w:tcW w:w="6058" w:type="dxa"/>
            <w:gridSpan w:val="2"/>
            <w:tcBorders>
              <w:top w:val="single" w:color="auto" w:sz="4" w:space="0"/>
              <w:left w:val="single" w:color="auto" w:sz="4" w:space="0"/>
              <w:bottom w:val="single" w:color="auto" w:sz="4" w:space="0"/>
              <w:right w:val="single" w:color="auto" w:sz="4" w:space="0"/>
            </w:tcBorders>
            <w:noWrap w:val="0"/>
            <w:vAlign w:val="center"/>
          </w:tcPr>
          <w:p w14:paraId="2796EB8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是否允许供应商将本项目的非主体、非关键性工作进行分包：</w:t>
            </w:r>
          </w:p>
          <w:p w14:paraId="51BEA53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p>
          <w:p w14:paraId="7D85802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不允许</w:t>
            </w:r>
          </w:p>
          <w:p w14:paraId="790EA5E5">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i/>
                <w:color w:val="auto"/>
                <w:sz w:val="21"/>
                <w:szCs w:val="21"/>
                <w:highlight w:val="none"/>
                <w:u w:val="singl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允许，</w:t>
            </w:r>
            <w:r>
              <w:rPr>
                <w:rFonts w:hint="eastAsia" w:ascii="宋体" w:hAnsi="宋体" w:eastAsia="宋体" w:cs="宋体"/>
                <w:color w:val="auto"/>
                <w:sz w:val="21"/>
                <w:szCs w:val="21"/>
                <w:highlight w:val="none"/>
                <w:u w:val="single"/>
                <w:lang w:val="en-US" w:eastAsia="zh-CN"/>
              </w:rPr>
              <w:t xml:space="preserve">             </w:t>
            </w:r>
          </w:p>
          <w:p w14:paraId="0FADA23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采购包2：</w:t>
            </w:r>
            <w:r>
              <w:rPr>
                <w:rFonts w:hint="eastAsia" w:ascii="宋体" w:hAnsi="宋体" w:eastAsia="宋体" w:cs="宋体"/>
                <w:color w:val="auto"/>
                <w:sz w:val="21"/>
                <w:szCs w:val="21"/>
                <w:highlight w:val="none"/>
                <w:u w:val="single"/>
              </w:rPr>
              <w:t xml:space="preserve">                 </w:t>
            </w:r>
          </w:p>
        </w:tc>
      </w:tr>
      <w:tr w14:paraId="25E8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0C7C38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1984" w:type="dxa"/>
            <w:noWrap w:val="0"/>
            <w:vAlign w:val="center"/>
          </w:tcPr>
          <w:p w14:paraId="1EE1369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核心产品</w:t>
            </w:r>
          </w:p>
        </w:tc>
        <w:tc>
          <w:tcPr>
            <w:tcW w:w="6058" w:type="dxa"/>
            <w:gridSpan w:val="2"/>
            <w:noWrap w:val="0"/>
            <w:vAlign w:val="center"/>
          </w:tcPr>
          <w:p w14:paraId="77AE6EC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货物类项目填写此栏</w:t>
            </w:r>
          </w:p>
          <w:p w14:paraId="78D38FD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无</w:t>
            </w:r>
          </w:p>
          <w:p w14:paraId="64C297B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w:t>
            </w:r>
          </w:p>
          <w:p w14:paraId="54686F5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产品名称：</w:t>
            </w:r>
            <w:r>
              <w:rPr>
                <w:rFonts w:hint="eastAsia" w:ascii="宋体" w:hAnsi="宋体" w:eastAsia="宋体" w:cs="宋体"/>
                <w:color w:val="auto"/>
                <w:sz w:val="21"/>
                <w:szCs w:val="21"/>
                <w:highlight w:val="none"/>
                <w:u w:val="single"/>
              </w:rPr>
              <w:t xml:space="preserve">      </w:t>
            </w:r>
          </w:p>
          <w:p w14:paraId="280985D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在本采购项目中，</w:t>
            </w:r>
            <w:r>
              <w:rPr>
                <w:rFonts w:hint="eastAsia" w:ascii="宋体" w:hAnsi="宋体" w:eastAsia="宋体" w:cs="宋体"/>
                <w:b/>
                <w:bCs/>
                <w:color w:val="auto"/>
                <w:sz w:val="21"/>
                <w:szCs w:val="21"/>
                <w:highlight w:val="none"/>
              </w:rPr>
              <w:t>提供相同品牌产品且通过资格审查、实质性响应审查的不同供应商参加同一合同项下磋商的，按一家供应商计算，评审后得分最高的同品牌供应商获得推荐资格</w:t>
            </w:r>
            <w:r>
              <w:rPr>
                <w:rFonts w:hint="eastAsia" w:ascii="宋体" w:hAnsi="宋体" w:eastAsia="宋体" w:cs="宋体"/>
                <w:b/>
                <w:bCs/>
                <w:color w:val="auto"/>
                <w:sz w:val="21"/>
                <w:szCs w:val="21"/>
                <w:highlight w:val="none"/>
              </w:rPr>
              <w:t>；评审得分相同的，由采购人或者采购人委托磋商小组按照</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的方式</w:t>
            </w:r>
            <w:r>
              <w:rPr>
                <w:rFonts w:hint="eastAsia" w:ascii="宋体" w:hAnsi="宋体" w:eastAsia="宋体" w:cs="宋体"/>
                <w:b/>
                <w:bCs/>
                <w:color w:val="auto"/>
                <w:sz w:val="21"/>
                <w:szCs w:val="21"/>
                <w:highlight w:val="none"/>
              </w:rPr>
              <w:t>确定一个供应商获得推荐资格，磋商文件未规定的采取随机抽取方式确定，其他同品牌供应商不作为成交候选人。</w:t>
            </w:r>
          </w:p>
          <w:p w14:paraId="7218177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rPr>
              <w:t>单个采购包按以上条款计算的供应商家数不足规定家数的，则该采购包的采购活动结束。</w:t>
            </w:r>
          </w:p>
        </w:tc>
      </w:tr>
      <w:tr w14:paraId="0275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7889933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1984" w:type="dxa"/>
            <w:noWrap w:val="0"/>
            <w:vAlign w:val="center"/>
          </w:tcPr>
          <w:p w14:paraId="4759F39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采购进口产品</w:t>
            </w:r>
          </w:p>
        </w:tc>
        <w:tc>
          <w:tcPr>
            <w:tcW w:w="6058" w:type="dxa"/>
            <w:gridSpan w:val="2"/>
            <w:noWrap w:val="0"/>
            <w:vAlign w:val="center"/>
          </w:tcPr>
          <w:p w14:paraId="650F5AE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本采购项目拒绝进口产品参加磋商</w:t>
            </w:r>
          </w:p>
          <w:p w14:paraId="3A1A768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□本采购项目已经财政部审核同意购买进口产品</w:t>
            </w:r>
          </w:p>
          <w:p w14:paraId="5C9A7D7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□其他____________</w:t>
            </w:r>
          </w:p>
        </w:tc>
      </w:tr>
      <w:tr w14:paraId="4671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6F61AF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984" w:type="dxa"/>
            <w:noWrap w:val="0"/>
            <w:vAlign w:val="center"/>
          </w:tcPr>
          <w:p w14:paraId="5ECBDC7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信息发布媒体</w:t>
            </w:r>
          </w:p>
        </w:tc>
        <w:tc>
          <w:tcPr>
            <w:tcW w:w="6058" w:type="dxa"/>
            <w:gridSpan w:val="2"/>
            <w:noWrap w:val="0"/>
            <w:vAlign w:val="center"/>
          </w:tcPr>
          <w:p w14:paraId="1C75504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Cs w:val="21"/>
                <w:highlight w:val="none"/>
                <w:lang w:eastAsia="zh-CN"/>
              </w:rPr>
              <w:t>国家税务总局广西壮族自治区税务局南宁市频道（http://guangxi.chinatax.gov.cn/nanning/）</w:t>
            </w:r>
          </w:p>
          <w:p w14:paraId="6944260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（2）广西招标网（http://www.guangxibid.com.cn</w:t>
            </w:r>
            <w:r>
              <w:rPr>
                <w:rFonts w:hint="eastAsia" w:ascii="宋体" w:hAnsi="宋体" w:cs="宋体"/>
                <w:color w:val="auto"/>
                <w:sz w:val="21"/>
                <w:szCs w:val="21"/>
                <w:highlight w:val="none"/>
                <w:lang w:eastAsia="zh-CN"/>
              </w:rPr>
              <w:t>）</w:t>
            </w:r>
          </w:p>
          <w:p w14:paraId="638024B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rPr>
              <w:t>广西阳光采购服务平台（行政事业国资专区）（</w:t>
            </w:r>
            <w:r>
              <w:rPr>
                <w:rFonts w:hint="eastAsia" w:ascii="宋体" w:hAnsi="宋体" w:cs="宋体"/>
                <w:color w:val="auto"/>
                <w:szCs w:val="21"/>
                <w:highlight w:val="none"/>
                <w:lang w:eastAsia="zh-CN"/>
              </w:rPr>
              <w:t>（https://xz.gxygcg.com）</w:t>
            </w:r>
            <w:r>
              <w:rPr>
                <w:rFonts w:hint="eastAsia" w:ascii="宋体" w:hAnsi="宋体" w:eastAsia="宋体" w:cs="宋体"/>
                <w:color w:val="auto"/>
                <w:szCs w:val="21"/>
                <w:highlight w:val="none"/>
              </w:rPr>
              <w:t>）</w:t>
            </w:r>
          </w:p>
        </w:tc>
      </w:tr>
      <w:tr w14:paraId="1FDB1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2345A9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984" w:type="dxa"/>
            <w:noWrap w:val="0"/>
            <w:vAlign w:val="center"/>
          </w:tcPr>
          <w:p w14:paraId="71EFA130">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获取采购文件</w:t>
            </w:r>
          </w:p>
          <w:p w14:paraId="078622C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时间、地点和</w:t>
            </w:r>
          </w:p>
          <w:p w14:paraId="47DBAD4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方式等</w:t>
            </w:r>
          </w:p>
        </w:tc>
        <w:tc>
          <w:tcPr>
            <w:tcW w:w="6058" w:type="dxa"/>
            <w:gridSpan w:val="2"/>
            <w:noWrap w:val="0"/>
            <w:vAlign w:val="center"/>
          </w:tcPr>
          <w:p w14:paraId="39F8E635">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cs="宋体"/>
                <w:color w:val="auto"/>
                <w:sz w:val="21"/>
                <w:szCs w:val="21"/>
                <w:highlight w:val="none"/>
                <w:lang w:val="en-US" w:eastAsia="zh-CN"/>
              </w:rPr>
              <w:t>2026年2月2日</w:t>
            </w:r>
            <w:r>
              <w:rPr>
                <w:rFonts w:hint="eastAsia" w:ascii="宋体" w:hAnsi="宋体" w:cs="宋体"/>
                <w:color w:val="auto"/>
                <w:sz w:val="21"/>
                <w:szCs w:val="21"/>
                <w:highlight w:val="none"/>
                <w:lang w:val="en-US" w:eastAsia="zh-CN"/>
              </w:rPr>
              <w:t>至</w:t>
            </w:r>
            <w:r>
              <w:rPr>
                <w:rFonts w:hint="eastAsia" w:ascii="宋体" w:hAnsi="宋体" w:cs="宋体"/>
                <w:color w:val="auto"/>
                <w:sz w:val="21"/>
                <w:szCs w:val="21"/>
                <w:highlight w:val="none"/>
                <w:lang w:val="en-US" w:eastAsia="zh-CN"/>
              </w:rPr>
              <w:t>2026年2月9日</w:t>
            </w:r>
            <w:r>
              <w:rPr>
                <w:rFonts w:hint="eastAsia" w:ascii="宋体" w:hAnsi="宋体" w:eastAsia="宋体" w:cs="宋体"/>
                <w:color w:val="auto"/>
                <w:sz w:val="21"/>
                <w:szCs w:val="21"/>
                <w:highlight w:val="none"/>
              </w:rPr>
              <w:t>每天上午8</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00至12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00，下午3</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00至6</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00（北京时间，法定节假日除外）</w:t>
            </w:r>
          </w:p>
          <w:p w14:paraId="6E500D13">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地点：供应商请登录广西阳光采购服务平台（行政事业国资专区）（</w:t>
            </w:r>
            <w:r>
              <w:rPr>
                <w:rFonts w:hint="eastAsia" w:ascii="宋体" w:hAnsi="宋体" w:cs="宋体"/>
                <w:color w:val="auto"/>
                <w:sz w:val="21"/>
                <w:szCs w:val="21"/>
                <w:highlight w:val="none"/>
                <w:lang w:eastAsia="zh-CN"/>
              </w:rPr>
              <w:t>（https://xz.gxygcg.com）</w:t>
            </w:r>
            <w:r>
              <w:rPr>
                <w:rFonts w:hint="eastAsia" w:ascii="宋体" w:hAnsi="宋体" w:eastAsia="宋体" w:cs="宋体"/>
                <w:color w:val="auto"/>
                <w:sz w:val="21"/>
                <w:szCs w:val="21"/>
                <w:highlight w:val="none"/>
              </w:rPr>
              <w:t>）购买及下载</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文件</w:t>
            </w:r>
          </w:p>
        </w:tc>
      </w:tr>
      <w:tr w14:paraId="3E72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72DCE53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984" w:type="dxa"/>
            <w:noWrap w:val="0"/>
            <w:vAlign w:val="center"/>
          </w:tcPr>
          <w:p w14:paraId="610BE17C">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现场考察或召开磋商前答疑会</w:t>
            </w:r>
          </w:p>
        </w:tc>
        <w:tc>
          <w:tcPr>
            <w:tcW w:w="6058" w:type="dxa"/>
            <w:gridSpan w:val="2"/>
            <w:noWrap w:val="0"/>
            <w:vAlign w:val="center"/>
          </w:tcPr>
          <w:p w14:paraId="06882FF0">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不组织现场考察/召开磋商前答疑会</w:t>
            </w:r>
          </w:p>
          <w:p w14:paraId="6B7D4917">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组织现场考察/</w:t>
            </w:r>
            <w:r>
              <w:rPr>
                <w:rFonts w:hint="eastAsia" w:ascii="宋体" w:hAnsi="宋体" w:eastAsia="宋体" w:cs="宋体"/>
                <w:color w:val="auto"/>
                <w:sz w:val="21"/>
                <w:szCs w:val="21"/>
                <w:highlight w:val="none"/>
              </w:rPr>
              <w:t>召开磋商前答疑会</w:t>
            </w:r>
            <w:r>
              <w:rPr>
                <w:rFonts w:hint="eastAsia" w:ascii="宋体" w:hAnsi="宋体" w:eastAsia="宋体" w:cs="宋体"/>
                <w:bCs/>
                <w:color w:val="auto"/>
                <w:sz w:val="21"/>
                <w:szCs w:val="21"/>
                <w:highlight w:val="none"/>
              </w:rPr>
              <w:t>：</w:t>
            </w:r>
          </w:p>
          <w:p w14:paraId="3BB913BD">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bCs/>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（北京时间）</w:t>
            </w:r>
          </w:p>
          <w:p w14:paraId="03F840C7">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地点：</w:t>
            </w:r>
            <w:r>
              <w:rPr>
                <w:rFonts w:hint="eastAsia" w:ascii="宋体" w:hAnsi="宋体" w:eastAsia="宋体" w:cs="宋体"/>
                <w:b/>
                <w:color w:val="auto"/>
                <w:sz w:val="21"/>
                <w:szCs w:val="21"/>
                <w:highlight w:val="none"/>
                <w:u w:val="single"/>
              </w:rPr>
              <w:t xml:space="preserve">                 </w:t>
            </w:r>
          </w:p>
          <w:p w14:paraId="29E2DD75">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联系人：</w:t>
            </w:r>
            <w:r>
              <w:rPr>
                <w:rFonts w:hint="eastAsia" w:ascii="宋体" w:hAnsi="宋体" w:eastAsia="宋体" w:cs="宋体"/>
                <w:b/>
                <w:color w:val="auto"/>
                <w:sz w:val="21"/>
                <w:szCs w:val="21"/>
                <w:highlight w:val="none"/>
                <w:u w:val="single"/>
              </w:rPr>
              <w:t xml:space="preserve">               </w:t>
            </w:r>
          </w:p>
          <w:p w14:paraId="326A1C58">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Cs/>
                <w:color w:val="auto"/>
                <w:sz w:val="21"/>
                <w:szCs w:val="21"/>
                <w:highlight w:val="none"/>
                <w:u w:val="single"/>
              </w:rPr>
            </w:pPr>
            <w:r>
              <w:rPr>
                <w:rFonts w:hint="eastAsia" w:ascii="宋体" w:hAnsi="宋体" w:eastAsia="宋体" w:cs="宋体"/>
                <w:b/>
                <w:color w:val="auto"/>
                <w:sz w:val="21"/>
                <w:szCs w:val="21"/>
                <w:highlight w:val="none"/>
              </w:rPr>
              <w:t>联系电话：</w:t>
            </w:r>
            <w:r>
              <w:rPr>
                <w:rFonts w:hint="eastAsia" w:ascii="宋体" w:hAnsi="宋体" w:eastAsia="宋体" w:cs="宋体"/>
                <w:color w:val="auto"/>
                <w:sz w:val="21"/>
                <w:szCs w:val="21"/>
                <w:highlight w:val="none"/>
                <w:u w:val="single"/>
              </w:rPr>
              <w:t xml:space="preserve">             </w:t>
            </w:r>
          </w:p>
          <w:p w14:paraId="54DE79F8">
            <w:pPr>
              <w:keepNext w:val="0"/>
              <w:keepLines w:val="0"/>
              <w:pageBreakBefore w:val="0"/>
              <w:widowControl/>
              <w:suppressLineNumbers w:val="0"/>
              <w:shd w:val="clear"/>
              <w:tabs>
                <w:tab w:val="left" w:pos="0"/>
                <w:tab w:val="left" w:pos="420"/>
              </w:tabs>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要求：</w:t>
            </w:r>
            <w:r>
              <w:rPr>
                <w:rFonts w:hint="eastAsia" w:ascii="宋体" w:hAnsi="宋体" w:eastAsia="宋体" w:cs="宋体"/>
                <w:color w:val="auto"/>
                <w:sz w:val="21"/>
                <w:szCs w:val="21"/>
                <w:highlight w:val="none"/>
                <w:u w:val="single"/>
              </w:rPr>
              <w:t xml:space="preserve">                 </w:t>
            </w:r>
          </w:p>
        </w:tc>
      </w:tr>
      <w:tr w14:paraId="66DD3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6748AD1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984" w:type="dxa"/>
            <w:noWrap w:val="0"/>
            <w:vAlign w:val="center"/>
          </w:tcPr>
          <w:p w14:paraId="7343DE6A">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w:t>
            </w:r>
          </w:p>
        </w:tc>
        <w:tc>
          <w:tcPr>
            <w:tcW w:w="6058" w:type="dxa"/>
            <w:gridSpan w:val="2"/>
            <w:noWrap w:val="0"/>
            <w:vAlign w:val="center"/>
          </w:tcPr>
          <w:p w14:paraId="5D4D1BC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p>
          <w:p w14:paraId="4FF758A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Cs/>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bCs/>
                <w:color w:val="auto"/>
                <w:sz w:val="21"/>
                <w:szCs w:val="21"/>
                <w:highlight w:val="none"/>
              </w:rPr>
              <w:t>要求提供：</w:t>
            </w:r>
          </w:p>
          <w:p w14:paraId="2C3572B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1.样品制作的标准和要求：</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u w:val="single"/>
                <w:lang w:val="en-US" w:eastAsia="zh-CN"/>
              </w:rPr>
              <w:t xml:space="preserve"> /                    </w:t>
            </w:r>
            <w:r>
              <w:rPr>
                <w:rFonts w:hint="eastAsia" w:ascii="宋体" w:hAnsi="宋体" w:cs="宋体"/>
                <w:color w:val="auto"/>
                <w:sz w:val="21"/>
                <w:szCs w:val="21"/>
                <w:highlight w:val="none"/>
                <w:lang w:val="en-US" w:eastAsia="zh-CN"/>
              </w:rPr>
              <w:t xml:space="preserve"> </w:t>
            </w:r>
          </w:p>
          <w:p w14:paraId="289149B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2.样品检测报告：</w:t>
            </w:r>
            <w:r>
              <w:rPr>
                <w:rFonts w:hint="eastAsia" w:ascii="宋体" w:hAnsi="宋体" w:cs="宋体"/>
                <w:color w:val="auto"/>
                <w:sz w:val="21"/>
                <w:szCs w:val="21"/>
                <w:highlight w:val="none"/>
                <w:lang w:val="en-US" w:eastAsia="zh-CN"/>
              </w:rPr>
              <w:t>/</w:t>
            </w:r>
          </w:p>
          <w:p w14:paraId="5BE0703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3.样品的评审方法及评审标准：</w:t>
            </w:r>
            <w:r>
              <w:rPr>
                <w:rFonts w:hint="eastAsia" w:ascii="宋体" w:hAnsi="宋体" w:cs="宋体"/>
                <w:color w:val="auto"/>
                <w:sz w:val="21"/>
                <w:szCs w:val="21"/>
                <w:highlight w:val="none"/>
                <w:lang w:val="en-US" w:eastAsia="zh-CN"/>
              </w:rPr>
              <w:t>/</w:t>
            </w:r>
          </w:p>
        </w:tc>
      </w:tr>
      <w:tr w14:paraId="5AD26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1A0CD3E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984" w:type="dxa"/>
            <w:vMerge w:val="restart"/>
            <w:noWrap w:val="0"/>
            <w:vAlign w:val="center"/>
          </w:tcPr>
          <w:p w14:paraId="131B5EA6">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响应文件组成</w:t>
            </w:r>
          </w:p>
        </w:tc>
        <w:tc>
          <w:tcPr>
            <w:tcW w:w="851" w:type="dxa"/>
            <w:vMerge w:val="restart"/>
            <w:noWrap w:val="0"/>
            <w:vAlign w:val="center"/>
          </w:tcPr>
          <w:p w14:paraId="26498117">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商务部</w:t>
            </w:r>
            <w:r>
              <w:rPr>
                <w:rFonts w:hint="eastAsia" w:ascii="宋体" w:hAnsi="宋体" w:eastAsia="宋体" w:cs="宋体"/>
                <w:bCs/>
                <w:color w:val="auto"/>
                <w:sz w:val="21"/>
                <w:szCs w:val="21"/>
                <w:highlight w:val="none"/>
              </w:rPr>
              <w:t>分</w:t>
            </w:r>
          </w:p>
        </w:tc>
        <w:tc>
          <w:tcPr>
            <w:tcW w:w="5207" w:type="dxa"/>
            <w:noWrap w:val="0"/>
            <w:vAlign w:val="center"/>
          </w:tcPr>
          <w:p w14:paraId="4ABB7AC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w:t>
            </w:r>
          </w:p>
          <w:p w14:paraId="793B98C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供应商基本情况（</w:t>
            </w:r>
            <w:r>
              <w:rPr>
                <w:rFonts w:hint="eastAsia" w:ascii="宋体" w:hAnsi="宋体" w:eastAsia="宋体" w:cs="宋体"/>
                <w:color w:val="auto"/>
                <w:sz w:val="21"/>
                <w:szCs w:val="21"/>
                <w:highlight w:val="none"/>
              </w:rPr>
              <w:t>法人或者其他组织的营业执照等证明文件，自然人的身份证明复印件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501A8E3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2.★财务状况报告：</w:t>
            </w:r>
            <w:r>
              <w:rPr>
                <w:rFonts w:hint="eastAsia" w:ascii="宋体" w:hAnsi="宋体" w:cs="宋体"/>
                <w:color w:val="auto"/>
                <w:sz w:val="21"/>
                <w:szCs w:val="21"/>
                <w:highlight w:val="none"/>
                <w:lang w:val="en-US" w:eastAsia="zh-CN"/>
              </w:rPr>
              <w:t>2024</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rPr>
              <w:t>经会计师事务所审计的财务报告（须</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加盖会计师事务所公章及注册会计师签章的</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）；没有经审计的财务报告的，可以提供基本开户银行出具的资信证明复印件</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cs="宋体"/>
                <w:color w:val="auto"/>
                <w:sz w:val="21"/>
                <w:szCs w:val="21"/>
                <w:highlight w:val="none"/>
                <w:lang w:eastAsia="zh-CN"/>
              </w:rPr>
              <w:t>磋商</w:t>
            </w:r>
            <w:r>
              <w:rPr>
                <w:rFonts w:hint="eastAsia" w:ascii="宋体" w:hAnsi="宋体" w:eastAsia="宋体" w:cs="宋体"/>
                <w:color w:val="auto"/>
                <w:sz w:val="21"/>
                <w:szCs w:val="21"/>
                <w:highlight w:val="none"/>
              </w:rPr>
              <w:t>当年新成立公司的，应提供于公司成立之日后的财务状况报告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其中，上述财务状况报告包括：</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执行《企业会计准则》的，提供资产负债表、利润表、现金流量表、所有者权益变动表及其附注（以下称“四表一注”）；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执行《小企业会计准则》的，提供资产负债表、利润表、现金流量表及其附注（以下称“三表一注”）；</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执行《政府会计制度》的，提供资产负债表、收入费用表和净资产变动表及其附注</w:t>
            </w:r>
            <w:r>
              <w:rPr>
                <w:rFonts w:hint="eastAsia" w:ascii="宋体" w:hAnsi="宋体" w:eastAsia="宋体" w:cs="宋体"/>
                <w:color w:val="auto"/>
                <w:sz w:val="21"/>
                <w:szCs w:val="21"/>
                <w:highlight w:val="none"/>
                <w:lang w:eastAsia="zh-CN"/>
              </w:rPr>
              <w:t>。</w:t>
            </w:r>
          </w:p>
          <w:p w14:paraId="6336B3E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3.★依法缴纳税收：</w:t>
            </w:r>
            <w:r>
              <w:rPr>
                <w:rFonts w:hint="eastAsia" w:ascii="宋体" w:hAnsi="宋体" w:cs="宋体"/>
                <w:color w:val="auto"/>
                <w:sz w:val="21"/>
                <w:szCs w:val="21"/>
                <w:highlight w:val="none"/>
                <w:lang w:val="en-US" w:eastAsia="zh-CN"/>
              </w:rPr>
              <w:t>2025年1月以来不少于2个月</w:t>
            </w:r>
            <w:r>
              <w:rPr>
                <w:rFonts w:hint="eastAsia" w:ascii="宋体" w:hAnsi="宋体" w:eastAsia="宋体" w:cs="宋体"/>
                <w:color w:val="auto"/>
                <w:sz w:val="21"/>
                <w:szCs w:val="21"/>
                <w:highlight w:val="none"/>
              </w:rPr>
              <w:t>依法缴纳税收（不包括个人所得税）</w:t>
            </w:r>
            <w:r>
              <w:rPr>
                <w:rFonts w:hint="eastAsia" w:ascii="宋体" w:hAnsi="宋体" w:eastAsia="宋体" w:cs="宋体"/>
                <w:color w:val="auto"/>
                <w:sz w:val="21"/>
                <w:szCs w:val="21"/>
                <w:highlight w:val="none"/>
                <w:lang w:eastAsia="zh-CN"/>
              </w:rPr>
              <w:t>的相关材料，</w:t>
            </w:r>
            <w:r>
              <w:rPr>
                <w:rFonts w:hint="eastAsia" w:ascii="宋体" w:hAnsi="宋体" w:eastAsia="宋体" w:cs="宋体"/>
                <w:color w:val="auto"/>
                <w:sz w:val="21"/>
                <w:szCs w:val="21"/>
                <w:highlight w:val="none"/>
              </w:rPr>
              <w:t>如依法免税或不需要纳税的，应提供相应证明材料复印件；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无纳税记录</w:t>
            </w:r>
            <w:r>
              <w:rPr>
                <w:rFonts w:hint="eastAsia" w:ascii="宋体" w:hAnsi="宋体" w:cs="宋体"/>
                <w:color w:val="auto"/>
                <w:sz w:val="21"/>
                <w:szCs w:val="21"/>
                <w:highlight w:val="none"/>
                <w:lang w:eastAsia="zh-CN"/>
              </w:rPr>
              <w:t>或成立时间不足2个月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按照实际提供证明材料</w:t>
            </w:r>
            <w:r>
              <w:rPr>
                <w:rFonts w:hint="eastAsia" w:ascii="宋体" w:hAnsi="宋体" w:eastAsia="宋体" w:cs="宋体"/>
                <w:color w:val="auto"/>
                <w:sz w:val="21"/>
                <w:szCs w:val="21"/>
                <w:highlight w:val="none"/>
                <w:lang w:eastAsia="zh-CN"/>
              </w:rPr>
              <w:t>；</w:t>
            </w:r>
          </w:p>
          <w:p w14:paraId="3389459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4.★社会保障资金：</w:t>
            </w:r>
            <w:r>
              <w:rPr>
                <w:rFonts w:hint="eastAsia" w:ascii="宋体" w:hAnsi="宋体" w:cs="宋体"/>
                <w:color w:val="auto"/>
                <w:sz w:val="21"/>
                <w:szCs w:val="21"/>
                <w:highlight w:val="none"/>
                <w:lang w:val="en-US" w:eastAsia="zh-CN"/>
              </w:rPr>
              <w:t>2025年1月以来不少于2个月</w:t>
            </w:r>
            <w:r>
              <w:rPr>
                <w:rFonts w:hint="eastAsia" w:ascii="宋体" w:hAnsi="宋体" w:eastAsia="宋体" w:cs="宋体"/>
                <w:color w:val="auto"/>
                <w:sz w:val="21"/>
                <w:szCs w:val="21"/>
                <w:highlight w:val="none"/>
              </w:rPr>
              <w:t>依法缴纳社会保障资金的相关材料，如依法不需要缴纳社会保障资金的，则应提供相应证明材料复印件；</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无缴费记录</w:t>
            </w:r>
            <w:r>
              <w:rPr>
                <w:rFonts w:hint="eastAsia" w:ascii="宋体" w:hAnsi="宋体" w:cs="宋体"/>
                <w:color w:val="auto"/>
                <w:sz w:val="21"/>
                <w:szCs w:val="21"/>
                <w:highlight w:val="none"/>
                <w:lang w:eastAsia="zh-CN"/>
              </w:rPr>
              <w:t>或成立时间不足2个月</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按照实际提供证明材料</w:t>
            </w:r>
            <w:r>
              <w:rPr>
                <w:rFonts w:hint="eastAsia" w:ascii="宋体" w:hAnsi="宋体" w:eastAsia="宋体" w:cs="宋体"/>
                <w:color w:val="auto"/>
                <w:sz w:val="21"/>
                <w:szCs w:val="21"/>
                <w:highlight w:val="none"/>
                <w:lang w:eastAsia="zh-CN"/>
              </w:rPr>
              <w:t>；</w:t>
            </w:r>
          </w:p>
          <w:p w14:paraId="640F4FF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.★参加采购活动前3年内在经营活动中没有重大违法记录的书面声明；</w:t>
            </w:r>
          </w:p>
          <w:p w14:paraId="0305DE8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★中小企业声明函（中小企业参加磋商的，应按照《政府采购促进中小企业发展管理办法》（财库﹝2020﹞46号印发）《关于印发中小企业划型标准规定的通知》（工信部联企业〔2011〕300 号）如实填写并提交此函）；监狱企业证明文件[监狱企业参加磋商的，应提交省级以上监狱管理局、戒毒管理局（含新疆生产建设兵团）出具的证明文件复印件]；残疾人福利性单位声明函（残 疾人福利性单位参加磋商的，应提交此函）；</w:t>
            </w:r>
          </w:p>
          <w:p w14:paraId="7238EFD1">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eastAsia="zh-CN"/>
              </w:rPr>
              <w:t>供应商认为需提供的其他资格证明资料</w:t>
            </w:r>
            <w:r>
              <w:rPr>
                <w:rFonts w:hint="eastAsia" w:ascii="宋体" w:hAnsi="宋体" w:eastAsia="宋体" w:cs="宋体"/>
                <w:color w:val="auto"/>
                <w:sz w:val="21"/>
                <w:szCs w:val="21"/>
                <w:highlight w:val="none"/>
              </w:rPr>
              <w:t>；</w:t>
            </w:r>
          </w:p>
        </w:tc>
      </w:tr>
      <w:tr w14:paraId="534A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755EA0E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55121097">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14:paraId="6E91ACE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p>
        </w:tc>
        <w:tc>
          <w:tcPr>
            <w:tcW w:w="5207" w:type="dxa"/>
            <w:noWrap w:val="0"/>
            <w:vAlign w:val="center"/>
          </w:tcPr>
          <w:p w14:paraId="36D81189">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color w:val="auto"/>
                <w:sz w:val="21"/>
                <w:szCs w:val="21"/>
                <w:highlight w:val="none"/>
              </w:rPr>
              <w:t>报价一览表</w:t>
            </w:r>
            <w:r>
              <w:rPr>
                <w:rFonts w:hint="eastAsia" w:ascii="宋体" w:hAnsi="宋体" w:eastAsia="宋体" w:cs="宋体"/>
                <w:b/>
                <w:bCs/>
                <w:color w:val="auto"/>
                <w:sz w:val="21"/>
                <w:szCs w:val="21"/>
                <w:highlight w:val="none"/>
              </w:rPr>
              <w:t>：</w:t>
            </w:r>
          </w:p>
          <w:p w14:paraId="6E226B1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1.★磋商报价表；</w:t>
            </w:r>
          </w:p>
          <w:p w14:paraId="3F11F9B3">
            <w:pPr>
              <w:pStyle w:val="16"/>
              <w:keepNext w:val="0"/>
              <w:keepLines w:val="0"/>
              <w:widowControl/>
              <w:suppressLineNumbers w:val="0"/>
              <w:shd w:val="clear"/>
              <w:topLinePunct/>
              <w:spacing w:afterLines="0" w:line="400" w:lineRule="exact"/>
              <w:ind w:left="0" w:right="0"/>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b w:val="0"/>
                <w:bCs/>
                <w:color w:val="auto"/>
                <w:sz w:val="21"/>
                <w:szCs w:val="21"/>
                <w:highlight w:val="none"/>
                <w:lang w:val="en-US" w:eastAsia="zh-CN"/>
              </w:rPr>
              <w:t>分项价格表</w:t>
            </w:r>
          </w:p>
        </w:tc>
      </w:tr>
      <w:tr w14:paraId="7940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139F0D8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4817A5C6">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851" w:type="dxa"/>
            <w:vMerge w:val="continue"/>
            <w:noWrap w:val="0"/>
            <w:vAlign w:val="center"/>
          </w:tcPr>
          <w:p w14:paraId="1EC35BF2">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bCs/>
                <w:color w:val="auto"/>
                <w:sz w:val="21"/>
                <w:szCs w:val="21"/>
                <w:highlight w:val="none"/>
              </w:rPr>
            </w:pPr>
          </w:p>
        </w:tc>
        <w:tc>
          <w:tcPr>
            <w:tcW w:w="5207" w:type="dxa"/>
            <w:noWrap w:val="0"/>
            <w:vAlign w:val="center"/>
          </w:tcPr>
          <w:p w14:paraId="5AB322F8">
            <w:pPr>
              <w:keepNext w:val="0"/>
              <w:keepLines w:val="0"/>
              <w:pageBreakBefore w:val="0"/>
              <w:widowControl/>
              <w:suppressLineNumbers w:val="0"/>
              <w:shd w:val="clear" w:color="auto"/>
              <w:tabs>
                <w:tab w:val="left" w:pos="475"/>
                <w:tab w:val="left" w:pos="617"/>
              </w:tabs>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三、其他文件及资料：</w:t>
            </w:r>
          </w:p>
          <w:p w14:paraId="3634477C">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1.★授权委托书；</w:t>
            </w:r>
          </w:p>
          <w:p w14:paraId="11BCA903">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2.★磋商响应函；</w:t>
            </w:r>
          </w:p>
          <w:p w14:paraId="3B20EE60">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★磋商保证金缴纳证明</w:t>
            </w:r>
            <w:r>
              <w:rPr>
                <w:rFonts w:hint="eastAsia" w:ascii="宋体" w:hAnsi="宋体" w:eastAsia="宋体" w:cs="宋体"/>
                <w:color w:val="auto"/>
                <w:sz w:val="21"/>
                <w:szCs w:val="21"/>
                <w:highlight w:val="none"/>
                <w:lang w:eastAsia="zh-CN"/>
              </w:rPr>
              <w:t>；</w:t>
            </w:r>
          </w:p>
          <w:p w14:paraId="6A235069">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.★商务条款偏离表；</w:t>
            </w:r>
          </w:p>
          <w:p w14:paraId="60FFA406">
            <w:pPr>
              <w:pStyle w:val="16"/>
              <w:keepNext w:val="0"/>
              <w:keepLines w:val="0"/>
              <w:pageBreakBefore w:val="0"/>
              <w:widowControl/>
              <w:suppressLineNumbers w:val="0"/>
              <w:shd w:val="clear"/>
              <w:kinsoku/>
              <w:wordWrap/>
              <w:overflowPunct/>
              <w:topLinePunct/>
              <w:autoSpaceDE/>
              <w:autoSpaceDN/>
              <w:bidi w:val="0"/>
              <w:spacing w:before="0" w:beforeAutospacing="0" w:after="0" w:afterLines="0" w:afterAutospacing="0" w:line="400" w:lineRule="exact"/>
              <w:ind w:left="0" w:right="0"/>
              <w:textAlignment w:val="auto"/>
              <w:rPr>
                <w:rFonts w:hint="eastAsia" w:ascii="宋体" w:hAnsi="宋体" w:eastAsia="宋体" w:cs="宋体"/>
                <w:color w:val="auto"/>
                <w:highlight w:val="none"/>
              </w:rPr>
            </w:pPr>
            <w:r>
              <w:rPr>
                <w:rFonts w:hint="eastAsia" w:ascii="宋体" w:hAnsi="宋体" w:eastAsia="宋体" w:cs="宋体"/>
                <w:b w:val="0"/>
                <w:color w:val="auto"/>
                <w:kern w:val="2"/>
                <w:sz w:val="21"/>
                <w:szCs w:val="21"/>
                <w:highlight w:val="none"/>
                <w:lang w:val="en-US" w:eastAsia="zh-CN" w:bidi="ar-SA"/>
              </w:rPr>
              <w:t>5.供应商认为需要提供的其他说明和资料。</w:t>
            </w:r>
          </w:p>
        </w:tc>
      </w:tr>
      <w:tr w14:paraId="5D87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21485E3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3FFCBB12">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851" w:type="dxa"/>
            <w:noWrap w:val="0"/>
            <w:vAlign w:val="center"/>
          </w:tcPr>
          <w:p w14:paraId="016A6184">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技术部分</w:t>
            </w:r>
          </w:p>
        </w:tc>
        <w:tc>
          <w:tcPr>
            <w:tcW w:w="5207" w:type="dxa"/>
            <w:noWrap w:val="0"/>
            <w:vAlign w:val="center"/>
          </w:tcPr>
          <w:p w14:paraId="1E6077C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highlight w:val="none"/>
              </w:rPr>
              <w:t>★</w:t>
            </w:r>
            <w:r>
              <w:rPr>
                <w:rFonts w:hint="eastAsia" w:ascii="宋体" w:hAnsi="宋体" w:eastAsia="宋体" w:cs="宋体"/>
                <w:color w:val="auto"/>
                <w:sz w:val="21"/>
                <w:szCs w:val="21"/>
                <w:highlight w:val="none"/>
              </w:rPr>
              <w:t>技术条款偏离表；</w:t>
            </w:r>
          </w:p>
          <w:p w14:paraId="042C730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2.服务方案；</w:t>
            </w:r>
          </w:p>
          <w:p w14:paraId="12DA9E3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3.供应商认为需要提供的</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说明和资料；</w:t>
            </w:r>
          </w:p>
        </w:tc>
      </w:tr>
      <w:tr w14:paraId="1F7E8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6D9C7D4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1984" w:type="dxa"/>
            <w:vMerge w:val="continue"/>
            <w:noWrap w:val="0"/>
            <w:vAlign w:val="center"/>
          </w:tcPr>
          <w:p w14:paraId="3DE6848E">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p>
        </w:tc>
        <w:tc>
          <w:tcPr>
            <w:tcW w:w="6058" w:type="dxa"/>
            <w:gridSpan w:val="2"/>
            <w:noWrap w:val="0"/>
            <w:vAlign w:val="center"/>
          </w:tcPr>
          <w:p w14:paraId="5F5D13D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1.以上带★的文件及资料未提供或提供的无效，则响应无效。</w:t>
            </w:r>
          </w:p>
          <w:p w14:paraId="4E9B53F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2.以上带★的文件，必须加盖供应商公章，否则按无效响应处理。</w:t>
            </w:r>
          </w:p>
        </w:tc>
      </w:tr>
      <w:tr w14:paraId="22C2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4CAEBFD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984" w:type="dxa"/>
            <w:noWrap w:val="0"/>
            <w:vAlign w:val="center"/>
          </w:tcPr>
          <w:p w14:paraId="4BFF6DDF">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磋商响应有效期</w:t>
            </w:r>
          </w:p>
        </w:tc>
        <w:tc>
          <w:tcPr>
            <w:tcW w:w="6058" w:type="dxa"/>
            <w:gridSpan w:val="2"/>
            <w:noWrap w:val="0"/>
            <w:vAlign w:val="center"/>
          </w:tcPr>
          <w:p w14:paraId="009901B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从提交响应文件的截止之日起计算</w:t>
            </w:r>
            <w:r>
              <w:rPr>
                <w:rFonts w:hint="eastAsia" w:ascii="宋体" w:hAnsi="宋体" w:eastAsia="宋体" w:cs="宋体"/>
                <w:color w:val="auto"/>
                <w:sz w:val="21"/>
                <w:szCs w:val="21"/>
                <w:highlight w:val="none"/>
                <w:u w:val="single"/>
              </w:rPr>
              <w:t>90</w:t>
            </w:r>
            <w:r>
              <w:rPr>
                <w:rFonts w:hint="eastAsia" w:ascii="宋体" w:hAnsi="宋体" w:eastAsia="宋体" w:cs="宋体"/>
                <w:color w:val="auto"/>
                <w:sz w:val="21"/>
                <w:szCs w:val="21"/>
                <w:highlight w:val="none"/>
              </w:rPr>
              <w:t>日历日。</w:t>
            </w:r>
          </w:p>
        </w:tc>
      </w:tr>
      <w:tr w14:paraId="22CC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69CC96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984" w:type="dxa"/>
            <w:noWrap w:val="0"/>
            <w:vAlign w:val="center"/>
          </w:tcPr>
          <w:p w14:paraId="05319F05">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提交响应文件方式、截止时间、地点</w:t>
            </w:r>
          </w:p>
        </w:tc>
        <w:tc>
          <w:tcPr>
            <w:tcW w:w="6058" w:type="dxa"/>
            <w:gridSpan w:val="2"/>
            <w:noWrap w:val="0"/>
            <w:vAlign w:val="center"/>
          </w:tcPr>
          <w:p w14:paraId="720AB9D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提交方式：纸质文件提交</w:t>
            </w:r>
          </w:p>
          <w:p w14:paraId="66624F39">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提交响应文件截止时间：</w:t>
            </w:r>
            <w:r>
              <w:rPr>
                <w:rFonts w:hint="eastAsia" w:ascii="宋体" w:hAnsi="宋体" w:cs="宋体"/>
                <w:b w:val="0"/>
                <w:bCs/>
                <w:color w:val="auto"/>
                <w:sz w:val="21"/>
                <w:szCs w:val="21"/>
                <w:highlight w:val="none"/>
                <w:lang w:val="en-US" w:eastAsia="zh-CN"/>
              </w:rPr>
              <w:t>2026年2月12日</w:t>
            </w:r>
            <w:r>
              <w:rPr>
                <w:rFonts w:hint="eastAsia" w:ascii="宋体" w:hAnsi="宋体" w:eastAsia="宋体" w:cs="宋体"/>
                <w:b w:val="0"/>
                <w:bCs/>
                <w:color w:val="auto"/>
                <w:sz w:val="21"/>
                <w:szCs w:val="21"/>
                <w:highlight w:val="none"/>
                <w:lang w:val="en-US" w:eastAsia="zh-CN"/>
              </w:rPr>
              <w:t>09:30 （北京时间）</w:t>
            </w:r>
          </w:p>
          <w:p w14:paraId="56BB6624">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 xml:space="preserve">地点：南宁市青秀区枫林路18号广西国资交易中心开标室 </w:t>
            </w:r>
          </w:p>
          <w:p w14:paraId="2433989F">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联系电话： 0771-2807659</w:t>
            </w:r>
          </w:p>
        </w:tc>
      </w:tr>
      <w:tr w14:paraId="34324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394F27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984" w:type="dxa"/>
            <w:noWrap w:val="0"/>
            <w:vAlign w:val="center"/>
          </w:tcPr>
          <w:p w14:paraId="1E8DD02E">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响应文件开启时间和地点</w:t>
            </w:r>
          </w:p>
        </w:tc>
        <w:tc>
          <w:tcPr>
            <w:tcW w:w="6058" w:type="dxa"/>
            <w:gridSpan w:val="2"/>
            <w:noWrap w:val="0"/>
            <w:vAlign w:val="center"/>
          </w:tcPr>
          <w:p w14:paraId="119C1AF4">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时间：</w:t>
            </w:r>
            <w:r>
              <w:rPr>
                <w:rFonts w:hint="eastAsia" w:ascii="宋体" w:hAnsi="宋体" w:cs="宋体"/>
                <w:b w:val="0"/>
                <w:bCs/>
                <w:color w:val="auto"/>
                <w:sz w:val="21"/>
                <w:szCs w:val="21"/>
                <w:highlight w:val="none"/>
                <w:lang w:val="en-US" w:eastAsia="zh-CN"/>
              </w:rPr>
              <w:t>2026年2月12日</w:t>
            </w:r>
            <w:r>
              <w:rPr>
                <w:rFonts w:hint="eastAsia" w:ascii="宋体" w:hAnsi="宋体" w:eastAsia="宋体" w:cs="宋体"/>
                <w:b w:val="0"/>
                <w:bCs/>
                <w:color w:val="auto"/>
                <w:sz w:val="21"/>
                <w:szCs w:val="21"/>
                <w:highlight w:val="none"/>
              </w:rPr>
              <w:t>09:30后（北京时间）</w:t>
            </w:r>
          </w:p>
          <w:p w14:paraId="7387F485">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b w:val="0"/>
                <w:bCs/>
                <w:color w:val="auto"/>
                <w:sz w:val="21"/>
                <w:szCs w:val="21"/>
                <w:highlight w:val="none"/>
              </w:rPr>
              <w:t xml:space="preserve">地点：南宁市青秀区枫林路18号广西国资交易中心评标室 </w:t>
            </w:r>
          </w:p>
        </w:tc>
      </w:tr>
      <w:tr w14:paraId="2CC2D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502D578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984" w:type="dxa"/>
            <w:noWrap w:val="0"/>
            <w:vAlign w:val="center"/>
          </w:tcPr>
          <w:p w14:paraId="5715D503">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磋商保证金</w:t>
            </w:r>
          </w:p>
        </w:tc>
        <w:tc>
          <w:tcPr>
            <w:tcW w:w="6058" w:type="dxa"/>
            <w:gridSpan w:val="2"/>
            <w:noWrap w:val="0"/>
            <w:vAlign w:val="center"/>
          </w:tcPr>
          <w:p w14:paraId="44F8F3A9">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snapToGrid w:val="0"/>
                <w:color w:val="auto"/>
                <w:sz w:val="21"/>
                <w:szCs w:val="21"/>
                <w:highlight w:val="none"/>
                <w:lang w:val="zh-CN"/>
              </w:rPr>
            </w:pPr>
            <w:r>
              <w:rPr>
                <w:rFonts w:hint="eastAsia" w:ascii="宋体" w:hAnsi="宋体" w:eastAsia="宋体" w:cs="宋体"/>
                <w:color w:val="auto"/>
                <w:sz w:val="21"/>
                <w:szCs w:val="21"/>
                <w:highlight w:val="none"/>
              </w:rPr>
              <w:t>□不要求提供</w:t>
            </w:r>
          </w:p>
          <w:p w14:paraId="0866434E">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要求提供：</w:t>
            </w:r>
            <w:r>
              <w:rPr>
                <w:rFonts w:hint="eastAsia" w:ascii="宋体" w:hAnsi="宋体" w:eastAsia="宋体" w:cs="宋体"/>
                <w:color w:val="auto"/>
                <w:sz w:val="21"/>
                <w:szCs w:val="21"/>
                <w:highlight w:val="none"/>
                <w:lang w:eastAsia="zh-CN"/>
              </w:rPr>
              <w:t>（注：原则上</w:t>
            </w:r>
            <w:r>
              <w:rPr>
                <w:rFonts w:hint="eastAsia" w:ascii="宋体" w:hAnsi="宋体" w:eastAsia="宋体" w:cs="宋体"/>
                <w:color w:val="auto"/>
                <w:sz w:val="21"/>
                <w:szCs w:val="21"/>
                <w:highlight w:val="none"/>
              </w:rPr>
              <w:t>数额不得超过采购项目预算金额的1%</w:t>
            </w:r>
            <w:r>
              <w:rPr>
                <w:rFonts w:hint="eastAsia" w:ascii="宋体" w:hAnsi="宋体" w:eastAsia="宋体" w:cs="宋体"/>
                <w:color w:val="auto"/>
                <w:sz w:val="21"/>
                <w:szCs w:val="21"/>
                <w:highlight w:val="none"/>
                <w:lang w:eastAsia="zh-CN"/>
              </w:rPr>
              <w:t>）</w:t>
            </w:r>
          </w:p>
          <w:p w14:paraId="347A4F74">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（1）金额：</w:t>
            </w:r>
          </w:p>
          <w:p w14:paraId="26065CE7">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采购包1：人民币</w:t>
            </w:r>
            <w:r>
              <w:rPr>
                <w:rFonts w:hint="eastAsia" w:ascii="宋体" w:hAnsi="宋体" w:cs="宋体"/>
                <w:color w:val="auto"/>
                <w:sz w:val="21"/>
                <w:szCs w:val="21"/>
                <w:highlight w:val="none"/>
                <w:lang w:val="en-US" w:eastAsia="zh-CN"/>
              </w:rPr>
              <w:t>玖仟捌佰捌拾元整</w:t>
            </w:r>
            <w:r>
              <w:rPr>
                <w:rFonts w:hint="eastAsia" w:ascii="宋体" w:hAnsi="宋体" w:eastAsia="宋体" w:cs="宋体"/>
                <w:snapToGrid/>
                <w:color w:val="auto"/>
                <w:kern w:val="2"/>
                <w:sz w:val="21"/>
                <w:szCs w:val="21"/>
                <w:highlight w:val="none"/>
                <w:u w:val="none"/>
                <w:lang w:val="en-US" w:eastAsia="zh-CN" w:bidi="ar-SA"/>
              </w:rPr>
              <w:t>（¥</w:t>
            </w:r>
            <w:r>
              <w:rPr>
                <w:rFonts w:hint="eastAsia" w:ascii="宋体" w:hAnsi="宋体" w:cs="宋体"/>
                <w:snapToGrid/>
                <w:color w:val="auto"/>
                <w:kern w:val="2"/>
                <w:sz w:val="21"/>
                <w:szCs w:val="21"/>
                <w:highlight w:val="none"/>
                <w:u w:val="none"/>
                <w:lang w:val="en-US" w:eastAsia="zh-CN" w:bidi="ar-SA"/>
              </w:rPr>
              <w:t>9880</w:t>
            </w:r>
            <w:r>
              <w:rPr>
                <w:rFonts w:hint="eastAsia" w:ascii="宋体" w:hAnsi="宋体" w:eastAsia="宋体" w:cs="宋体"/>
                <w:snapToGrid/>
                <w:color w:val="auto"/>
                <w:kern w:val="2"/>
                <w:sz w:val="21"/>
                <w:szCs w:val="21"/>
                <w:highlight w:val="none"/>
                <w:u w:val="none"/>
                <w:lang w:val="en-US" w:eastAsia="zh-CN" w:bidi="ar-SA"/>
              </w:rPr>
              <w:t>.00）</w:t>
            </w:r>
            <w:r>
              <w:rPr>
                <w:rFonts w:hint="eastAsia" w:ascii="宋体" w:hAnsi="宋体" w:eastAsia="宋体" w:cs="宋体"/>
                <w:color w:val="auto"/>
                <w:sz w:val="21"/>
                <w:szCs w:val="21"/>
                <w:highlight w:val="none"/>
                <w:u w:val="none"/>
              </w:rPr>
              <w:t>。</w:t>
            </w:r>
          </w:p>
          <w:p w14:paraId="0B5376EE">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交方式：银行转账、支票、汇票、本票或者金融、担保机构出具的保函，禁止采用现钞方式。采用银行转账方式的，在首次提交响应文件截止时间前交至采购代理机构指定账户并且到账；采用支票、汇票、本票或者保函等方式的，在首次提交响应文件截止时间前，供应商必须递交单独密封的支票、汇票、本票或者保函原件。否则视为无效磋商保证金。</w:t>
            </w:r>
          </w:p>
          <w:p w14:paraId="26137B9E">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收款账户：广西建设工程机电设备招标中心有限公司</w:t>
            </w:r>
          </w:p>
          <w:p w14:paraId="2217E67E">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开户银行：招商银行南宁分行营业部</w:t>
            </w:r>
          </w:p>
          <w:p w14:paraId="1D9A4C3B">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银行账户： 7719 0142 3310 201</w:t>
            </w:r>
          </w:p>
          <w:p w14:paraId="02A36779">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注：以电汇方式递交磋商保证金须在电汇凭据附言栏中写明采购编号、包号及用途（磋商保证金）。</w:t>
            </w:r>
          </w:p>
        </w:tc>
      </w:tr>
      <w:tr w14:paraId="27FF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1B1735A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984" w:type="dxa"/>
            <w:vMerge w:val="restart"/>
            <w:noWrap w:val="0"/>
            <w:vAlign w:val="center"/>
          </w:tcPr>
          <w:p w14:paraId="74ACF5E7">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退还方式以及</w:t>
            </w:r>
            <w:r>
              <w:rPr>
                <w:rFonts w:hint="eastAsia" w:ascii="宋体" w:hAnsi="宋体" w:eastAsia="宋体" w:cs="宋体"/>
                <w:color w:val="auto"/>
                <w:szCs w:val="21"/>
                <w:highlight w:val="none"/>
              </w:rPr>
              <w:t>不予退还的情形</w:t>
            </w:r>
            <w:r>
              <w:rPr>
                <w:rFonts w:hint="eastAsia" w:ascii="宋体" w:hAnsi="宋体" w:eastAsia="宋体" w:cs="宋体"/>
                <w:color w:val="auto"/>
                <w:sz w:val="21"/>
                <w:szCs w:val="21"/>
                <w:highlight w:val="none"/>
              </w:rPr>
              <w:t>不予退还磋商保证金的情形</w:t>
            </w:r>
          </w:p>
        </w:tc>
        <w:tc>
          <w:tcPr>
            <w:tcW w:w="6058" w:type="dxa"/>
            <w:gridSpan w:val="2"/>
            <w:shd w:val="clear" w:color="auto" w:fill="auto"/>
            <w:noWrap w:val="0"/>
            <w:vAlign w:val="center"/>
          </w:tcPr>
          <w:p w14:paraId="273BEE73">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未成交的供应商的磋商保证金，将在成交通知书发出后5个工作日内退还，但因供应商自身原因导致无法及时退还的除外。</w:t>
            </w:r>
          </w:p>
          <w:p w14:paraId="71886226">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成交的供应商的磋商保证金，将在采购合同签订后5个工作日内退还。</w:t>
            </w:r>
          </w:p>
          <w:p w14:paraId="63A80C12">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保证金将不予退还：</w:t>
            </w:r>
          </w:p>
          <w:p w14:paraId="62FD539A">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串通</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或有视为串通</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情形之一的；</w:t>
            </w:r>
          </w:p>
          <w:p w14:paraId="2C00B529">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提供虚假材料；</w:t>
            </w:r>
          </w:p>
          <w:p w14:paraId="076F0088">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采取不正当手段诋毁、排挤其他</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w:t>
            </w:r>
          </w:p>
          <w:p w14:paraId="426CD458">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截止时间后，</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磋商</w:t>
            </w:r>
            <w:r>
              <w:rPr>
                <w:rFonts w:hint="eastAsia" w:ascii="宋体" w:hAnsi="宋体" w:eastAsia="宋体" w:cs="宋体"/>
                <w:color w:val="auto"/>
                <w:szCs w:val="21"/>
                <w:highlight w:val="none"/>
              </w:rPr>
              <w:t>有效期内撤销</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文件；</w:t>
            </w:r>
          </w:p>
          <w:p w14:paraId="0308B754">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有下列情形之一的：</w:t>
            </w:r>
          </w:p>
          <w:p w14:paraId="2DFBD0CB">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a.除不可抗力外，因</w:t>
            </w:r>
            <w:r>
              <w:rPr>
                <w:rFonts w:hint="eastAsia" w:ascii="宋体" w:hAnsi="宋体" w:eastAsia="宋体" w:cs="宋体"/>
                <w:color w:val="auto"/>
                <w:szCs w:val="21"/>
                <w:highlight w:val="none"/>
                <w:lang w:val="en-US" w:eastAsia="zh-CN"/>
              </w:rPr>
              <w:t>成交供应商</w:t>
            </w:r>
            <w:r>
              <w:rPr>
                <w:rFonts w:hint="eastAsia" w:ascii="宋体" w:hAnsi="宋体" w:eastAsia="宋体" w:cs="宋体"/>
                <w:color w:val="auto"/>
                <w:szCs w:val="21"/>
                <w:highlight w:val="none"/>
              </w:rPr>
              <w:t>自身原因未在</w:t>
            </w:r>
            <w:r>
              <w:rPr>
                <w:rFonts w:hint="eastAsia" w:ascii="宋体" w:hAnsi="宋体" w:eastAsia="宋体" w:cs="宋体"/>
                <w:color w:val="auto"/>
                <w:szCs w:val="21"/>
                <w:highlight w:val="none"/>
                <w:lang w:val="en-US" w:eastAsia="zh-CN"/>
              </w:rPr>
              <w:t>成交</w:t>
            </w:r>
            <w:r>
              <w:rPr>
                <w:rFonts w:hint="eastAsia" w:ascii="宋体" w:hAnsi="宋体" w:eastAsia="宋体" w:cs="宋体"/>
                <w:color w:val="auto"/>
                <w:szCs w:val="21"/>
                <w:highlight w:val="none"/>
              </w:rPr>
              <w:t>通知书要求的期限内与采购人签订采购合同；</w:t>
            </w:r>
          </w:p>
          <w:p w14:paraId="5ADC94F8">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b.未按照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文件的约定签订采购合同或提交履约保证金。</w:t>
            </w:r>
          </w:p>
          <w:p w14:paraId="678F49D0">
            <w:pPr>
              <w:keepNext w:val="0"/>
              <w:keepLines w:val="0"/>
              <w:pageBreakBefore w:val="0"/>
              <w:widowControl/>
              <w:suppressLineNumbers w:val="0"/>
              <w:kinsoku/>
              <w:wordWrap/>
              <w:overflowPunct/>
              <w:topLinePunct/>
              <w:autoSpaceDE/>
              <w:autoSpaceDN/>
              <w:bidi w:val="0"/>
              <w:adjustRightInd w:val="0"/>
              <w:snapToGrid w:val="0"/>
              <w:spacing w:beforeAutospacing="0" w:afterLines="0" w:afterAutospacing="0" w:line="40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注：若上述</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保证金不予退还情形给采购人（采购代理机构）造成损失，则</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还要承担相应的赔偿责任。</w:t>
            </w:r>
          </w:p>
        </w:tc>
      </w:tr>
      <w:tr w14:paraId="6BA9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4436996E">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3F7B34ED">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Cs w:val="21"/>
                <w:highlight w:val="none"/>
                <w:lang w:val="en-US" w:eastAsia="zh-CN"/>
              </w:rPr>
            </w:pPr>
          </w:p>
        </w:tc>
        <w:tc>
          <w:tcPr>
            <w:tcW w:w="6058" w:type="dxa"/>
            <w:gridSpan w:val="2"/>
            <w:shd w:val="clear" w:color="auto" w:fill="auto"/>
            <w:noWrap w:val="0"/>
            <w:vAlign w:val="center"/>
          </w:tcPr>
          <w:p w14:paraId="7F77B4FC">
            <w:pPr>
              <w:keepNext w:val="0"/>
              <w:keepLines w:val="0"/>
              <w:widowControl/>
              <w:suppressLineNumbers w:val="0"/>
              <w:topLinePunct/>
              <w:autoSpaceDE/>
              <w:autoSpaceDN/>
              <w:adjustRightInd w:val="0"/>
              <w:snapToGrid w:val="0"/>
              <w:spacing w:beforeAutospacing="0" w:afterLines="0" w:afterAutospacing="0" w:line="400" w:lineRule="exact"/>
              <w:ind w:left="0" w:right="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其他不予退还</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保证金的情形：</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p>
        </w:tc>
      </w:tr>
      <w:tr w14:paraId="249C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763D9B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1984" w:type="dxa"/>
            <w:noWrap w:val="0"/>
            <w:vAlign w:val="center"/>
          </w:tcPr>
          <w:p w14:paraId="717A18A7">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信用记录审查</w:t>
            </w:r>
          </w:p>
        </w:tc>
        <w:tc>
          <w:tcPr>
            <w:tcW w:w="6058" w:type="dxa"/>
            <w:gridSpan w:val="2"/>
            <w:noWrap w:val="0"/>
            <w:vAlign w:val="center"/>
          </w:tcPr>
          <w:p w14:paraId="1F8E4523">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根据《财政部关于在政府采购活动中查询及使用信用记录有关问题的通知》（财库〔2016〕125号）规定，磋商小组将通过“信用中国”网站（www.creditchina.gov.cn）、中国政府采购网（</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"http://www.ccgp.gov.cn"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www.ccgp.gov.cn</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），对供应商</w:t>
            </w:r>
            <w:r>
              <w:rPr>
                <w:rFonts w:hint="eastAsia" w:ascii="宋体" w:hAnsi="宋体" w:eastAsia="宋体" w:cs="宋体"/>
                <w:color w:val="auto"/>
                <w:sz w:val="21"/>
                <w:szCs w:val="21"/>
                <w:highlight w:val="none"/>
                <w:lang w:eastAsia="zh-CN"/>
              </w:rPr>
              <w:t>截至</w:t>
            </w:r>
            <w:r>
              <w:rPr>
                <w:rFonts w:hint="eastAsia" w:ascii="宋体" w:hAnsi="宋体" w:eastAsia="宋体" w:cs="宋体"/>
                <w:color w:val="auto"/>
                <w:sz w:val="21"/>
                <w:szCs w:val="21"/>
                <w:highlight w:val="none"/>
              </w:rPr>
              <w:t>提交响应文件截止时间的信用记录进行审查，对列入失信被执行人、</w:t>
            </w:r>
            <w:r>
              <w:rPr>
                <w:rFonts w:hint="eastAsia" w:ascii="宋体" w:hAnsi="宋体" w:eastAsia="宋体" w:cs="宋体"/>
                <w:color w:val="auto"/>
                <w:sz w:val="21"/>
                <w:szCs w:val="21"/>
                <w:highlight w:val="none"/>
                <w:lang w:eastAsia="zh-CN"/>
              </w:rPr>
              <w:t>重大税收违法失信主体</w:t>
            </w:r>
            <w:r>
              <w:rPr>
                <w:rFonts w:hint="eastAsia" w:ascii="宋体" w:hAnsi="宋体" w:eastAsia="宋体" w:cs="宋体"/>
                <w:color w:val="auto"/>
                <w:sz w:val="21"/>
                <w:szCs w:val="21"/>
                <w:highlight w:val="none"/>
              </w:rPr>
              <w:t>、政府采购严重违法失信行为记录名单及其他不符合《中华人民共和国政府采购法》第二十二条规定条件的供应商，其磋商响应将被拒绝。</w:t>
            </w:r>
          </w:p>
          <w:p w14:paraId="5ED720F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本次查询的信用记录仅限于本项目使用，查询结果将留存在采购档案中。</w:t>
            </w:r>
          </w:p>
          <w:p w14:paraId="3BC5A7F5">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在上述指定网站不能查询信用信息的供应商，应提供相关证明材料（原件加盖公章）。</w:t>
            </w:r>
          </w:p>
        </w:tc>
      </w:tr>
      <w:tr w14:paraId="149F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00CC4C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984" w:type="dxa"/>
            <w:noWrap w:val="0"/>
            <w:vAlign w:val="center"/>
          </w:tcPr>
          <w:p w14:paraId="3935FEF4">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支持中小型</w:t>
            </w:r>
          </w:p>
          <w:p w14:paraId="2E761091">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企业发展</w:t>
            </w:r>
          </w:p>
        </w:tc>
        <w:tc>
          <w:tcPr>
            <w:tcW w:w="6058" w:type="dxa"/>
            <w:gridSpan w:val="2"/>
            <w:noWrap w:val="0"/>
            <w:vAlign w:val="center"/>
          </w:tcPr>
          <w:p w14:paraId="6954A48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根据《政府采购促进中小型企业发展管理办法》（财库〔2020〕46号），鼓励中小企业参加本项目采购活动。</w:t>
            </w:r>
          </w:p>
          <w:p w14:paraId="1C968EC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在货物采购项目中，</w:t>
            </w:r>
            <w:r>
              <w:rPr>
                <w:rFonts w:hint="eastAsia" w:ascii="宋体" w:hAnsi="宋体" w:eastAsia="宋体" w:cs="宋体"/>
                <w:color w:val="auto"/>
                <w:sz w:val="21"/>
                <w:szCs w:val="21"/>
                <w:highlight w:val="none"/>
              </w:rPr>
              <w:t>满足所有标的均由中小企业制造，即所有标的均由中小企业生产且使用该中小企业商号或者注册商标的，可享受中小企业扶持政策。</w:t>
            </w:r>
          </w:p>
          <w:p w14:paraId="31B7BD0F">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在服务采购项目中，</w:t>
            </w:r>
            <w:r>
              <w:rPr>
                <w:rFonts w:hint="eastAsia" w:ascii="宋体" w:hAnsi="宋体" w:eastAsia="宋体" w:cs="宋体"/>
                <w:color w:val="auto"/>
                <w:sz w:val="21"/>
                <w:szCs w:val="21"/>
                <w:highlight w:val="none"/>
              </w:rPr>
              <w:t>满足服务由中小企业承接，即提供服务的人员为中小企业依照《中华人民共和国劳动合同法》订立劳动合同的从业人员的，可享受中小企业扶持政策。</w:t>
            </w:r>
          </w:p>
          <w:p w14:paraId="70E577B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在工程采购项目中，</w:t>
            </w:r>
            <w:r>
              <w:rPr>
                <w:rFonts w:hint="eastAsia" w:ascii="宋体" w:hAnsi="宋体" w:eastAsia="宋体" w:cs="宋体"/>
                <w:color w:val="auto"/>
                <w:sz w:val="21"/>
                <w:szCs w:val="21"/>
                <w:highlight w:val="none"/>
              </w:rPr>
              <w:t>满足工程由中小企业承建，即工程施工单位为中小企业，可享受中小企业扶持政策。</w:t>
            </w:r>
          </w:p>
          <w:p w14:paraId="16431DC5">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p>
          <w:p w14:paraId="1A724E3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企业采购项目。</w:t>
            </w:r>
          </w:p>
          <w:p w14:paraId="2078285A">
            <w:pPr>
              <w:pStyle w:val="16"/>
              <w:keepNext w:val="0"/>
              <w:keepLines w:val="0"/>
              <w:widowControl/>
              <w:suppressLineNumbers w:val="0"/>
              <w:shd w:val="clear"/>
              <w:topLinePunct/>
              <w:spacing w:afterLines="0" w:line="400" w:lineRule="exact"/>
              <w:ind w:left="0" w:right="0"/>
              <w:rPr>
                <w:rFonts w:hint="eastAsia" w:ascii="宋体" w:hAnsi="宋体" w:eastAsia="宋体" w:cs="宋体"/>
                <w:color w:val="auto"/>
                <w:highlight w:val="none"/>
              </w:rPr>
            </w:pPr>
            <w:r>
              <w:rPr>
                <w:rFonts w:hint="eastAsia" w:ascii="宋体" w:hAnsi="宋体" w:eastAsia="宋体" w:cs="宋体"/>
                <w:b w:val="0"/>
                <w:color w:val="auto"/>
                <w:kern w:val="2"/>
                <w:sz w:val="21"/>
                <w:szCs w:val="21"/>
                <w:highlight w:val="none"/>
                <w:lang w:val="en-US" w:eastAsia="zh-CN" w:bidi="ar-SA"/>
              </w:rPr>
              <w:t>本项目为</w:t>
            </w:r>
            <w:r>
              <w:rPr>
                <w:rFonts w:hint="eastAsia" w:ascii="宋体" w:hAnsi="宋体" w:cs="宋体"/>
                <w:b w:val="0"/>
                <w:color w:val="auto"/>
                <w:kern w:val="2"/>
                <w:sz w:val="21"/>
                <w:szCs w:val="21"/>
                <w:highlight w:val="none"/>
                <w:lang w:val="en-US" w:eastAsia="zh-CN" w:bidi="ar-SA"/>
              </w:rPr>
              <w:t>专门面向中小</w:t>
            </w:r>
            <w:r>
              <w:rPr>
                <w:rFonts w:hint="eastAsia" w:ascii="宋体" w:hAnsi="宋体" w:eastAsia="宋体" w:cs="宋体"/>
                <w:b w:val="0"/>
                <w:color w:val="auto"/>
                <w:kern w:val="2"/>
                <w:sz w:val="21"/>
                <w:szCs w:val="21"/>
                <w:highlight w:val="none"/>
                <w:lang w:val="en-US" w:eastAsia="zh-CN" w:bidi="ar-SA"/>
              </w:rPr>
              <w:t>企业项目，小微企业、监狱企业、残疾人福利性单位不再执行价格评审优惠的扶持政策。</w:t>
            </w:r>
          </w:p>
          <w:p w14:paraId="0D40B642">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□预留份额面向中小企业采购项目（说明：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CA7BF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非</w:t>
            </w:r>
            <w:r>
              <w:rPr>
                <w:rFonts w:hint="eastAsia" w:ascii="宋体"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企业采购项目。对小型和微型企业的报价给予</w:t>
            </w:r>
            <w:r>
              <w:rPr>
                <w:rFonts w:hint="eastAsia" w:ascii="宋体" w:hAnsi="宋体" w:eastAsia="宋体" w:cs="宋体"/>
                <w:color w:val="auto"/>
                <w:sz w:val="21"/>
                <w:szCs w:val="21"/>
                <w:highlight w:val="none"/>
                <w:u w:val="single"/>
                <w:lang w:val="en-US" w:eastAsia="zh-CN"/>
              </w:rPr>
              <w:t>15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%的扣除，用扣除后的价格参与评审。</w:t>
            </w:r>
          </w:p>
        </w:tc>
      </w:tr>
      <w:tr w14:paraId="6CE2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B6978A4">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984" w:type="dxa"/>
            <w:noWrap w:val="0"/>
            <w:vAlign w:val="center"/>
          </w:tcPr>
          <w:p w14:paraId="04216D8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支持监狱企业发展</w:t>
            </w:r>
          </w:p>
        </w:tc>
        <w:tc>
          <w:tcPr>
            <w:tcW w:w="6058" w:type="dxa"/>
            <w:gridSpan w:val="2"/>
            <w:noWrap w:val="0"/>
            <w:vAlign w:val="center"/>
          </w:tcPr>
          <w:p w14:paraId="07B944D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根据《关于政府采购支持监狱企业发展有关问题的通知》（财库〔2014〕68号），监狱企业视同小型、微型企业，按照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14:paraId="6C2F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503887BD">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984" w:type="dxa"/>
            <w:noWrap w:val="0"/>
            <w:vAlign w:val="center"/>
          </w:tcPr>
          <w:p w14:paraId="58E41A16">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促进残疾人</w:t>
            </w:r>
          </w:p>
          <w:p w14:paraId="7F6A7398">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就业</w:t>
            </w:r>
          </w:p>
        </w:tc>
        <w:tc>
          <w:tcPr>
            <w:tcW w:w="6058" w:type="dxa"/>
            <w:gridSpan w:val="2"/>
            <w:noWrap w:val="0"/>
            <w:vAlign w:val="center"/>
          </w:tcPr>
          <w:p w14:paraId="0EF809AB">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根据《关于促进残疾人就业政府采购政策的通知》（财库〔2017〕141号），残疾人福利性单位视同小型、微型企业，按照</w:t>
            </w:r>
            <w:r>
              <w:rPr>
                <w:rFonts w:hint="eastAsia" w:ascii="宋体" w:hAnsi="宋体" w:eastAsia="宋体" w:cs="宋体"/>
                <w:b/>
                <w:bCs/>
                <w:color w:val="auto"/>
                <w:sz w:val="21"/>
                <w:szCs w:val="21"/>
                <w:highlight w:val="none"/>
              </w:rPr>
              <w:t>供应商须知前附表第25项</w:t>
            </w:r>
            <w:r>
              <w:rPr>
                <w:rFonts w:hint="eastAsia" w:ascii="宋体" w:hAnsi="宋体" w:eastAsia="宋体" w:cs="宋体"/>
                <w:color w:val="auto"/>
                <w:sz w:val="21"/>
                <w:szCs w:val="21"/>
                <w:highlight w:val="none"/>
              </w:rPr>
              <w:t>享受价格扣除政策。</w:t>
            </w:r>
          </w:p>
        </w:tc>
      </w:tr>
      <w:tr w14:paraId="304F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restart"/>
            <w:noWrap w:val="0"/>
            <w:vAlign w:val="center"/>
          </w:tcPr>
          <w:p w14:paraId="3252EEE2">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984" w:type="dxa"/>
            <w:vMerge w:val="restart"/>
            <w:noWrap w:val="0"/>
            <w:vAlign w:val="center"/>
          </w:tcPr>
          <w:p w14:paraId="3277F59D">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其他法律法规强制性规定或扶持政策</w:t>
            </w:r>
          </w:p>
        </w:tc>
        <w:tc>
          <w:tcPr>
            <w:tcW w:w="6058" w:type="dxa"/>
            <w:gridSpan w:val="2"/>
            <w:noWrap w:val="0"/>
            <w:vAlign w:val="center"/>
          </w:tcPr>
          <w:p w14:paraId="5462327F">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本项目中强制采购节能产品的货物名称：</w:t>
            </w:r>
          </w:p>
          <w:p w14:paraId="0526810B">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225B80F">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注：供应商所投上述产品必须具有节能产品认证证书，并提供依据国家确定的认证机构出具的、处于有效期之内的节能产品认证证书复印件，否则响应无效。</w:t>
            </w:r>
          </w:p>
        </w:tc>
      </w:tr>
      <w:tr w14:paraId="48B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3B14E8F1">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190BC316">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14:paraId="388D0460">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本项目中采购信息安全认证</w:t>
            </w:r>
            <w:r>
              <w:rPr>
                <w:rFonts w:hint="eastAsia" w:ascii="宋体" w:hAnsi="宋体" w:eastAsia="宋体" w:cs="宋体"/>
                <w:color w:val="auto"/>
                <w:sz w:val="21"/>
                <w:szCs w:val="21"/>
                <w:highlight w:val="none"/>
                <w:lang w:eastAsia="zh-CN"/>
              </w:rPr>
              <w:t>或安全检测</w:t>
            </w:r>
            <w:r>
              <w:rPr>
                <w:rFonts w:hint="eastAsia" w:ascii="宋体" w:hAnsi="宋体" w:eastAsia="宋体" w:cs="宋体"/>
                <w:color w:val="auto"/>
                <w:sz w:val="21"/>
                <w:szCs w:val="21"/>
                <w:highlight w:val="none"/>
              </w:rPr>
              <w:t>的货物名称：</w:t>
            </w:r>
          </w:p>
          <w:p w14:paraId="647F6DF8">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21F5E3">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注：依据《中华人民共和国网络安全法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关于调整网络安全专用产品安全管理有关事项的公告》（2023年第1号）、《关于调整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网络关键设备和网络安全专用产品目录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的公告》（2023年第2号）、《国家认监委 工业和信息化部 公安部 国家互联网信息办公室关于发布承担网络关键设备和网络安全专用产品安全认证和安全检测任务机构名录（第一批）的公告》（2018年第12号）、《关于统一发布网络关键设备和网络安全专用产品安全认证和安全检测结果的公告》（2022年第1号）：自2023年7月1日起，列入《网络关键设备和网络安全专用产品目录》的“网络安全专用产品”，应当按照《信息安全技术网络安全专用产品安全技术要求》等相关国家标准的强制性要求，对网络安全专用产品进行安全认证或安全检测，</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必须在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文件中提供由具备资格的机构出具的安全认证合格证书或者安全检测合格证书（加盖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已获得《计算机信息系统安全专用产品销售许可证》的产品，在有效期内可继续销售或者提供。如属于《网络关键设备和网络安全专用产品目录》中“二、网络安全专用产品”内“产品类别”中所描述的产品，但不属于所列“产品描述”情形的，应提供相应的说明及证明材料。</w:t>
            </w:r>
          </w:p>
        </w:tc>
      </w:tr>
      <w:tr w14:paraId="7F00D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vMerge w:val="continue"/>
            <w:noWrap w:val="0"/>
            <w:vAlign w:val="center"/>
          </w:tcPr>
          <w:p w14:paraId="1D165540">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1984" w:type="dxa"/>
            <w:vMerge w:val="continue"/>
            <w:noWrap w:val="0"/>
            <w:vAlign w:val="center"/>
          </w:tcPr>
          <w:p w14:paraId="06D01C48">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p>
        </w:tc>
        <w:tc>
          <w:tcPr>
            <w:tcW w:w="6058" w:type="dxa"/>
            <w:gridSpan w:val="2"/>
            <w:noWrap w:val="0"/>
            <w:vAlign w:val="center"/>
          </w:tcPr>
          <w:p w14:paraId="2AF131CA">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其他法律法规强制性规定或扶持政策：</w:t>
            </w:r>
          </w:p>
          <w:p w14:paraId="373EBFA3">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4A0D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0C44666C">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984" w:type="dxa"/>
            <w:noWrap w:val="0"/>
            <w:vAlign w:val="center"/>
          </w:tcPr>
          <w:p w14:paraId="25181B15">
            <w:pPr>
              <w:keepNext w:val="0"/>
              <w:keepLines w:val="0"/>
              <w:pageBreakBefore w:val="0"/>
              <w:widowControl/>
              <w:suppressLineNumbers w:val="0"/>
              <w:shd w:val="clear"/>
              <w:tabs>
                <w:tab w:val="left" w:pos="1875"/>
              </w:tabs>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评审方法及分值</w:t>
            </w:r>
          </w:p>
        </w:tc>
        <w:tc>
          <w:tcPr>
            <w:tcW w:w="6058" w:type="dxa"/>
            <w:gridSpan w:val="2"/>
            <w:noWrap w:val="0"/>
            <w:vAlign w:val="center"/>
          </w:tcPr>
          <w:p w14:paraId="7A9EA611">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2" w:char="F0A3"/>
            </w:r>
            <w:r>
              <w:rPr>
                <w:rFonts w:hint="eastAsia" w:ascii="宋体" w:hAnsi="宋体" w:eastAsia="宋体" w:cs="宋体"/>
                <w:color w:val="auto"/>
                <w:sz w:val="21"/>
                <w:szCs w:val="21"/>
                <w:highlight w:val="none"/>
              </w:rPr>
              <w:t>本项目采用最低评标价法，详见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文件商务部分第三章。</w:t>
            </w:r>
          </w:p>
          <w:p w14:paraId="3B205558">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本项目采用综合评分法，详见</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文件商务部分第三章。</w:t>
            </w:r>
          </w:p>
        </w:tc>
      </w:tr>
      <w:tr w14:paraId="5F55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36F43B0">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984" w:type="dxa"/>
            <w:noWrap w:val="0"/>
            <w:vAlign w:val="center"/>
          </w:tcPr>
          <w:p w14:paraId="6B5A465A">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履约保证金</w:t>
            </w:r>
          </w:p>
        </w:tc>
        <w:tc>
          <w:tcPr>
            <w:tcW w:w="6058" w:type="dxa"/>
            <w:gridSpan w:val="2"/>
            <w:noWrap w:val="0"/>
            <w:vAlign w:val="center"/>
          </w:tcPr>
          <w:p w14:paraId="1EB6153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不要求提供</w:t>
            </w:r>
          </w:p>
          <w:p w14:paraId="0BDA3428">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本采购项目履约保证金为合同金额的</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，提交方式为支票、汇票、本票、保函等非现金形式，</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在签订合同前应提交履约保证金，否则，不予签订合同。采用转账、电汇方式的，在签订合同前按规定的金额从银行账户直接缴入采购人账户。</w:t>
            </w:r>
          </w:p>
          <w:p w14:paraId="5E24F08D">
            <w:pPr>
              <w:pStyle w:val="20"/>
              <w:keepNext w:val="0"/>
              <w:keepLines w:val="0"/>
              <w:pageBreakBefore w:val="0"/>
              <w:widowControl/>
              <w:suppressLineNumbers w:val="0"/>
              <w:shd w:val="clear"/>
              <w:kinsoku/>
              <w:wordWrap/>
              <w:overflowPunct/>
              <w:topLinePunct/>
              <w:bidi w:val="0"/>
              <w:spacing w:before="0" w:after="0" w:afterLines="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合同约定服务期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或质量保质期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满且完全履行了服务要求或产品质量保证义务的，采购人在收到提出申请的30日内无息返还履约保证金；采购人如逾期退还履约保证金，每逾期一天，可按应退款项的银行同期存款利息计算违约金；在合同期限和质量保证期内不能履行合同义务或违约的，履约保证金不予退还。</w:t>
            </w:r>
          </w:p>
          <w:p w14:paraId="22A20808">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收款单位：</w:t>
            </w:r>
          </w:p>
          <w:p w14:paraId="5F2D0C07">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开户银行：</w:t>
            </w:r>
          </w:p>
          <w:p w14:paraId="24CD171A">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rPr>
              <w:t>银行账号：</w:t>
            </w:r>
          </w:p>
        </w:tc>
      </w:tr>
      <w:tr w14:paraId="78001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7BF19006">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984" w:type="dxa"/>
            <w:noWrap w:val="0"/>
            <w:vAlign w:val="center"/>
          </w:tcPr>
          <w:p w14:paraId="4DA75CF5">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接收质疑的方式、部门、电话和通讯地址</w:t>
            </w:r>
          </w:p>
        </w:tc>
        <w:tc>
          <w:tcPr>
            <w:tcW w:w="6058" w:type="dxa"/>
            <w:gridSpan w:val="2"/>
            <w:noWrap w:val="0"/>
            <w:vAlign w:val="center"/>
          </w:tcPr>
          <w:p w14:paraId="0A8819DD">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质疑联系方式：</w:t>
            </w:r>
          </w:p>
          <w:p w14:paraId="222ECDAA">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snapToGrid w:val="0"/>
                <w:color w:val="auto"/>
                <w:spacing w:val="9"/>
                <w:sz w:val="21"/>
                <w:szCs w:val="21"/>
                <w:highlight w:val="none"/>
              </w:rPr>
            </w:pPr>
            <w:r>
              <w:rPr>
                <w:rFonts w:hint="eastAsia" w:ascii="宋体" w:hAnsi="宋体" w:eastAsia="宋体" w:cs="宋体"/>
                <w:color w:val="auto"/>
                <w:sz w:val="21"/>
                <w:szCs w:val="21"/>
                <w:highlight w:val="none"/>
              </w:rPr>
              <w:t>（1）接收质疑函的方式：</w:t>
            </w:r>
            <w:r>
              <w:rPr>
                <w:rFonts w:hint="eastAsia" w:ascii="宋体" w:hAnsi="宋体" w:eastAsia="宋体" w:cs="宋体"/>
                <w:snapToGrid w:val="0"/>
                <w:color w:val="auto"/>
                <w:spacing w:val="9"/>
                <w:sz w:val="21"/>
                <w:szCs w:val="21"/>
                <w:highlight w:val="none"/>
              </w:rPr>
              <w:t>供应商认为磋商文件、磋商过程和成交结果使自己的权益受到损害的，可以在知道或者应知其权益受到损害之日起7个工作日内，以书面形式向采购人或采购代理机构提出质疑。供应商应在法定质疑期内一次性提出针对同一采购程序环节的质疑。</w:t>
            </w:r>
          </w:p>
          <w:p w14:paraId="61B9C4C0">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（2）联系部门：</w:t>
            </w:r>
            <w:r>
              <w:rPr>
                <w:rFonts w:hint="eastAsia" w:ascii="宋体" w:hAnsi="宋体" w:eastAsia="宋体" w:cs="宋体"/>
                <w:color w:val="auto"/>
                <w:sz w:val="21"/>
                <w:szCs w:val="21"/>
                <w:highlight w:val="none"/>
                <w:lang w:eastAsia="zh-CN"/>
              </w:rPr>
              <w:t>广西建设工程机电设备招标中心有限公司</w:t>
            </w:r>
          </w:p>
          <w:p w14:paraId="6918A1F0">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（3）联系电话： 0771-2807659、</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2819799</w:t>
            </w:r>
          </w:p>
          <w:p w14:paraId="6F12C1B4">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（4）通讯地址：</w:t>
            </w:r>
            <w:r>
              <w:rPr>
                <w:rFonts w:hint="eastAsia" w:ascii="宋体" w:hAnsi="宋体" w:cs="宋体"/>
                <w:color w:val="auto"/>
                <w:sz w:val="21"/>
                <w:szCs w:val="21"/>
                <w:highlight w:val="none"/>
                <w:lang w:eastAsia="zh-CN"/>
              </w:rPr>
              <w:t>南宁市青秀区枫林路18号广西国控集团（枫林路办公区）裙楼三层</w:t>
            </w:r>
          </w:p>
          <w:p w14:paraId="484E64F4">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（5）电子邮箱：zbzx2807659@163.com                  </w:t>
            </w:r>
          </w:p>
        </w:tc>
      </w:tr>
      <w:tr w14:paraId="27952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3CAEB2B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tc>
        <w:tc>
          <w:tcPr>
            <w:tcW w:w="1984" w:type="dxa"/>
            <w:noWrap w:val="0"/>
            <w:vAlign w:val="center"/>
          </w:tcPr>
          <w:p w14:paraId="65E2E023">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tc>
        <w:tc>
          <w:tcPr>
            <w:tcW w:w="6058" w:type="dxa"/>
            <w:gridSpan w:val="2"/>
            <w:noWrap w:val="0"/>
            <w:vAlign w:val="center"/>
          </w:tcPr>
          <w:p w14:paraId="111607AE">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需提交的响应文件份数：</w:t>
            </w:r>
          </w:p>
          <w:p w14:paraId="6284C1B5">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（1）正本</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份、副本</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份。</w:t>
            </w:r>
          </w:p>
          <w:p w14:paraId="46F6DD62">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（2）电子文件</w:t>
            </w:r>
            <w:r>
              <w:rPr>
                <w:rFonts w:hint="eastAsia" w:ascii="宋体" w:hAnsi="宋体" w:eastAsia="宋体" w:cs="宋体"/>
                <w:color w:val="auto"/>
                <w:sz w:val="21"/>
                <w:szCs w:val="21"/>
                <w:highlight w:val="none"/>
                <w:u w:val="single"/>
              </w:rPr>
              <w:t>1</w:t>
            </w:r>
            <w:r>
              <w:rPr>
                <w:rFonts w:hint="eastAsia" w:ascii="宋体" w:hAnsi="宋体" w:eastAsia="宋体" w:cs="宋体"/>
                <w:color w:val="auto"/>
                <w:sz w:val="21"/>
                <w:szCs w:val="21"/>
                <w:highlight w:val="none"/>
              </w:rPr>
              <w:t>份（</w:t>
            </w:r>
            <w:r>
              <w:rPr>
                <w:rFonts w:hint="eastAsia" w:ascii="宋体" w:hAnsi="宋体" w:eastAsia="宋体" w:cs="宋体"/>
                <w:color w:val="auto"/>
                <w:sz w:val="21"/>
                <w:szCs w:val="21"/>
                <w:highlight w:val="none"/>
                <w:lang w:val="en-US" w:eastAsia="zh-CN"/>
              </w:rPr>
              <w:t>加盖公章的响应文件扫描件一份</w:t>
            </w:r>
            <w:r>
              <w:rPr>
                <w:rFonts w:hint="eastAsia" w:ascii="宋体" w:hAnsi="宋体" w:eastAsia="宋体" w:cs="宋体"/>
                <w:color w:val="auto"/>
                <w:sz w:val="21"/>
                <w:szCs w:val="21"/>
                <w:highlight w:val="none"/>
              </w:rPr>
              <w:t>）。</w:t>
            </w:r>
          </w:p>
          <w:p w14:paraId="78747F14">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采用U盘提交。</w:t>
            </w:r>
          </w:p>
          <w:p w14:paraId="58A0B2B0">
            <w:pPr>
              <w:pStyle w:val="46"/>
              <w:keepNext w:val="0"/>
              <w:keepLines w:val="0"/>
              <w:widowControl/>
              <w:suppressLineNumbers w:val="0"/>
              <w:shd w:val="clear"/>
              <w:topLinePunct/>
              <w:spacing w:before="0" w:beforeAutospacing="0" w:after="0" w:afterLines="0" w:afterAutospacing="0" w:line="400" w:lineRule="exact"/>
              <w:ind w:left="0" w:right="0"/>
              <w:rPr>
                <w:rFonts w:hint="eastAsia" w:ascii="宋体" w:hAnsi="宋体" w:eastAsia="宋体" w:cs="宋体"/>
                <w:color w:val="auto"/>
                <w:sz w:val="20"/>
                <w:szCs w:val="20"/>
                <w:highlight w:val="none"/>
              </w:rPr>
            </w:pPr>
            <w:r>
              <w:rPr>
                <w:rFonts w:hint="eastAsia" w:ascii="宋体" w:hAnsi="宋体" w:eastAsia="宋体" w:cs="宋体"/>
                <w:b/>
                <w:bCs/>
                <w:color w:val="auto"/>
                <w:sz w:val="21"/>
                <w:szCs w:val="21"/>
                <w:highlight w:val="none"/>
                <w:lang w:val="en-US" w:eastAsia="zh-CN"/>
              </w:rPr>
              <w:t>注：为了方便后期档案装订，供应商可以将响应文件分册装订，每册厚度不大于5厘米。</w:t>
            </w:r>
          </w:p>
        </w:tc>
      </w:tr>
      <w:tr w14:paraId="0BCD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261667AA">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w:t>
            </w:r>
          </w:p>
        </w:tc>
        <w:tc>
          <w:tcPr>
            <w:tcW w:w="1984" w:type="dxa"/>
            <w:noWrap w:val="0"/>
            <w:vAlign w:val="center"/>
          </w:tcPr>
          <w:p w14:paraId="218E43DE">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代理费用</w:t>
            </w:r>
          </w:p>
        </w:tc>
        <w:tc>
          <w:tcPr>
            <w:tcW w:w="6058" w:type="dxa"/>
            <w:gridSpan w:val="2"/>
            <w:noWrap w:val="0"/>
            <w:vAlign w:val="center"/>
          </w:tcPr>
          <w:p w14:paraId="25A5511F">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代理费用：</w:t>
            </w:r>
          </w:p>
          <w:p w14:paraId="1E37CED1">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（1）本项目代理费用由</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成交供应商</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支付。</w:t>
            </w:r>
          </w:p>
          <w:p w14:paraId="7120D0EB">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lang w:eastAsia="zh-CN"/>
              </w:rPr>
            </w:pPr>
            <w:r>
              <w:rPr>
                <w:rFonts w:hint="eastAsia" w:ascii="宋体" w:hAnsi="宋体" w:eastAsia="宋体" w:cs="宋体"/>
                <w:color w:val="auto"/>
                <w:szCs w:val="21"/>
                <w:highlight w:val="none"/>
              </w:rPr>
              <w:t>（2）代理费用收取方式及标准：</w:t>
            </w:r>
          </w:p>
          <w:p w14:paraId="4927294D">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符合</w:t>
            </w:r>
            <w:r>
              <w:rPr>
                <w:rFonts w:hint="eastAsia" w:ascii="宋体" w:hAnsi="宋体" w:eastAsia="宋体" w:cs="宋体"/>
                <w:color w:val="auto"/>
                <w:highlight w:val="none"/>
              </w:rPr>
              <w:t>国家发展计划委员会《招标代理服务费管理暂行办法》（计价格〔2002〕1980号）、《国家发改委关于降低部分建设项目收费标准规范收费行为等有关问题的通知》（发改价格〔2011〕534号）规定</w:t>
            </w:r>
            <w:r>
              <w:rPr>
                <w:rFonts w:hint="eastAsia" w:ascii="宋体" w:hAnsi="宋体" w:eastAsia="宋体" w:cs="宋体"/>
                <w:color w:val="auto"/>
                <w:highlight w:val="none"/>
                <w:lang w:eastAsia="zh-CN"/>
              </w:rPr>
              <w:t>。</w:t>
            </w:r>
          </w:p>
          <w:p w14:paraId="17715883">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hAnsi="宋体" w:cs="宋体"/>
                <w:color w:val="auto"/>
                <w:highlight w:val="none"/>
                <w:lang w:val="en-US" w:eastAsia="zh-CN"/>
              </w:rPr>
              <w:t>3</w:t>
            </w:r>
            <w:r>
              <w:rPr>
                <w:rFonts w:hint="eastAsia" w:ascii="宋体" w:hAnsi="宋体" w:eastAsia="宋体" w:cs="宋体"/>
                <w:color w:val="auto"/>
                <w:highlight w:val="none"/>
              </w:rPr>
              <w:t>）代理费用汇到如下指定账户：</w:t>
            </w:r>
          </w:p>
          <w:p w14:paraId="7D24CFC3">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color w:val="auto"/>
                <w:kern w:val="2"/>
                <w:szCs w:val="22"/>
                <w:highlight w:val="none"/>
              </w:rPr>
              <w:t>广西建设工程机电设备招标中心有限公司</w:t>
            </w:r>
          </w:p>
          <w:p w14:paraId="4F58984B">
            <w:pPr>
              <w:keepNext w:val="0"/>
              <w:keepLines w:val="0"/>
              <w:pageBreakBefore w:val="0"/>
              <w:suppressLineNumbers w:val="0"/>
              <w:kinsoku/>
              <w:wordWrap/>
              <w:overflow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highlight w:val="none"/>
              </w:rPr>
            </w:pPr>
            <w:r>
              <w:rPr>
                <w:rFonts w:hint="eastAsia" w:ascii="宋体" w:hAnsi="宋体" w:eastAsia="宋体" w:cs="宋体"/>
                <w:color w:val="auto"/>
                <w:highlight w:val="none"/>
              </w:rPr>
              <w:t>开户银行：</w:t>
            </w:r>
            <w:r>
              <w:rPr>
                <w:rFonts w:hint="eastAsia" w:ascii="宋体" w:hAnsi="宋体" w:eastAsia="宋体" w:cs="宋体"/>
                <w:color w:val="auto"/>
                <w:kern w:val="2"/>
                <w:szCs w:val="22"/>
                <w:highlight w:val="none"/>
              </w:rPr>
              <w:t>招商银行南宁分行营业部</w:t>
            </w:r>
          </w:p>
          <w:p w14:paraId="18E1BB4C">
            <w:pPr>
              <w:keepNext w:val="0"/>
              <w:keepLines w:val="0"/>
              <w:pageBreakBefore w:val="0"/>
              <w:widowControl/>
              <w:suppressLineNumbers w:val="0"/>
              <w:shd w:val="clear"/>
              <w:kinsoku/>
              <w:wordWrap/>
              <w:overflowPunct/>
              <w:topLinePunct/>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highlight w:val="none"/>
              </w:rPr>
              <w:t>银行账号：</w:t>
            </w:r>
            <w:r>
              <w:rPr>
                <w:rFonts w:hint="eastAsia" w:ascii="宋体" w:hAnsi="宋体" w:eastAsia="宋体" w:cs="宋体"/>
                <w:color w:val="auto"/>
                <w:kern w:val="2"/>
                <w:szCs w:val="22"/>
                <w:highlight w:val="none"/>
              </w:rPr>
              <w:t xml:space="preserve"> 7719 0142 3310 201</w:t>
            </w:r>
          </w:p>
        </w:tc>
      </w:tr>
      <w:tr w14:paraId="321C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5" w:type="dxa"/>
            <w:noWrap w:val="0"/>
            <w:vAlign w:val="center"/>
          </w:tcPr>
          <w:p w14:paraId="1CEB1DF9">
            <w:pPr>
              <w:keepNext w:val="0"/>
              <w:keepLines w:val="0"/>
              <w:pageBreakBefore w:val="0"/>
              <w:widowControl/>
              <w:suppressLineNumbers w:val="0"/>
              <w:shd w:val="clear"/>
              <w:kinsoku/>
              <w:wordWrap/>
              <w:overflowPunct/>
              <w:topLinePunct/>
              <w:autoSpaceDE/>
              <w:autoSpaceDN/>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w:t>
            </w:r>
          </w:p>
        </w:tc>
        <w:tc>
          <w:tcPr>
            <w:tcW w:w="1984" w:type="dxa"/>
            <w:noWrap w:val="0"/>
            <w:vAlign w:val="center"/>
          </w:tcPr>
          <w:p w14:paraId="6BD06BE8">
            <w:pPr>
              <w:keepNext w:val="0"/>
              <w:keepLines w:val="0"/>
              <w:pageBreakBefore w:val="0"/>
              <w:widowControl/>
              <w:suppressLineNumbers w:val="0"/>
              <w:shd w:val="clear"/>
              <w:kinsoku/>
              <w:wordWrap/>
              <w:overflowPunct/>
              <w:topLinePunct/>
              <w:bidi w:val="0"/>
              <w:adjustRightInd w:val="0"/>
              <w:snapToGrid w:val="0"/>
              <w:spacing w:before="0" w:beforeAutospacing="0" w:after="0" w:afterLines="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tc>
        <w:tc>
          <w:tcPr>
            <w:tcW w:w="6058" w:type="dxa"/>
            <w:gridSpan w:val="2"/>
            <w:noWrap w:val="0"/>
            <w:vAlign w:val="center"/>
          </w:tcPr>
          <w:p w14:paraId="2D814F83">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其他补充事项：</w:t>
            </w:r>
          </w:p>
          <w:p w14:paraId="75D00CF9">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采购文件中描述供应商的“公章”是指根据我国对公章的管理规定，用供应商法定主体行为名称制作的印章，除本采购文件有特殊规定外，供应商的财务章、部门章、分公司章、工会章、合同章、磋商专用章、业务专用章等</w:t>
            </w:r>
            <w:r>
              <w:rPr>
                <w:rFonts w:hint="eastAsia" w:ascii="宋体" w:hAnsi="宋体" w:eastAsia="宋体" w:cs="宋体"/>
                <w:color w:val="auto"/>
                <w:sz w:val="21"/>
                <w:szCs w:val="21"/>
                <w:highlight w:val="none"/>
                <w:lang w:eastAsia="zh-CN"/>
              </w:rPr>
              <w:t>其他形式</w:t>
            </w:r>
            <w:r>
              <w:rPr>
                <w:rFonts w:hint="eastAsia" w:ascii="宋体" w:hAnsi="宋体" w:eastAsia="宋体" w:cs="宋体"/>
                <w:color w:val="auto"/>
                <w:sz w:val="21"/>
                <w:szCs w:val="21"/>
                <w:highlight w:val="none"/>
              </w:rPr>
              <w:t>印章均不能代替公章。</w:t>
            </w:r>
          </w:p>
          <w:p w14:paraId="753FC952">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2.本采购文件中描述供应商的“签字”是指供应商的法定代表人（负责人）或被授权人亲自在采购文件规定签署处亲笔写上个人的名字的行为，私章、签字章、印鉴、影印等</w:t>
            </w:r>
            <w:r>
              <w:rPr>
                <w:rFonts w:hint="eastAsia" w:ascii="宋体" w:hAnsi="宋体" w:eastAsia="宋体" w:cs="宋体"/>
                <w:color w:val="auto"/>
                <w:sz w:val="21"/>
                <w:szCs w:val="21"/>
                <w:highlight w:val="none"/>
                <w:lang w:eastAsia="zh-CN"/>
              </w:rPr>
              <w:t>其他形式</w:t>
            </w:r>
            <w:r>
              <w:rPr>
                <w:rFonts w:hint="eastAsia" w:ascii="宋体" w:hAnsi="宋体" w:eastAsia="宋体" w:cs="宋体"/>
                <w:color w:val="auto"/>
                <w:sz w:val="21"/>
                <w:szCs w:val="21"/>
                <w:highlight w:val="none"/>
              </w:rPr>
              <w:t>均不能代替亲笔签字。</w:t>
            </w:r>
          </w:p>
          <w:p w14:paraId="0C928030">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3.享受中小企业扶持政策的，采购人、采购代理机构应当随成交结果公开的《中小企业声明函》。</w:t>
            </w:r>
          </w:p>
          <w:p w14:paraId="3A5E3AD5">
            <w:pPr>
              <w:keepNext w:val="0"/>
              <w:keepLines w:val="0"/>
              <w:pageBreakBefore w:val="0"/>
              <w:widowControl/>
              <w:suppressLineNumbers w:val="0"/>
              <w:shd w:val="clear"/>
              <w:kinsoku/>
              <w:wordWrap/>
              <w:overflowPunct/>
              <w:topLinePunct/>
              <w:bidi w:val="0"/>
              <w:spacing w:before="0" w:beforeAutospacing="0" w:after="0" w:afterLines="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4.为残疾人福利性单位的，采购人或者其委托的采购代理机构应当随成交结果同时公告其《残疾人福利性单位声明函》，接受社会监督。</w:t>
            </w:r>
          </w:p>
        </w:tc>
      </w:tr>
    </w:tbl>
    <w:p w14:paraId="41055D98">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2F1C106C">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0" w:name="_Toc12681"/>
      <w:bookmarkStart w:id="11" w:name="_Toc10168"/>
      <w:r>
        <w:rPr>
          <w:rFonts w:hint="eastAsia" w:ascii="宋体" w:hAnsi="宋体" w:eastAsia="宋体" w:cs="宋体"/>
          <w:b/>
          <w:bCs/>
          <w:color w:val="auto"/>
          <w:highlight w:val="none"/>
        </w:rPr>
        <w:t>一、总则</w:t>
      </w:r>
      <w:bookmarkEnd w:id="10"/>
      <w:bookmarkEnd w:id="11"/>
    </w:p>
    <w:p w14:paraId="33F8936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预算资金及来源</w:t>
      </w:r>
    </w:p>
    <w:p w14:paraId="63BA919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本项目已经</w:t>
      </w:r>
      <w:r>
        <w:rPr>
          <w:rFonts w:hint="eastAsia" w:ascii="宋体" w:hAnsi="宋体" w:cs="宋体"/>
          <w:b/>
          <w:color w:val="auto"/>
          <w:szCs w:val="21"/>
          <w:highlight w:val="none"/>
          <w:u w:val="single"/>
          <w:lang w:eastAsia="zh-CN"/>
        </w:rPr>
        <w:t>国家税务总局南宁市西乡塘区税务局</w:t>
      </w:r>
      <w:r>
        <w:rPr>
          <w:rFonts w:hint="eastAsia" w:ascii="宋体" w:hAnsi="宋体" w:eastAsia="宋体" w:cs="宋体"/>
          <w:color w:val="auto"/>
          <w:szCs w:val="21"/>
          <w:highlight w:val="none"/>
        </w:rPr>
        <w:t>批准立项。</w:t>
      </w:r>
    </w:p>
    <w:p w14:paraId="63F1D555">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本项目预算资金见</w:t>
      </w:r>
      <w:r>
        <w:rPr>
          <w:rFonts w:hint="eastAsia" w:ascii="宋体" w:hAnsi="宋体" w:eastAsia="宋体" w:cs="宋体"/>
          <w:b/>
          <w:bCs/>
          <w:color w:val="auto"/>
          <w:szCs w:val="21"/>
          <w:highlight w:val="none"/>
        </w:rPr>
        <w:t>供应商须知前附表</w:t>
      </w:r>
      <w:r>
        <w:rPr>
          <w:rFonts w:hint="eastAsia" w:ascii="宋体" w:hAnsi="宋体" w:eastAsia="宋体" w:cs="宋体"/>
          <w:color w:val="auto"/>
          <w:szCs w:val="21"/>
          <w:highlight w:val="none"/>
        </w:rPr>
        <w:t>，已列入</w:t>
      </w:r>
      <w:r>
        <w:rPr>
          <w:rFonts w:hint="eastAsia" w:ascii="宋体" w:hAnsi="宋体" w:cs="宋体"/>
          <w:b/>
          <w:color w:val="auto"/>
          <w:szCs w:val="21"/>
          <w:highlight w:val="none"/>
          <w:u w:val="single"/>
          <w:lang w:eastAsia="zh-CN"/>
        </w:rPr>
        <w:t>国家税务总局南宁市西乡塘区税务局</w:t>
      </w:r>
      <w:r>
        <w:rPr>
          <w:rFonts w:hint="eastAsia" w:ascii="宋体" w:hAnsi="宋体" w:eastAsia="宋体" w:cs="宋体"/>
          <w:color w:val="auto"/>
          <w:szCs w:val="21"/>
          <w:highlight w:val="none"/>
        </w:rPr>
        <w:t>预算。</w:t>
      </w:r>
    </w:p>
    <w:p w14:paraId="7BB8FAA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合格的产品和服务（工程）</w:t>
      </w:r>
    </w:p>
    <w:p w14:paraId="3E9F9469">
      <w:pPr>
        <w:keepNext w:val="0"/>
        <w:keepLines w:val="0"/>
        <w:pageBreakBefore w:val="0"/>
        <w:widowControl/>
        <w:shd w:val="clear"/>
        <w:tabs>
          <w:tab w:val="left" w:pos="2160"/>
        </w:tabs>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本项目所涉及的所有产品和服务（工程）均应来自中国境内（指关境内），合同金额的支付也仅限于这些产品和服务（工程）。</w:t>
      </w:r>
    </w:p>
    <w:p w14:paraId="58D6A037">
      <w:pPr>
        <w:keepNext w:val="0"/>
        <w:keepLines w:val="0"/>
        <w:pageBreakBefore w:val="0"/>
        <w:widowControl/>
        <w:shd w:val="clear"/>
        <w:tabs>
          <w:tab w:val="left" w:pos="2160"/>
        </w:tabs>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合格的产品和服务（工程），即</w:t>
      </w:r>
      <w:r>
        <w:rPr>
          <w:rFonts w:hint="eastAsia" w:ascii="宋体" w:hAnsi="宋体" w:eastAsia="宋体" w:cs="宋体"/>
          <w:b/>
          <w:bCs/>
          <w:color w:val="auto"/>
          <w:szCs w:val="21"/>
          <w:highlight w:val="none"/>
        </w:rPr>
        <w:t>采购需求</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采购文件（技术部分）。</w:t>
      </w:r>
    </w:p>
    <w:p w14:paraId="37D0C7F4">
      <w:pPr>
        <w:keepNext w:val="0"/>
        <w:keepLines w:val="0"/>
        <w:pageBreakBefore w:val="0"/>
        <w:widowControl/>
        <w:shd w:val="clear"/>
        <w:kinsoku/>
        <w:wordWrap/>
        <w:topLinePunct/>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供应商应保证所提供的产品及服务（工程）免受第三方提出侵犯其知识产权（专利权、商标权、工业设计权及使用权）的请求及起诉。</w:t>
      </w:r>
    </w:p>
    <w:p w14:paraId="4FAEB28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合格的供应商</w:t>
      </w:r>
    </w:p>
    <w:p w14:paraId="5F59E5B0">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一般规定</w:t>
      </w:r>
    </w:p>
    <w:p w14:paraId="01FF83E0">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供应商应遵守有关法律、法规和规章的强制性规定。</w:t>
      </w:r>
    </w:p>
    <w:p w14:paraId="24226F3A">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供应商的资格要求及本项目的特定资格要求见</w:t>
      </w:r>
      <w:r>
        <w:rPr>
          <w:rFonts w:hint="eastAsia" w:ascii="宋体" w:hAnsi="宋体" w:eastAsia="宋体" w:cs="宋体"/>
          <w:b/>
          <w:bCs/>
          <w:color w:val="auto"/>
          <w:highlight w:val="none"/>
        </w:rPr>
        <w:t>供应商须知前附</w:t>
      </w:r>
      <w:r>
        <w:rPr>
          <w:rFonts w:hint="eastAsia" w:ascii="宋体" w:hAnsi="宋体" w:eastAsia="宋体" w:cs="宋体"/>
          <w:color w:val="auto"/>
          <w:highlight w:val="none"/>
        </w:rPr>
        <w:t>表。</w:t>
      </w:r>
    </w:p>
    <w:p w14:paraId="52220203">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资格条件中所称“重大违法记录”，是指供应商因违法经营受到刑事处罚或者责令停产停业、吊销许可证或者执照、较大数额罚款等行政处罚。</w:t>
      </w:r>
    </w:p>
    <w:p w14:paraId="758536F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供应商在参加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活动前3年内因违法经营被禁止在一定期限内参加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活动，期限届满的，可以参加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w:t>
      </w:r>
    </w:p>
    <w:p w14:paraId="2A9FD484">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“较大数额罚款”认定为200万元以上的罚款，法律、行政法规以及国务院有关部门明确规定相关领域“较大数额罚款”标准高于200万元的，从其规定。</w:t>
      </w:r>
    </w:p>
    <w:p w14:paraId="29C72261">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3.1.4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信用记录要求</w:t>
      </w:r>
    </w:p>
    <w:p w14:paraId="0A2A1701">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磋商小组将通过“信用中国”网站（www.creditchina.gov.cn）、中国政府采购网（www.ccgp.gov.cn）等渠道查询供应商的信用记录，并对供应商信用记录进行甄别，对列入失信被执行人、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highlight w:val="none"/>
        </w:rPr>
        <w:t>、政府采购严重违法失信行为记录名单及其他不符合《中华人民共和国政府采购法》第二十二条规定条件的供应商，应当拒绝其参与采购活动。</w:t>
      </w:r>
    </w:p>
    <w:p w14:paraId="230499F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730B750A">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w:t>
      </w:r>
    </w:p>
    <w:p w14:paraId="7370059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若本项目接受联合体，则两个以上的自然人、法人或者其他组织可以组成一个联合体，以一个供应商的身份共同参加</w:t>
      </w:r>
      <w:r>
        <w:rPr>
          <w:rFonts w:hint="eastAsia" w:ascii="宋体" w:hAnsi="宋体" w:cs="宋体"/>
          <w:color w:val="auto"/>
          <w:highlight w:val="none"/>
          <w:lang w:eastAsia="zh-CN"/>
        </w:rPr>
        <w:t>采购</w:t>
      </w:r>
      <w:r>
        <w:rPr>
          <w:rFonts w:hint="eastAsia" w:ascii="宋体" w:hAnsi="宋体" w:eastAsia="宋体" w:cs="宋体"/>
          <w:color w:val="auto"/>
          <w:highlight w:val="none"/>
        </w:rPr>
        <w:t>。</w:t>
      </w:r>
    </w:p>
    <w:p w14:paraId="53FA283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以联合体形式参加磋商的，联合体各方应按第二章要求提供资格条件材料。</w:t>
      </w:r>
    </w:p>
    <w:p w14:paraId="5966055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联合体中有同类资质的供应商按照联合体分工承担相同工作的，应当按照资质等级较低的供应商确定资质等级。</w:t>
      </w:r>
    </w:p>
    <w:p w14:paraId="0AEBAFCF">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3.2.4</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联合体应当提交联合协议，载明联合体各方承担的工作和义务。</w:t>
      </w:r>
    </w:p>
    <w:p w14:paraId="59520188">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3.2.5</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联合体各方应当共同与采购人签订采购合同，就采购合同约定的事项对采购人承担连带责任。</w:t>
      </w:r>
    </w:p>
    <w:p w14:paraId="460BAA9F">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3.2.6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以联合体形式参加</w:t>
      </w:r>
      <w:r>
        <w:rPr>
          <w:rFonts w:hint="eastAsia" w:ascii="宋体" w:hAnsi="宋体" w:cs="宋体"/>
          <w:color w:val="auto"/>
          <w:highlight w:val="none"/>
          <w:lang w:eastAsia="zh-CN"/>
        </w:rPr>
        <w:t>采购</w:t>
      </w:r>
      <w:r>
        <w:rPr>
          <w:rFonts w:hint="eastAsia" w:ascii="宋体" w:hAnsi="宋体" w:eastAsia="宋体" w:cs="宋体"/>
          <w:color w:val="auto"/>
          <w:highlight w:val="none"/>
        </w:rPr>
        <w:t>活动的，联合体各方不得再单独参加或者与其他供应商另外组成联合体参加同一合同项下的</w:t>
      </w:r>
      <w:r>
        <w:rPr>
          <w:rFonts w:hint="eastAsia" w:ascii="宋体" w:hAnsi="宋体" w:cs="宋体"/>
          <w:color w:val="auto"/>
          <w:highlight w:val="none"/>
          <w:lang w:eastAsia="zh-CN"/>
        </w:rPr>
        <w:t>采购</w:t>
      </w:r>
      <w:r>
        <w:rPr>
          <w:rFonts w:hint="eastAsia" w:ascii="宋体" w:hAnsi="宋体" w:eastAsia="宋体" w:cs="宋体"/>
          <w:color w:val="auto"/>
          <w:highlight w:val="none"/>
        </w:rPr>
        <w:t>活动。</w:t>
      </w:r>
    </w:p>
    <w:p w14:paraId="3B1B8514">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禁止规定</w:t>
      </w:r>
    </w:p>
    <w:p w14:paraId="67D99123">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单位负责人为同一人或者存在直接控股、管理关系的不同供应商，不得参加同一采购包的</w:t>
      </w:r>
      <w:r>
        <w:rPr>
          <w:rFonts w:hint="eastAsia" w:ascii="宋体" w:hAnsi="宋体" w:cs="宋体"/>
          <w:color w:val="auto"/>
          <w:highlight w:val="none"/>
          <w:lang w:eastAsia="zh-CN"/>
        </w:rPr>
        <w:t>采购</w:t>
      </w:r>
      <w:r>
        <w:rPr>
          <w:rFonts w:hint="eastAsia" w:ascii="宋体" w:hAnsi="宋体" w:eastAsia="宋体" w:cs="宋体"/>
          <w:color w:val="auto"/>
          <w:highlight w:val="none"/>
        </w:rPr>
        <w:t>活动。否则响应均无效。</w:t>
      </w:r>
    </w:p>
    <w:p w14:paraId="144D342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除单一来源采购项目外，为采购项目提供整体设计、规范编制或者项目管理、监理、检测等服务的供应商，不得再参加该采购项目的其他采购活动。否则响应无效。</w:t>
      </w:r>
    </w:p>
    <w:p w14:paraId="546B1A1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磋商响应费用</w:t>
      </w:r>
    </w:p>
    <w:p w14:paraId="1632C1EE">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供应商应承担所有与编写、提交响应文件有关的费用，不论磋商的结果如何，采购人在任何情况下均无义务和责任承担这些费用。</w:t>
      </w:r>
    </w:p>
    <w:p w14:paraId="1DCA8A0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22101200">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2" w:name="_Toc3457"/>
      <w:bookmarkStart w:id="13" w:name="_Toc22786"/>
      <w:r>
        <w:rPr>
          <w:rFonts w:hint="eastAsia" w:ascii="宋体" w:hAnsi="宋体" w:eastAsia="宋体" w:cs="宋体"/>
          <w:b/>
          <w:bCs/>
          <w:color w:val="auto"/>
          <w:highlight w:val="none"/>
        </w:rPr>
        <w:t>二、采购文件</w:t>
      </w:r>
      <w:bookmarkEnd w:id="12"/>
      <w:bookmarkEnd w:id="13"/>
    </w:p>
    <w:p w14:paraId="77C997C9">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采购文件构成</w:t>
      </w:r>
    </w:p>
    <w:p w14:paraId="43D42A7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第一部分 商务部分</w:t>
      </w:r>
    </w:p>
    <w:p w14:paraId="754EA1A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（1）磋商邀请</w:t>
      </w:r>
    </w:p>
    <w:p w14:paraId="22978A9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（2）供应商须知</w:t>
      </w:r>
    </w:p>
    <w:p w14:paraId="45468A6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（3）评审方法及标准</w:t>
      </w:r>
    </w:p>
    <w:p w14:paraId="5BF7864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合同文本</w:t>
      </w:r>
    </w:p>
    <w:p w14:paraId="22EDBA1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（5）响应文件格式</w:t>
      </w:r>
    </w:p>
    <w:p w14:paraId="76D26D5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第二部分 技术部分</w:t>
      </w:r>
    </w:p>
    <w:p w14:paraId="135C1A4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11" w:firstLineChars="196"/>
        <w:textAlignment w:val="auto"/>
        <w:rPr>
          <w:rFonts w:hint="eastAsia" w:ascii="宋体" w:hAnsi="宋体" w:eastAsia="宋体" w:cs="宋体"/>
          <w:b/>
          <w:color w:val="auto"/>
          <w:szCs w:val="21"/>
          <w:highlight w:val="none"/>
        </w:rPr>
      </w:pPr>
      <w:r>
        <w:rPr>
          <w:rFonts w:hint="eastAsia" w:ascii="宋体" w:hAnsi="宋体" w:eastAsia="宋体" w:cs="宋体"/>
          <w:b w:val="0"/>
          <w:bCs/>
          <w:color w:val="auto"/>
          <w:szCs w:val="21"/>
          <w:highlight w:val="none"/>
        </w:rPr>
        <w:t>（</w:t>
      </w:r>
      <w:r>
        <w:rPr>
          <w:rFonts w:hint="eastAsia" w:ascii="宋体" w:hAnsi="宋体" w:eastAsia="宋体" w:cs="宋体"/>
          <w:b w:val="0"/>
          <w:bCs/>
          <w:color w:val="auto"/>
          <w:szCs w:val="21"/>
          <w:highlight w:val="none"/>
          <w:lang w:val="en-US" w:eastAsia="zh-CN"/>
        </w:rPr>
        <w:t>6</w:t>
      </w:r>
      <w:r>
        <w:rPr>
          <w:rFonts w:hint="eastAsia" w:ascii="宋体" w:hAnsi="宋体" w:eastAsia="宋体" w:cs="宋体"/>
          <w:b w:val="0"/>
          <w:bCs/>
          <w:color w:val="auto"/>
          <w:szCs w:val="21"/>
          <w:highlight w:val="none"/>
        </w:rPr>
        <w:t>）项目采购需求</w:t>
      </w:r>
    </w:p>
    <w:p w14:paraId="0399961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13" w:firstLineChars="196"/>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采购文件询问、澄清或修改</w:t>
      </w:r>
    </w:p>
    <w:p w14:paraId="7F0FAF35">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Cs w:val="21"/>
          <w:highlight w:val="none"/>
        </w:rPr>
        <w:t>，但答复的内容不得涉及商业秘密。</w:t>
      </w:r>
      <w:r>
        <w:rPr>
          <w:rFonts w:hint="eastAsia" w:ascii="宋体" w:hAnsi="宋体" w:eastAsia="宋体" w:cs="宋体"/>
          <w:color w:val="auto"/>
          <w:szCs w:val="21"/>
          <w:highlight w:val="none"/>
        </w:rPr>
        <w:t>如有必要，采购人或者采购代理机构可对采购文件进行澄清或者修改。</w:t>
      </w:r>
    </w:p>
    <w:p w14:paraId="47D1E48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 提交首次响应文件截止之日前，采购人、采购代理机构或者磋商小组可以对已发出的磋商文件进行必要的澄清或者修改。</w:t>
      </w:r>
    </w:p>
    <w:p w14:paraId="1DCD35A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 澄清或者修改将在原公告发布媒体上发布更正公告，并以书面形式通知所有获取磋商文件的供应商。</w:t>
      </w:r>
    </w:p>
    <w:p w14:paraId="7B2585C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00FAFCF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澄清或者修改的内容作为磋商文件的组成部分。</w:t>
      </w:r>
    </w:p>
    <w:p w14:paraId="489AB55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415E179F">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4" w:name="_Toc8122"/>
      <w:bookmarkStart w:id="15" w:name="_Toc21755"/>
      <w:r>
        <w:rPr>
          <w:rFonts w:hint="eastAsia" w:ascii="宋体" w:hAnsi="宋体" w:eastAsia="宋体" w:cs="宋体"/>
          <w:b/>
          <w:bCs/>
          <w:color w:val="auto"/>
          <w:highlight w:val="none"/>
        </w:rPr>
        <w:t>三、响应文件</w:t>
      </w:r>
      <w:bookmarkEnd w:id="14"/>
      <w:bookmarkEnd w:id="15"/>
    </w:p>
    <w:p w14:paraId="608A20B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7.</w:t>
      </w:r>
      <w:r>
        <w:rPr>
          <w:rFonts w:hint="eastAsia" w:ascii="宋体" w:hAnsi="宋体" w:eastAsia="宋体" w:cs="宋体"/>
          <w:b/>
          <w:color w:val="auto"/>
          <w:szCs w:val="21"/>
          <w:highlight w:val="none"/>
        </w:rPr>
        <w:t>响应文件编制</w:t>
      </w:r>
    </w:p>
    <w:p w14:paraId="3D4D793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响应文件的编制</w:t>
      </w:r>
    </w:p>
    <w:p w14:paraId="71F7B432">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供应商应先仔细阅读采购文件的全部内容后，再进行响应文件的编制。</w:t>
      </w:r>
    </w:p>
    <w:p w14:paraId="041FD7A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响应文件应满足采购文件提出的实质性要求和条件，并保证其所提交的全部资料是不可割离且真实、有效、准确、完整和不具有任何误导性的，否则造</w:t>
      </w:r>
      <w:r>
        <w:rPr>
          <w:rFonts w:hint="eastAsia" w:ascii="宋体" w:hAnsi="宋体" w:eastAsia="宋体" w:cs="宋体"/>
          <w:color w:val="auto"/>
          <w:highlight w:val="none"/>
          <w:lang w:eastAsia="zh-CN"/>
        </w:rPr>
        <w:t>成的</w:t>
      </w:r>
      <w:r>
        <w:rPr>
          <w:rFonts w:hint="eastAsia" w:ascii="宋体" w:hAnsi="宋体" w:eastAsia="宋体" w:cs="宋体"/>
          <w:color w:val="auto"/>
          <w:highlight w:val="none"/>
        </w:rPr>
        <w:t>不利后果由供应商承担责任。</w:t>
      </w:r>
    </w:p>
    <w:p w14:paraId="3A27D4A6">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响应文件的语言</w:t>
      </w:r>
    </w:p>
    <w:p w14:paraId="0C62CA0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除采购文件另有规定外，响应文件应使用中文文本并使用中文简化字，若有不同文本，以中文简化字文本为准。</w:t>
      </w:r>
    </w:p>
    <w:p w14:paraId="4EAADF9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响应文件提供的全部资料中，若属于非中文描述的，应同时提供中文简化字译本。</w:t>
      </w:r>
    </w:p>
    <w:p w14:paraId="0CED94AF">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除在采购文件的要求中另有规定外，响应文件计量单位应使用中华人民共和国法定计量单位。</w:t>
      </w:r>
    </w:p>
    <w:p w14:paraId="52D18C0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8.响应文件的组成</w:t>
      </w:r>
    </w:p>
    <w:p w14:paraId="47C3707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响应文件包括商务部分和技术部分。</w:t>
      </w:r>
    </w:p>
    <w:p w14:paraId="3BC6811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8" w:firstLineChars="20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响应文件</w:t>
      </w:r>
      <w:r>
        <w:rPr>
          <w:rFonts w:hint="eastAsia" w:ascii="宋体" w:hAnsi="宋体" w:eastAsia="宋体" w:cs="宋体"/>
          <w:b/>
          <w:bCs/>
          <w:color w:val="auto"/>
          <w:szCs w:val="21"/>
          <w:highlight w:val="none"/>
        </w:rPr>
        <w:t>商务部分</w:t>
      </w:r>
      <w:r>
        <w:rPr>
          <w:rFonts w:hint="eastAsia" w:ascii="宋体" w:hAnsi="宋体" w:eastAsia="宋体" w:cs="宋体"/>
          <w:color w:val="auto"/>
          <w:szCs w:val="21"/>
          <w:highlight w:val="none"/>
        </w:rPr>
        <w:t>主要包括的文件和资料：</w:t>
      </w:r>
    </w:p>
    <w:p w14:paraId="166BC0C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8" w:firstLineChars="204"/>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8.2.1 资格证明文件，见</w:t>
      </w:r>
      <w:r>
        <w:rPr>
          <w:rFonts w:hint="eastAsia" w:ascii="宋体" w:hAnsi="宋体" w:eastAsia="宋体" w:cs="宋体"/>
          <w:b/>
          <w:color w:val="auto"/>
          <w:szCs w:val="21"/>
          <w:highlight w:val="none"/>
        </w:rPr>
        <w:t>供应商须知前附表。</w:t>
      </w:r>
    </w:p>
    <w:p w14:paraId="36977EA1">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8.2.2 其他文件及资料，见</w:t>
      </w:r>
      <w:r>
        <w:rPr>
          <w:rFonts w:hint="eastAsia" w:ascii="宋体" w:hAnsi="宋体" w:eastAsia="宋体" w:cs="宋体"/>
          <w:b/>
          <w:color w:val="auto"/>
          <w:szCs w:val="21"/>
          <w:highlight w:val="none"/>
        </w:rPr>
        <w:t>供应商须知前附表。</w:t>
      </w:r>
    </w:p>
    <w:p w14:paraId="4B955CC7">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响应文件</w:t>
      </w:r>
      <w:r>
        <w:rPr>
          <w:rFonts w:hint="eastAsia" w:ascii="宋体" w:hAnsi="宋体" w:eastAsia="宋体" w:cs="宋体"/>
          <w:b/>
          <w:bCs/>
          <w:color w:val="auto"/>
          <w:szCs w:val="21"/>
          <w:highlight w:val="none"/>
        </w:rPr>
        <w:t>技术部分</w:t>
      </w:r>
      <w:r>
        <w:rPr>
          <w:rFonts w:hint="eastAsia" w:ascii="宋体" w:hAnsi="宋体" w:eastAsia="宋体" w:cs="宋体"/>
          <w:color w:val="auto"/>
          <w:szCs w:val="21"/>
          <w:highlight w:val="none"/>
        </w:rPr>
        <w:t>主要包括的文件及资料，见</w:t>
      </w:r>
      <w:r>
        <w:rPr>
          <w:rFonts w:hint="eastAsia" w:ascii="宋体" w:hAnsi="宋体" w:eastAsia="宋体" w:cs="宋体"/>
          <w:b/>
          <w:color w:val="auto"/>
          <w:szCs w:val="21"/>
          <w:highlight w:val="none"/>
        </w:rPr>
        <w:t>供应商须知前附表。</w:t>
      </w:r>
    </w:p>
    <w:p w14:paraId="2B7D3784">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证明资料如标明有效期的，必须在有效期内。</w:t>
      </w:r>
    </w:p>
    <w:p w14:paraId="41EFA045">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9.报价要求</w:t>
      </w:r>
    </w:p>
    <w:p w14:paraId="6E49AB6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除采购文件另有规定外，应以人民币报价。</w:t>
      </w:r>
    </w:p>
    <w:p w14:paraId="41BE7B09">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本项目不接受任何形式的赠送、“零”报价和折扣报价。</w:t>
      </w:r>
    </w:p>
    <w:p w14:paraId="72C9651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本项目以磋商总报价为依据计算价格分。磋商总报价应包括采购文件中要求供应商承担所有工作内容的全部费用。</w:t>
      </w:r>
    </w:p>
    <w:p w14:paraId="40B56EB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14:paraId="54333C8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最低报价不能作为成交的保证。</w:t>
      </w:r>
    </w:p>
    <w:p w14:paraId="5263467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供应商的报价不得超过采购项目预算。</w:t>
      </w:r>
    </w:p>
    <w:p w14:paraId="5448357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10.响应文件的书写、密封、签署、盖章</w:t>
      </w:r>
    </w:p>
    <w:p w14:paraId="0C11A6F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书写</w:t>
      </w:r>
    </w:p>
    <w:p w14:paraId="5901C49C">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响应文件应使用不能擦去的墨料或墨水打印、书写。</w:t>
      </w:r>
    </w:p>
    <w:p w14:paraId="3E0FC3C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响应文件内容应没有涂改或行间插字。若有前述改动，在改动处应由单位负责人（授权代表）签字确认或加盖供应商的单位公章。</w:t>
      </w:r>
    </w:p>
    <w:p w14:paraId="4F470C9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密封</w:t>
      </w:r>
    </w:p>
    <w:p w14:paraId="07242F0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响应文件应胶装或装订成册，避免材料散装、脱落。</w:t>
      </w:r>
    </w:p>
    <w:p w14:paraId="5F15760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10.2.2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14:paraId="25186AF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签署、盖章</w:t>
      </w:r>
    </w:p>
    <w:p w14:paraId="1377172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10.3.1</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响应文件中要求签字处应由供应商的单位负责人（授权代表）签字。</w:t>
      </w:r>
    </w:p>
    <w:p w14:paraId="0CCC3EF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10.3.2</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响应文件必须按照采购文件给出文件格式的签署要求进行签署。</w:t>
      </w:r>
    </w:p>
    <w:p w14:paraId="4B27AA6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供应商在</w:t>
      </w:r>
      <w:r>
        <w:rPr>
          <w:rFonts w:hint="eastAsia" w:ascii="宋体" w:hAnsi="宋体" w:eastAsia="宋体" w:cs="宋体"/>
          <w:b/>
          <w:bCs/>
          <w:color w:val="auto"/>
          <w:szCs w:val="21"/>
          <w:highlight w:val="none"/>
        </w:rPr>
        <w:t>“磋商响应函”“法定代表人授权委托书”</w:t>
      </w:r>
      <w:r>
        <w:rPr>
          <w:rFonts w:hint="eastAsia" w:ascii="宋体" w:hAnsi="宋体" w:eastAsia="宋体" w:cs="宋体"/>
          <w:color w:val="auto"/>
          <w:szCs w:val="21"/>
          <w:highlight w:val="none"/>
        </w:rPr>
        <w:t>上应当按格式要求加盖与供应商名称全称一致的标准公章，并按照采购文件第五章响应文件格式中的相应格式文件要求签署全名或加盖名章。</w:t>
      </w:r>
    </w:p>
    <w:p w14:paraId="78EA875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响应文件中的“盖章”指加盖供应商的“公章”，而非“合同专用章</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投标专用章”等其他非公章。</w:t>
      </w:r>
    </w:p>
    <w:p w14:paraId="0AA3DEC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11.</w:t>
      </w:r>
      <w:r>
        <w:rPr>
          <w:rFonts w:hint="eastAsia" w:ascii="宋体" w:hAnsi="宋体" w:eastAsia="宋体" w:cs="宋体"/>
          <w:b/>
          <w:color w:val="auto"/>
          <w:szCs w:val="21"/>
          <w:highlight w:val="none"/>
        </w:rPr>
        <w:t>响应有效期</w:t>
      </w:r>
    </w:p>
    <w:p w14:paraId="72DBA6F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响应有效期见</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14:paraId="219B8D2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 特殊情况下，在原响应有效期期满之前，采购人或者采购代理机构可征得供应商同意延长响应有效期。</w:t>
      </w:r>
    </w:p>
    <w:p w14:paraId="7B526FD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1959130E">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6" w:name="_Toc27586"/>
      <w:bookmarkStart w:id="17" w:name="_Toc3284"/>
      <w:r>
        <w:rPr>
          <w:rFonts w:hint="eastAsia" w:ascii="宋体" w:hAnsi="宋体" w:eastAsia="宋体" w:cs="宋体"/>
          <w:b/>
          <w:bCs/>
          <w:color w:val="auto"/>
          <w:highlight w:val="none"/>
        </w:rPr>
        <w:t>四、响应文件递交</w:t>
      </w:r>
      <w:bookmarkEnd w:id="16"/>
      <w:bookmarkEnd w:id="17"/>
    </w:p>
    <w:p w14:paraId="63F4510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12.</w:t>
      </w:r>
      <w:r>
        <w:rPr>
          <w:rFonts w:hint="eastAsia" w:ascii="宋体" w:hAnsi="宋体" w:eastAsia="宋体" w:cs="宋体"/>
          <w:b/>
          <w:color w:val="auto"/>
          <w:szCs w:val="21"/>
          <w:highlight w:val="none"/>
        </w:rPr>
        <w:t>响应文件递交</w:t>
      </w:r>
    </w:p>
    <w:p w14:paraId="5B2B98CE">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供应商应当在</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要求提交响应文件截止时间前，根据《供应商须知前附表》载明方式提交响应文件。</w:t>
      </w:r>
      <w:r>
        <w:rPr>
          <w:rFonts w:hint="eastAsia" w:ascii="宋体" w:hAnsi="宋体" w:eastAsia="宋体" w:cs="宋体"/>
          <w:color w:val="auto"/>
          <w:szCs w:val="21"/>
          <w:highlight w:val="none"/>
          <w:lang w:eastAsia="zh-CN"/>
        </w:rPr>
        <w:t>逾期送达或者未按照</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lang w:eastAsia="zh-CN"/>
        </w:rPr>
        <w:t>文件要求密封的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将被拒绝。</w:t>
      </w:r>
    </w:p>
    <w:p w14:paraId="38B3ACD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13.</w:t>
      </w:r>
      <w:r>
        <w:rPr>
          <w:rFonts w:hint="eastAsia" w:ascii="宋体" w:hAnsi="宋体" w:eastAsia="宋体" w:cs="宋体"/>
          <w:b/>
          <w:color w:val="auto"/>
          <w:szCs w:val="21"/>
          <w:highlight w:val="none"/>
        </w:rPr>
        <w:t>响应文件补充、修改或撤回</w:t>
      </w:r>
    </w:p>
    <w:p w14:paraId="7960369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14:paraId="60176B5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 提交响应文件截止时间后，</w:t>
      </w:r>
      <w:r>
        <w:rPr>
          <w:rFonts w:hint="eastAsia" w:ascii="宋体" w:hAnsi="宋体" w:eastAsia="宋体" w:cs="宋体"/>
          <w:color w:val="auto"/>
          <w:szCs w:val="21"/>
          <w:highlight w:val="none"/>
          <w:lang w:eastAsia="zh-CN"/>
        </w:rPr>
        <w:t>不得</w:t>
      </w:r>
      <w:r>
        <w:rPr>
          <w:rFonts w:hint="eastAsia" w:ascii="宋体" w:hAnsi="宋体" w:eastAsia="宋体" w:cs="宋体"/>
          <w:color w:val="auto"/>
          <w:szCs w:val="21"/>
          <w:highlight w:val="none"/>
        </w:rPr>
        <w:t>对已提交的响应文件</w:t>
      </w:r>
      <w:r>
        <w:rPr>
          <w:rFonts w:hint="eastAsia" w:ascii="宋体" w:hAnsi="宋体" w:eastAsia="宋体" w:cs="宋体"/>
          <w:color w:val="auto"/>
          <w:szCs w:val="21"/>
          <w:highlight w:val="none"/>
          <w:lang w:eastAsia="zh-CN"/>
        </w:rPr>
        <w:t>做</w:t>
      </w:r>
      <w:r>
        <w:rPr>
          <w:rFonts w:hint="eastAsia" w:ascii="宋体" w:hAnsi="宋体" w:eastAsia="宋体" w:cs="宋体"/>
          <w:color w:val="auto"/>
          <w:szCs w:val="21"/>
          <w:highlight w:val="none"/>
        </w:rPr>
        <w:t>任何补充、修改或者撤回。</w:t>
      </w:r>
    </w:p>
    <w:p w14:paraId="6307D25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2D0784FE">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18" w:name="_Toc6446"/>
      <w:bookmarkStart w:id="19" w:name="_Toc22340"/>
      <w:r>
        <w:rPr>
          <w:rFonts w:hint="eastAsia" w:ascii="宋体" w:hAnsi="宋体" w:eastAsia="宋体" w:cs="宋体"/>
          <w:b/>
          <w:bCs/>
          <w:color w:val="auto"/>
          <w:highlight w:val="none"/>
        </w:rPr>
        <w:t>五、磋商与评审</w:t>
      </w:r>
      <w:bookmarkEnd w:id="18"/>
      <w:bookmarkEnd w:id="19"/>
    </w:p>
    <w:p w14:paraId="4E4753C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14.磋商小组</w:t>
      </w:r>
    </w:p>
    <w:p w14:paraId="6623D83A">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14.1 磋商与评审由依法组建的磋商小组负责，磋商小组由采购人代表和评审专家组成。</w:t>
      </w:r>
    </w:p>
    <w:p w14:paraId="541DBDBE">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14.2 评审专家应当遵守评审工作纪律，不得泄露评审情况和评审中获悉的商业秘密。</w:t>
      </w:r>
    </w:p>
    <w:p w14:paraId="1FA0096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14.3 磋商小组成员应当按照客观、公正、审慎的原则，根据磋商文件规定的评审程序、评审方法和评审标准进行独立评审。</w:t>
      </w:r>
    </w:p>
    <w:p w14:paraId="17E712F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15.初步审查</w:t>
      </w:r>
    </w:p>
    <w:p w14:paraId="15FE20A6">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14:paraId="03EE97AB">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供应商未按照磋商文件规定提交磋商保证金的；</w:t>
      </w:r>
    </w:p>
    <w:p w14:paraId="48BCBBF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未按照磋商文件规定要求密封、签署、盖章的；</w:t>
      </w:r>
    </w:p>
    <w:p w14:paraId="16005501">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响应有效期不足的；</w:t>
      </w:r>
    </w:p>
    <w:p w14:paraId="62D9D703">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供应商不满足磋商文件供应商资格条件或未按照磋商文件规定提供资格证明材料的；</w:t>
      </w:r>
    </w:p>
    <w:p w14:paraId="6D3E31D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响应文件不满足磋商文件实质性条款的。响应文件是否实质性响应磋商文件，由磋商小组依据磋商文件规定、供应商响应文件及磋商情况认定；</w:t>
      </w:r>
    </w:p>
    <w:p w14:paraId="1EA5A447">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6</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供应商存在失信记录的：</w:t>
      </w:r>
    </w:p>
    <w:p w14:paraId="6A2524FB">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失信记录是指，通过“信用中国”网站</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www.creditchina.gov.cn</w:t>
      </w:r>
      <w:r>
        <w:rPr>
          <w:rFonts w:hint="eastAsia" w:ascii="宋体" w:hAnsi="宋体" w:cs="宋体"/>
          <w:color w:val="auto"/>
          <w:highlight w:val="none"/>
          <w:lang w:eastAsia="zh-CN"/>
        </w:rPr>
        <w:t>）</w:t>
      </w:r>
      <w:r>
        <w:rPr>
          <w:rFonts w:hint="eastAsia" w:ascii="宋体" w:hAnsi="宋体" w:eastAsia="宋体" w:cs="宋体"/>
          <w:color w:val="auto"/>
          <w:highlight w:val="none"/>
        </w:rPr>
        <w:t>、中国政府采购网</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www.ccgp.gov.cn</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查询相关主体信用记录，列入失信被执行人、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highlight w:val="none"/>
        </w:rPr>
        <w:t>、政府采购严重违法失信行为记录名单及其他不符合《</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》第二十二条规定条件的情况。失信情况查询详见供应商须知前附表；</w:t>
      </w:r>
    </w:p>
    <w:p w14:paraId="1FB9E292">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其他不符合法律、规章、规范性文件和磋商文件规定的。</w:t>
      </w:r>
    </w:p>
    <w:p w14:paraId="4924936E">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16.澄清</w:t>
      </w:r>
    </w:p>
    <w:p w14:paraId="47B221A4">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16.1 磋商小组在对响应文件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包括首次响应文件、重新提交的响应文件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14:paraId="2FF9A2A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供应商的澄清、说明或者更正应当采用书面形式，由其法定代表人或其授权代表签字，供应商的澄清、说明或者更正不得超出磋商文件的范围或者改变响应文件的实质性内容。</w:t>
      </w:r>
    </w:p>
    <w:p w14:paraId="36AF1700">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关于响应描述（即响应文件中描述的内容）</w:t>
      </w:r>
    </w:p>
    <w:p w14:paraId="7240CFFB">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（1）响应描述前后不一致且不涉及证明材料的：按照本节第16.1条、16.2条规定执行。</w:t>
      </w:r>
    </w:p>
    <w:p w14:paraId="2C02835A">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（2）响应描述与证明材料不一致或多份证明材料之间不一致的：</w:t>
      </w:r>
    </w:p>
    <w:p w14:paraId="574DCE1A">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①磋商小组将要求供应商进行书面澄清，无法澄清的将按照不利于供应商的内容进行评审。</w:t>
      </w:r>
    </w:p>
    <w:p w14:paraId="66611775">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14:paraId="47EFAE08">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（3）若响应描述存在前后不一致、与证明材料不一致或多份证明材料之间不一致情形之一但在磋商中未能发现</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，则采购人将以响应描述或证明材料中有利于采购人的内容进行验收，应自行承担由此产生的风险及费用。</w:t>
      </w:r>
    </w:p>
    <w:p w14:paraId="7D8321C9">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除磋商小组要求供应商做出的澄清、说明或者补正以外，磋商小组不接受供应商的任何询问、说明、更改及文件。</w:t>
      </w:r>
    </w:p>
    <w:p w14:paraId="5302E8BC">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供应商的澄清必须在规定的时间内提交。</w:t>
      </w:r>
    </w:p>
    <w:p w14:paraId="2EC03B7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17.磋商</w:t>
      </w:r>
    </w:p>
    <w:p w14:paraId="1C831D7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初审结束后，磋商小组所有成员集中与单一供应商分别进行磋商，并给予所有参加磋商的供应商平等的磋商机会。供应商应派其法定代表人或授权代表参加磋商。</w:t>
      </w:r>
    </w:p>
    <w:p w14:paraId="0504F7C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14:paraId="4414A52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对磋商文件作出的实质性变动是磋商文件的有效组成部分，磋商小组应当及时以书面形式同时通知所有参加磋商的供应商。</w:t>
      </w:r>
    </w:p>
    <w:p w14:paraId="0FC9963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供应商应当按照磋商文件的变动情况和磋商小组的要求重新提交响应文件，并由其法定代表人或授权代表签字。由授权代表签字的，应当附法定代表人授权书。供应商为自然人的，应当由本人签字并附身份证明。</w:t>
      </w:r>
    </w:p>
    <w:p w14:paraId="0C95F17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17.5</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w:t>
      </w:r>
    </w:p>
    <w:p w14:paraId="2FD40C3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17.6</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磋商小组应当根据实际情况与供应商进行磋商，并确定磋商的轮次。</w:t>
      </w:r>
    </w:p>
    <w:p w14:paraId="7CFC0AF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17.7</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已提交响应文件的供应商，在提交最后报价之前，可以根据磋商情况退出磋商。采购人或采购代理机构应当退还退出磋商的供应商的磋商保证金。</w:t>
      </w:r>
    </w:p>
    <w:p w14:paraId="67FA677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17.8</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磋商结束后，供应商按照磋商小组要求重新提交的响应文件，不满足磋商文件及变动后的技术、服务要求以及合同草案条款的实质性要求的，将视为无效响应文件。</w:t>
      </w:r>
    </w:p>
    <w:p w14:paraId="391AFA0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18.最后报价</w:t>
      </w:r>
    </w:p>
    <w:p w14:paraId="253FB53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磋商结束后，磋商小组应当要求所有实质性响应的供应商在规定时间内提交最后报价，提交最后报价的供应商不得少于3家。（符合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规定的允许符合要求的供应商只有2家时可以继续进行采购活动的情形，提交最后报价的供应商可以为2家）。</w:t>
      </w:r>
    </w:p>
    <w:p w14:paraId="77DC8B4E">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A8E9F2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最后报价是供应商响应文件的有效组成部分。如磋商小组没有对磋商文件作实质性变动或增加新的需求，最后报价不得高于首轮报价。</w:t>
      </w:r>
    </w:p>
    <w:p w14:paraId="0D5328D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19.最后报价评审</w:t>
      </w:r>
    </w:p>
    <w:p w14:paraId="3EBD5B0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最后报价计算错误修正的原则</w:t>
      </w:r>
    </w:p>
    <w:p w14:paraId="56513CD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最后报价的大写金额和小写金额不一致的，以大写金额为准。</w:t>
      </w:r>
    </w:p>
    <w:p w14:paraId="4B57005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总价金额与按分项报价汇总金额不一致的，以分项报价金额计算结果为准。</w:t>
      </w:r>
    </w:p>
    <w:p w14:paraId="2756A91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分项报价金额小数点有明显错位的，应以总价为准，并修改分项报价。</w:t>
      </w:r>
    </w:p>
    <w:p w14:paraId="0DD96EC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（4）同时出现两种以上不一致的，按照前款规定的顺序修正。</w:t>
      </w:r>
    </w:p>
    <w:p w14:paraId="2C5072E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如果供应商不接受对其错误的更正，其最后报价将被视为无效报价或确定为无效响应。</w:t>
      </w:r>
    </w:p>
    <w:p w14:paraId="6E927C7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最后报价的价格扣除原则</w:t>
      </w:r>
    </w:p>
    <w:p w14:paraId="022D153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落实采购政策进行价格调整的规则详见第三章第2.3条。</w:t>
      </w:r>
    </w:p>
    <w:p w14:paraId="335CD2F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磋商报价得分：以供应商的最后报价作为价格评分依据。供应商的评审价为按上述条款修正并给予价格扣除优惠后的价格。</w:t>
      </w:r>
    </w:p>
    <w:p w14:paraId="452DD1E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价格评分统一采用低价优先法计算，即满足磋商文件要求且价格最低的评审价为评审基准价，其价格分为满分。其他供应商的价格分统一按照下列公式计算：</w:t>
      </w:r>
    </w:p>
    <w:p w14:paraId="586803F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磋商报价得分=（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基准价/某</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w:t>
      </w:r>
      <w:r>
        <w:rPr>
          <w:rFonts w:hint="eastAsia" w:ascii="宋体" w:hAnsi="宋体" w:eastAsia="宋体" w:cs="宋体"/>
          <w:color w:val="auto"/>
          <w:szCs w:val="21"/>
          <w:highlight w:val="none"/>
        </w:rPr>
        <w:t>）×价格满分值</w:t>
      </w:r>
    </w:p>
    <w:p w14:paraId="2F2F29A5">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20.综合评审</w:t>
      </w:r>
    </w:p>
    <w:p w14:paraId="010FF06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3EDC6FC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评审办法及标准见第三章。</w:t>
      </w:r>
    </w:p>
    <w:p w14:paraId="5B66DCB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评审时，磋商小组成员应当独立对每个有效响应的文件进行评价、打分，然后汇总每个供应商每项评分因素的得分。</w:t>
      </w:r>
    </w:p>
    <w:p w14:paraId="5007312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21.提出</w:t>
      </w:r>
    </w:p>
    <w:p w14:paraId="42DFA118">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磋商小组应当按照综合评分由高到低的顺序提出3名以上成交候选供应商，并编写评审报告。（符合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规定的允许符合要求的供应商只有2家时可以继续进行采购活动的情形，推荐的成交候选供应商可以为2家）</w:t>
      </w:r>
    </w:p>
    <w:p w14:paraId="5FA4637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u w:val="single"/>
        </w:rPr>
        <w:t>评审得分相同的，按照最后报价由低到高的顺序推荐。评审得分且最后报价相同的，按照技术指标优劣顺序推荐</w:t>
      </w:r>
      <w:r>
        <w:rPr>
          <w:rFonts w:hint="eastAsia" w:ascii="宋体" w:hAnsi="宋体" w:eastAsia="宋体" w:cs="宋体"/>
          <w:color w:val="auto"/>
          <w:szCs w:val="21"/>
          <w:highlight w:val="none"/>
        </w:rPr>
        <w:t>。</w:t>
      </w:r>
    </w:p>
    <w:p w14:paraId="09BEDBE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22.磋商终止</w:t>
      </w:r>
    </w:p>
    <w:p w14:paraId="6C697A8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出现下列情形之一的，采购人或者采购代理机构应当终止磋商采购活动，在财政部指定的媒体上发布项目终止公告并说明原因，重新开展采购活动：</w:t>
      </w:r>
    </w:p>
    <w:p w14:paraId="4C80775E">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因情况变化，不再符合规定的磋商采购方式适用情形的；</w:t>
      </w:r>
    </w:p>
    <w:p w14:paraId="39DD5F6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出现影响采购公正的违法、违规行为的；</w:t>
      </w:r>
    </w:p>
    <w:p w14:paraId="2CB92AE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在采购过程中符合竞争要求的供应商或者报价未超过采购预算的供应商不足3家的，或者提交最后报价的供应商少于3家的；（符合</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 xml:space="preserve">规定的允许符合要求的供应商只有2家时可以继续进行采购活动的情形，符合竞争要求的供应商或者报价未超过采购预算的供应商或者提交最后报价的供应商不足2家的；） </w:t>
      </w:r>
    </w:p>
    <w:p w14:paraId="44DD715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因重大变故，采购任务取消的。</w:t>
      </w:r>
    </w:p>
    <w:p w14:paraId="185F379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16919EEF">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20" w:name="_Toc29412"/>
      <w:bookmarkStart w:id="21" w:name="_Toc24289"/>
      <w:r>
        <w:rPr>
          <w:rFonts w:hint="eastAsia" w:ascii="宋体" w:hAnsi="宋体" w:eastAsia="宋体" w:cs="宋体"/>
          <w:b/>
          <w:bCs/>
          <w:color w:val="auto"/>
          <w:highlight w:val="none"/>
        </w:rPr>
        <w:t>六、成交和合同</w:t>
      </w:r>
      <w:bookmarkEnd w:id="20"/>
      <w:bookmarkEnd w:id="21"/>
    </w:p>
    <w:p w14:paraId="4CDDA0E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23.</w:t>
      </w:r>
      <w:r>
        <w:rPr>
          <w:rFonts w:hint="eastAsia" w:ascii="宋体" w:hAnsi="宋体" w:eastAsia="宋体" w:cs="宋体"/>
          <w:b/>
          <w:color w:val="auto"/>
          <w:szCs w:val="21"/>
          <w:highlight w:val="none"/>
        </w:rPr>
        <w:t>成交</w:t>
      </w:r>
    </w:p>
    <w:p w14:paraId="443BEFA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采购代理机构应当在评审结束后2个工作日内将评审报告送采购人确认。</w:t>
      </w:r>
    </w:p>
    <w:p w14:paraId="72775B2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应当在收到评审报告后5个工作日内，从评审报告提出的成交候选供应商中，按照排序由高到低的原则确定，也可以书面授权磋商小组直接确定。采购人逾期未确定且不提出异议的，视为确定评审报告提出的排序第一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w:t>
      </w:r>
    </w:p>
    <w:p w14:paraId="3DDD14A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 采购人或者采购代理机构应当在确定后2个工作日内，在</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规定的媒体上公告成交结果，并将磋商文件随成交结果同时公告。</w:t>
      </w:r>
    </w:p>
    <w:p w14:paraId="3FB8547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 在公告成交结果的同时，采购人或者采购代理机构应当向发出成交通知书</w:t>
      </w:r>
    </w:p>
    <w:p w14:paraId="479850E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 成交通知书对采购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具有同等法律效力。</w:t>
      </w:r>
    </w:p>
    <w:p w14:paraId="201CE4C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24.</w:t>
      </w:r>
      <w:r>
        <w:rPr>
          <w:rFonts w:hint="eastAsia" w:ascii="宋体" w:hAnsi="宋体" w:eastAsia="宋体" w:cs="宋体"/>
          <w:b/>
          <w:color w:val="auto"/>
          <w:szCs w:val="21"/>
          <w:highlight w:val="none"/>
        </w:rPr>
        <w:t>签订合同</w:t>
      </w:r>
    </w:p>
    <w:p w14:paraId="4A84811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应当在成交通知书发出之日起30日内，按照磋商文件确定的合同文本以及采购标的、规格型号、采购金额、采购数量、技术和服务要求等事项签订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w:t>
      </w:r>
    </w:p>
    <w:p w14:paraId="30B78DF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 采购人</w:t>
      </w:r>
      <w:r>
        <w:rPr>
          <w:rFonts w:hint="eastAsia" w:ascii="宋体" w:hAnsi="宋体" w:eastAsia="宋体" w:cs="宋体"/>
          <w:color w:val="auto"/>
          <w:szCs w:val="21"/>
          <w:highlight w:val="none"/>
          <w:lang w:eastAsia="zh-CN"/>
        </w:rPr>
        <w:t>不得</w:t>
      </w:r>
      <w:r>
        <w:rPr>
          <w:rFonts w:hint="eastAsia" w:ascii="宋体" w:hAnsi="宋体" w:eastAsia="宋体" w:cs="宋体"/>
          <w:color w:val="auto"/>
          <w:szCs w:val="21"/>
          <w:highlight w:val="none"/>
        </w:rPr>
        <w:t>提出超出磋商文件以外的任何要求作为签订合同的条件，不得与订立背离磋商文件确定的合同文本以及采购标的、规格型号、采购金额、采购数量、技术和服务要求等实质性内容的协议。</w:t>
      </w:r>
    </w:p>
    <w:p w14:paraId="60D61CA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 拒绝签订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合同的，采购人可以按照本章第23.2条规定的原则确定其他供应商作为并签订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合同，也可以重新开展采购活动。拒绝签订</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合同的不得参加对该项目重新开展的采购活动。</w:t>
      </w:r>
    </w:p>
    <w:p w14:paraId="02D2253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25.</w:t>
      </w:r>
      <w:r>
        <w:rPr>
          <w:rFonts w:hint="eastAsia" w:ascii="宋体" w:hAnsi="宋体" w:eastAsia="宋体" w:cs="宋体"/>
          <w:b/>
          <w:color w:val="auto"/>
          <w:szCs w:val="21"/>
          <w:highlight w:val="none"/>
        </w:rPr>
        <w:t>履约保证金</w:t>
      </w:r>
    </w:p>
    <w:p w14:paraId="6D031A9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按照</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的规定，在签订采购合同前，向采购人提交履约保证金。联合体成交的，履约保证金以联合体各方或联合体中牵头人的名义提交。</w:t>
      </w:r>
    </w:p>
    <w:p w14:paraId="5FBE6A3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没有按照</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的规定提交履约保证金的，视为放弃成交资格，其磋商保证金不予退还。</w:t>
      </w:r>
    </w:p>
    <w:p w14:paraId="60F7A02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68D5D86F">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22" w:name="_Toc32464"/>
      <w:bookmarkStart w:id="23" w:name="_Toc23077"/>
      <w:r>
        <w:rPr>
          <w:rFonts w:hint="eastAsia" w:ascii="宋体" w:hAnsi="宋体" w:eastAsia="宋体" w:cs="宋体"/>
          <w:b/>
          <w:bCs/>
          <w:color w:val="auto"/>
          <w:highlight w:val="none"/>
        </w:rPr>
        <w:t>七、询问和质疑</w:t>
      </w:r>
      <w:bookmarkEnd w:id="22"/>
      <w:bookmarkEnd w:id="23"/>
    </w:p>
    <w:p w14:paraId="32CE247B">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26.询问</w:t>
      </w:r>
    </w:p>
    <w:p w14:paraId="5BA2D71F">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潜在供应商、供应商对采购活动事项有疑问的，可以向采购人或者采购代理机构提出询问，采购人或者采购代理机构应当在3个工作日内对依法提出的询问作出答复，但答复的内容不得涉及商业秘密。</w:t>
      </w:r>
    </w:p>
    <w:p w14:paraId="6F86C1F3">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27.</w:t>
      </w:r>
      <w:r>
        <w:rPr>
          <w:rFonts w:hint="eastAsia" w:ascii="宋体" w:hAnsi="宋体" w:eastAsia="宋体" w:cs="宋体"/>
          <w:b/>
          <w:color w:val="auto"/>
          <w:szCs w:val="21"/>
          <w:highlight w:val="none"/>
        </w:rPr>
        <w:t>质疑</w:t>
      </w:r>
    </w:p>
    <w:p w14:paraId="730DA00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Cs w:val="21"/>
          <w:highlight w:val="none"/>
        </w:rPr>
        <w:t>见</w:t>
      </w:r>
      <w:r>
        <w:rPr>
          <w:rFonts w:hint="eastAsia" w:ascii="宋体" w:hAnsi="宋体" w:eastAsia="宋体" w:cs="宋体"/>
          <w:b/>
          <w:color w:val="auto"/>
          <w:szCs w:val="21"/>
          <w:highlight w:val="none"/>
        </w:rPr>
        <w:t>供应商须知前附表</w:t>
      </w:r>
      <w:r>
        <w:rPr>
          <w:rFonts w:hint="eastAsia" w:ascii="宋体" w:hAnsi="宋体" w:eastAsia="宋体" w:cs="宋体"/>
          <w:color w:val="auto"/>
          <w:szCs w:val="21"/>
          <w:highlight w:val="none"/>
        </w:rPr>
        <w:t>。</w:t>
      </w:r>
    </w:p>
    <w:p w14:paraId="0426BF4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在法定质疑期内，针对同一采购程序环节的质疑应一次性提出。</w:t>
      </w:r>
    </w:p>
    <w:p w14:paraId="4EA9CC27">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质疑人应知其权益受到损害之日，是指： </w:t>
      </w:r>
    </w:p>
    <w:p w14:paraId="2E98A1BD">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（1）对可以质疑的采购文件提出质疑的，为收到采购文件之日或者采购文件公告期限届满之日；</w:t>
      </w:r>
    </w:p>
    <w:p w14:paraId="4D0F5724">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（2）对采购过程提出质疑的，为各采购程序环节结束之日；</w:t>
      </w:r>
    </w:p>
    <w:p w14:paraId="129BD44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（3）对成交结果提出质疑的，为成交结果公告期限届满之日。</w:t>
      </w:r>
    </w:p>
    <w:p w14:paraId="78DA76D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质疑应当有明确的请求和必要的证明材料。供应商为自然人的，应当由本人签字；供应商为法人或者其他组织的，应当由法定代表人、主要负责人并加盖公章。</w:t>
      </w:r>
    </w:p>
    <w:p w14:paraId="471E5F0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27.5 采购人或者代理机构应当在收到供应商的质疑函后7个工作日内，对质疑内容作出答复，</w:t>
      </w:r>
      <w:r>
        <w:rPr>
          <w:rFonts w:hint="eastAsia" w:ascii="宋体" w:hAnsi="宋体" w:eastAsia="宋体" w:cs="宋体"/>
          <w:bCs/>
          <w:color w:val="auto"/>
          <w:szCs w:val="21"/>
          <w:highlight w:val="none"/>
        </w:rPr>
        <w:t>书面形式</w:t>
      </w:r>
      <w:r>
        <w:rPr>
          <w:rFonts w:hint="eastAsia" w:ascii="宋体" w:hAnsi="宋体" w:eastAsia="宋体" w:cs="宋体"/>
          <w:color w:val="auto"/>
          <w:szCs w:val="21"/>
          <w:highlight w:val="none"/>
        </w:rPr>
        <w:t>通知质疑供应商和其他有关供应商，但答复内容不得涉及商业秘密。</w:t>
      </w:r>
    </w:p>
    <w:p w14:paraId="60D7EB43">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27.6</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质疑人对采购人、采购代理机构的答复不满意或者采购人、采购代理机构未在规定的时间内作出答复的，可以在答复期满后15个工作日内向同级人民政府财政部门投诉。</w:t>
      </w:r>
    </w:p>
    <w:p w14:paraId="09F7099C">
      <w:pPr>
        <w:keepNext w:val="0"/>
        <w:keepLines w:val="0"/>
        <w:pageBreakBefore w:val="0"/>
        <w:widowControl/>
        <w:shd w:val="clear"/>
        <w:kinsoku/>
        <w:wordWrap/>
        <w:topLinePunct/>
        <w:bidi w:val="0"/>
        <w:snapToGrid w:val="0"/>
        <w:spacing w:before="0" w:beforeAutospacing="0" w:after="0" w:afterAutospacing="0" w:line="40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27.7</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投诉应当有明确的请求和必要的证明材料。投诉的事项不得超出已质疑事项的范围。</w:t>
      </w:r>
    </w:p>
    <w:p w14:paraId="3B5821C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p>
    <w:p w14:paraId="608660B6">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0" w:firstLineChars="0"/>
        <w:jc w:val="center"/>
        <w:textAlignment w:val="auto"/>
        <w:outlineLvl w:val="1"/>
        <w:rPr>
          <w:rFonts w:hint="eastAsia" w:ascii="宋体" w:hAnsi="宋体" w:eastAsia="宋体" w:cs="宋体"/>
          <w:b/>
          <w:bCs/>
          <w:color w:val="auto"/>
          <w:highlight w:val="none"/>
        </w:rPr>
      </w:pPr>
      <w:bookmarkStart w:id="24" w:name="_Toc31523"/>
      <w:bookmarkStart w:id="25" w:name="_Toc13609"/>
      <w:r>
        <w:rPr>
          <w:rFonts w:hint="eastAsia" w:ascii="宋体" w:hAnsi="宋体" w:eastAsia="宋体" w:cs="宋体"/>
          <w:b/>
          <w:bCs/>
          <w:color w:val="auto"/>
          <w:highlight w:val="none"/>
        </w:rPr>
        <w:t>八、其他</w:t>
      </w:r>
      <w:bookmarkEnd w:id="24"/>
      <w:bookmarkEnd w:id="25"/>
    </w:p>
    <w:p w14:paraId="27761A46">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28.</w:t>
      </w:r>
      <w:r>
        <w:rPr>
          <w:rFonts w:hint="eastAsia" w:ascii="宋体" w:hAnsi="宋体" w:eastAsia="宋体" w:cs="宋体"/>
          <w:b/>
          <w:color w:val="auto"/>
          <w:szCs w:val="21"/>
          <w:highlight w:val="none"/>
        </w:rPr>
        <w:t>保密</w:t>
      </w:r>
    </w:p>
    <w:p w14:paraId="4EE27241">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采购人、采购代理机构应当按照本办法的规定组织开展磋商，并采取必要措施，保证磋商在严格保密的情况下进行。任何单位和个人不得非法干预、影响磋商过程和结果。</w:t>
      </w:r>
    </w:p>
    <w:p w14:paraId="0BF26D6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 磋商小组成员和参与评审工作的有关人员对评审情况以及在评审过程中获悉的国家秘密、商业秘密负有保密责任。</w:t>
      </w:r>
    </w:p>
    <w:p w14:paraId="00A1B58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29.知识产权与规避专利、版权纠纷</w:t>
      </w:r>
    </w:p>
    <w:p w14:paraId="5C2C6472">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 知识产权</w:t>
      </w:r>
    </w:p>
    <w:p w14:paraId="4C2C018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29.1.1 项目系统的版权属于采购人所有，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14:paraId="0988B14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 规避专利、版权纠纷</w:t>
      </w:r>
    </w:p>
    <w:p w14:paraId="48225D9A">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29.2.1 供应商应保证其响应方案中的有关软件、文件、图纸等没有违反有关专利和版权等知识产权的规定。</w:t>
      </w:r>
    </w:p>
    <w:p w14:paraId="2B1A498C">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29.2.2 应保证采购人在中华人民共和国使用本项目成果任何一部分</w:t>
      </w:r>
      <w:r>
        <w:rPr>
          <w:rFonts w:hint="eastAsia" w:ascii="宋体" w:hAnsi="宋体" w:eastAsia="宋体" w:cs="宋体"/>
          <w:color w:val="auto"/>
          <w:szCs w:val="21"/>
          <w:highlight w:val="none"/>
          <w:lang w:eastAsia="zh-CN"/>
        </w:rPr>
        <w:t>或</w:t>
      </w:r>
      <w:r>
        <w:rPr>
          <w:rFonts w:hint="eastAsia" w:ascii="宋体" w:hAnsi="宋体" w:eastAsia="宋体" w:cs="宋体"/>
          <w:color w:val="auto"/>
          <w:szCs w:val="21"/>
          <w:highlight w:val="none"/>
        </w:rPr>
        <w:t>接受乙方服务时，免受第三方提出的侵犯其专利权、商标权或工业设计权等知识产权的索赔或起诉。</w:t>
      </w:r>
    </w:p>
    <w:p w14:paraId="2FA4F589">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29.2.3 如果采购人在使用本项目任何一部分时被任何第三方诉称侵犯了第三方知识产权或任何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权利，应负责处理这一指控并应</w:t>
      </w:r>
      <w:r>
        <w:rPr>
          <w:rFonts w:hint="eastAsia" w:ascii="宋体" w:hAnsi="宋体" w:eastAsia="宋体" w:cs="宋体"/>
          <w:color w:val="auto"/>
          <w:szCs w:val="21"/>
          <w:highlight w:val="none"/>
          <w:lang w:eastAsia="zh-CN"/>
        </w:rPr>
        <w:t>以其</w:t>
      </w:r>
      <w:r>
        <w:rPr>
          <w:rFonts w:hint="eastAsia" w:ascii="宋体" w:hAnsi="宋体" w:eastAsia="宋体" w:cs="宋体"/>
          <w:color w:val="auto"/>
          <w:szCs w:val="21"/>
          <w:highlight w:val="none"/>
        </w:rPr>
        <w:t>名义自负费用向起诉方提出抗辩。由此可能产生的一切法律责任和经济责任均由承担。</w:t>
      </w:r>
    </w:p>
    <w:p w14:paraId="7EE17060">
      <w:pPr>
        <w:keepNext w:val="0"/>
        <w:keepLines w:val="0"/>
        <w:pageBreakBefore w:val="0"/>
        <w:widowControl/>
        <w:shd w:val="clear"/>
        <w:kinsoku/>
        <w:wordWrap/>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29.2.4 如果采购人发现任何第三方在采购人未被许可的范围内非法使用采购人获得的知识产权，采购人应通知。应在收到采购人通知后14天内采取行动制止非法使用行为，</w:t>
      </w:r>
      <w:r>
        <w:rPr>
          <w:rFonts w:hint="eastAsia" w:ascii="宋体" w:hAnsi="宋体" w:eastAsia="宋体" w:cs="宋体"/>
          <w:color w:val="auto"/>
          <w:szCs w:val="21"/>
          <w:highlight w:val="none"/>
          <w:lang w:eastAsia="zh-CN"/>
        </w:rPr>
        <w:t>否则</w:t>
      </w:r>
      <w:r>
        <w:rPr>
          <w:rFonts w:hint="eastAsia" w:ascii="宋体" w:hAnsi="宋体" w:eastAsia="宋体" w:cs="宋体"/>
          <w:color w:val="auto"/>
          <w:szCs w:val="21"/>
          <w:highlight w:val="none"/>
        </w:rPr>
        <w:t>承担相应的责任。</w:t>
      </w:r>
    </w:p>
    <w:p w14:paraId="4257B6CF">
      <w:pPr>
        <w:keepNext w:val="0"/>
        <w:keepLines w:val="0"/>
        <w:pageBreakBefore w:val="0"/>
        <w:widowControl/>
        <w:shd w:val="clear"/>
        <w:kinsoku/>
        <w:wordWrap/>
        <w:topLinePunct/>
        <w:bidi w:val="0"/>
        <w:snapToGrid w:val="0"/>
        <w:spacing w:before="0" w:beforeAutospacing="0" w:after="0" w:afterAutospacing="0" w:line="400" w:lineRule="exact"/>
        <w:textAlignment w:val="auto"/>
        <w:rPr>
          <w:rFonts w:hint="eastAsia" w:ascii="宋体" w:hAnsi="宋体" w:eastAsia="宋体" w:cs="宋体"/>
          <w:color w:val="auto"/>
          <w:szCs w:val="21"/>
          <w:highlight w:val="none"/>
        </w:rPr>
        <w:sectPr>
          <w:pgSz w:w="11906" w:h="16838"/>
          <w:pgMar w:top="1440" w:right="1752" w:bottom="1440" w:left="1752" w:header="851" w:footer="992" w:gutter="0"/>
          <w:pgNumType w:fmt="decimal"/>
          <w:cols w:space="720" w:num="1"/>
          <w:titlePg/>
          <w:docGrid w:type="lines" w:linePitch="312" w:charSpace="0"/>
        </w:sectPr>
      </w:pPr>
    </w:p>
    <w:p w14:paraId="0EAACFC4">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26" w:name="_Toc26612"/>
      <w:bookmarkStart w:id="27" w:name="_Toc12409"/>
      <w:r>
        <w:rPr>
          <w:rFonts w:hint="eastAsia" w:ascii="宋体" w:hAnsi="宋体" w:eastAsia="宋体" w:cs="宋体"/>
          <w:b/>
          <w:bCs/>
          <w:color w:val="auto"/>
          <w:sz w:val="28"/>
          <w:szCs w:val="28"/>
          <w:highlight w:val="none"/>
        </w:rPr>
        <w:t>第三章  评审方法及标准</w:t>
      </w:r>
      <w:bookmarkEnd w:id="26"/>
      <w:bookmarkEnd w:id="27"/>
    </w:p>
    <w:p w14:paraId="42B84BC9">
      <w:pPr>
        <w:pageBreakBefore w:val="0"/>
        <w:widowControl/>
        <w:shd w:val="clear"/>
        <w:wordWrap/>
        <w:topLinePunct/>
        <w:bidi w:val="0"/>
        <w:snapToGrid w:val="0"/>
        <w:spacing w:before="0" w:beforeAutospacing="0" w:after="0" w:afterAutospacing="0" w:line="400" w:lineRule="exact"/>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1.磋商小组</w:t>
      </w:r>
      <w:r>
        <w:rPr>
          <w:rFonts w:hint="eastAsia" w:ascii="宋体" w:hAnsi="宋体" w:eastAsia="宋体" w:cs="宋体"/>
          <w:b/>
          <w:bCs/>
          <w:color w:val="auto"/>
          <w:kern w:val="0"/>
          <w:sz w:val="21"/>
          <w:szCs w:val="21"/>
          <w:highlight w:val="none"/>
        </w:rPr>
        <w:t>构成</w:t>
      </w:r>
    </w:p>
    <w:p w14:paraId="251CF199">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本项目</w:t>
      </w:r>
      <w:r>
        <w:rPr>
          <w:rFonts w:hint="eastAsia" w:ascii="宋体" w:hAnsi="宋体" w:eastAsia="宋体" w:cs="宋体"/>
          <w:color w:val="auto"/>
          <w:kern w:val="0"/>
          <w:sz w:val="21"/>
          <w:szCs w:val="21"/>
          <w:highlight w:val="none"/>
          <w:lang w:val="en-US" w:eastAsia="zh-CN"/>
        </w:rPr>
        <w:t>磋商小组</w:t>
      </w:r>
      <w:r>
        <w:rPr>
          <w:rFonts w:hint="eastAsia" w:ascii="宋体" w:hAnsi="宋体" w:eastAsia="宋体" w:cs="宋体"/>
          <w:color w:val="auto"/>
          <w:kern w:val="0"/>
          <w:sz w:val="21"/>
          <w:szCs w:val="21"/>
          <w:highlight w:val="none"/>
        </w:rPr>
        <w:t>由采购人代表和评审专家组成，成员人数为</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人单数，其中评审专家不得少于成员总数的三分之二</w:t>
      </w:r>
      <w:r>
        <w:rPr>
          <w:rFonts w:hint="eastAsia" w:ascii="宋体" w:hAnsi="宋体" w:eastAsia="宋体" w:cs="宋体"/>
          <w:color w:val="auto"/>
          <w:kern w:val="0"/>
          <w:sz w:val="21"/>
          <w:szCs w:val="21"/>
          <w:highlight w:val="none"/>
          <w:lang w:eastAsia="zh-CN"/>
        </w:rPr>
        <w:t>。</w:t>
      </w:r>
    </w:p>
    <w:p w14:paraId="47A85D09">
      <w:pPr>
        <w:pageBreakBefore w:val="0"/>
        <w:widowControl/>
        <w:shd w:val="clear"/>
        <w:wordWrap/>
        <w:topLinePunct/>
        <w:autoSpaceDE/>
        <w:autoSpaceDN/>
        <w:bidi w:val="0"/>
        <w:adjustRightInd w:val="0"/>
        <w:snapToGrid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.评审方法</w:t>
      </w:r>
    </w:p>
    <w:p w14:paraId="211504F3">
      <w:pPr>
        <w:pageBreakBefore w:val="0"/>
        <w:widowControl/>
        <w:shd w:val="clear"/>
        <w:wordWrap/>
        <w:topLinePunct/>
        <w:autoSpaceDE/>
        <w:autoSpaceDN/>
        <w:bidi w:val="0"/>
        <w:adjustRightInd w:val="0"/>
        <w:snapToGrid w:val="0"/>
        <w:spacing w:before="0" w:beforeAutospacing="0" w:after="0" w:afterAutospacing="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 本项目评审方法：</w:t>
      </w:r>
      <w:r>
        <w:rPr>
          <w:rFonts w:hint="eastAsia" w:ascii="宋体" w:hAnsi="宋体" w:eastAsia="宋体" w:cs="宋体"/>
          <w:b/>
          <w:color w:val="auto"/>
          <w:sz w:val="21"/>
          <w:szCs w:val="21"/>
          <w:highlight w:val="none"/>
          <w:u w:val="single"/>
        </w:rPr>
        <w:t>采用综合评分法</w:t>
      </w:r>
    </w:p>
    <w:p w14:paraId="08DED8D4">
      <w:pPr>
        <w:pageBreakBefore w:val="0"/>
        <w:widowControl/>
        <w:shd w:val="clear"/>
        <w:wordWrap/>
        <w:topLinePunct/>
        <w:autoSpaceDE/>
        <w:autoSpaceDN/>
        <w:bidi w:val="0"/>
        <w:adjustRightInd w:val="0"/>
        <w:snapToGrid w:val="0"/>
        <w:spacing w:before="0" w:beforeAutospacing="0" w:after="0" w:afterAutospacing="0" w:line="400" w:lineRule="exact"/>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.评分标准</w:t>
      </w:r>
    </w:p>
    <w:p w14:paraId="6422797F">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.1 本项目</w:t>
      </w:r>
      <w:r>
        <w:rPr>
          <w:rFonts w:hint="eastAsia" w:ascii="宋体" w:hAnsi="宋体" w:eastAsia="宋体" w:cs="宋体"/>
          <w:b/>
          <w:color w:val="auto"/>
          <w:kern w:val="0"/>
          <w:sz w:val="21"/>
          <w:szCs w:val="21"/>
          <w:highlight w:val="none"/>
          <w:u w:val="single"/>
        </w:rPr>
        <w:t>采用</w:t>
      </w:r>
      <w:r>
        <w:rPr>
          <w:rFonts w:hint="eastAsia" w:ascii="宋体" w:hAnsi="宋体" w:eastAsia="宋体" w:cs="宋体"/>
          <w:b/>
          <w:color w:val="auto"/>
          <w:kern w:val="0"/>
          <w:sz w:val="21"/>
          <w:szCs w:val="21"/>
          <w:highlight w:val="none"/>
          <w:u w:val="single"/>
          <w:lang w:val="en-US" w:eastAsia="zh-CN"/>
        </w:rPr>
        <w:t>百分制</w:t>
      </w:r>
      <w:r>
        <w:rPr>
          <w:rFonts w:hint="eastAsia" w:ascii="宋体" w:hAnsi="宋体" w:eastAsia="宋体" w:cs="宋体"/>
          <w:b/>
          <w:color w:val="auto"/>
          <w:kern w:val="0"/>
          <w:sz w:val="21"/>
          <w:szCs w:val="21"/>
          <w:highlight w:val="none"/>
          <w:u w:val="single"/>
        </w:rPr>
        <w:t>综合评分法</w:t>
      </w:r>
      <w:r>
        <w:rPr>
          <w:rFonts w:hint="eastAsia" w:ascii="宋体" w:hAnsi="宋体" w:eastAsia="宋体" w:cs="宋体"/>
          <w:color w:val="auto"/>
          <w:kern w:val="0"/>
          <w:sz w:val="21"/>
          <w:szCs w:val="21"/>
          <w:highlight w:val="none"/>
        </w:rPr>
        <w:t>进行评分，综合评分法是指响应文件满足采购文件全部实质性要求，且按照评审因素的量化指标评审得分最高的供应商为成交候选供应商的评审方法。评审因素主要内容如下表。</w:t>
      </w:r>
    </w:p>
    <w:p w14:paraId="5ED4115F">
      <w:pPr>
        <w:pStyle w:val="20"/>
        <w:widowControl/>
        <w:shd w:val="clear"/>
        <w:topLinePunct/>
        <w:snapToGrid w:val="0"/>
        <w:spacing w:line="40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z w:val="21"/>
          <w:szCs w:val="21"/>
          <w:highlight w:val="none"/>
        </w:rPr>
        <w:t>本项目价格分值为</w:t>
      </w:r>
      <w:r>
        <w:rPr>
          <w:rFonts w:hint="eastAsia" w:hAnsi="宋体" w:cs="宋体"/>
          <w:color w:val="auto"/>
          <w:highlight w:val="none"/>
          <w:u w:val="single"/>
          <w:lang w:val="en-US" w:eastAsia="zh-CN"/>
        </w:rPr>
        <w:t>30</w:t>
      </w:r>
      <w:r>
        <w:rPr>
          <w:rFonts w:hint="eastAsia" w:ascii="宋体" w:hAnsi="宋体" w:eastAsia="宋体" w:cs="宋体"/>
          <w:color w:val="auto"/>
          <w:sz w:val="21"/>
          <w:szCs w:val="21"/>
          <w:highlight w:val="none"/>
        </w:rPr>
        <w:t>分，其余评审因素分值为</w:t>
      </w:r>
      <w:r>
        <w:rPr>
          <w:rFonts w:hint="eastAsia" w:hAnsi="宋体" w:cs="宋体"/>
          <w:color w:val="auto"/>
          <w:highlight w:val="none"/>
          <w:u w:val="single"/>
          <w:lang w:val="en-US" w:eastAsia="zh-CN"/>
        </w:rPr>
        <w:t>70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highlight w:val="none"/>
        </w:rPr>
        <w:t>按四舍五入取至百分位</w:t>
      </w:r>
      <w:r>
        <w:rPr>
          <w:rFonts w:hint="eastAsia" w:ascii="宋体" w:hAnsi="宋体" w:eastAsia="宋体" w:cs="宋体"/>
          <w:color w:val="auto"/>
          <w:highlight w:val="none"/>
          <w:lang w:eastAsia="zh-CN"/>
        </w:rPr>
        <w:t>。</w:t>
      </w:r>
    </w:p>
    <w:p w14:paraId="273B607C">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strike w:val="0"/>
          <w:dstrike w:val="0"/>
          <w:color w:val="auto"/>
          <w:highlight w:val="none"/>
          <w:u w:val="none"/>
        </w:rPr>
      </w:pPr>
      <w:r>
        <w:rPr>
          <w:rFonts w:hint="eastAsia" w:ascii="宋体" w:hAnsi="宋体" w:eastAsia="宋体" w:cs="宋体"/>
          <w:strike w:val="0"/>
          <w:dstrike w:val="0"/>
          <w:color w:val="auto"/>
          <w:highlight w:val="none"/>
          <w:u w:val="none"/>
        </w:rPr>
        <w:t>本办法所称的“以上”“以下”“内”“以内”，包括本数；所称的“不足”，不包括本数。</w:t>
      </w:r>
    </w:p>
    <w:p w14:paraId="378033E9">
      <w:pPr>
        <w:pageBreakBefore w:val="0"/>
        <w:widowControl/>
        <w:shd w:val="clear"/>
        <w:wordWrap/>
        <w:topLinePunct/>
        <w:bidi w:val="0"/>
        <w:snapToGrid w:val="0"/>
        <w:spacing w:before="0" w:beforeAutospacing="0" w:after="0" w:afterAutospacing="0" w:line="400" w:lineRule="exact"/>
        <w:ind w:firstLine="420" w:firstLineChars="200"/>
        <w:rPr>
          <w:rFonts w:hint="eastAsia" w:ascii="宋体" w:hAnsi="宋体" w:eastAsia="宋体" w:cs="宋体"/>
          <w:strike w:val="0"/>
          <w:dstrike w:val="0"/>
          <w:color w:val="auto"/>
          <w:sz w:val="21"/>
          <w:szCs w:val="21"/>
          <w:highlight w:val="none"/>
          <w:u w:val="none"/>
        </w:rPr>
      </w:pPr>
      <w:r>
        <w:rPr>
          <w:rFonts w:hint="eastAsia" w:ascii="宋体" w:hAnsi="宋体" w:eastAsia="宋体" w:cs="宋体"/>
          <w:strike w:val="0"/>
          <w:dstrike w:val="0"/>
          <w:color w:val="auto"/>
          <w:sz w:val="21"/>
          <w:szCs w:val="21"/>
          <w:highlight w:val="none"/>
          <w:u w:val="none"/>
        </w:rPr>
        <w:t>评审标准如下表：</w:t>
      </w:r>
    </w:p>
    <w:tbl>
      <w:tblPr>
        <w:tblStyle w:val="35"/>
        <w:tblW w:w="9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52"/>
        <w:gridCol w:w="1176"/>
        <w:gridCol w:w="5835"/>
        <w:gridCol w:w="664"/>
      </w:tblGrid>
      <w:tr w14:paraId="760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blHeader/>
          <w:jc w:val="center"/>
        </w:trPr>
        <w:tc>
          <w:tcPr>
            <w:tcW w:w="536" w:type="dxa"/>
            <w:shd w:val="clear" w:color="auto" w:fill="F1F1F1" w:themeFill="background1" w:themeFillShade="F2"/>
            <w:noWrap w:val="0"/>
            <w:vAlign w:val="center"/>
          </w:tcPr>
          <w:p w14:paraId="0A207F8A">
            <w:pPr>
              <w:keepNext w:val="0"/>
              <w:keepLines w:val="0"/>
              <w:pageBreakBefore w:val="0"/>
              <w:widowControl/>
              <w:suppressLineNumbers w:val="0"/>
              <w:shd w:val="clear"/>
              <w:wordWrap w:val="0"/>
              <w:topLinePunct/>
              <w:bidi w:val="0"/>
              <w:snapToGrid w:val="0"/>
              <w:spacing w:before="60" w:beforeAutospacing="0" w:after="60" w:afterAutospacing="0" w:line="240" w:lineRule="auto"/>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52" w:type="dxa"/>
            <w:shd w:val="clear" w:color="auto" w:fill="F1F1F1" w:themeFill="background1" w:themeFillShade="F2"/>
            <w:noWrap w:val="0"/>
            <w:vAlign w:val="center"/>
          </w:tcPr>
          <w:p w14:paraId="3262F744">
            <w:pPr>
              <w:keepNext w:val="0"/>
              <w:keepLines w:val="0"/>
              <w:pageBreakBefore w:val="0"/>
              <w:widowControl/>
              <w:suppressLineNumbers w:val="0"/>
              <w:shd w:val="clear"/>
              <w:wordWrap w:val="0"/>
              <w:topLinePunct/>
              <w:bidi w:val="0"/>
              <w:snapToGrid w:val="0"/>
              <w:spacing w:before="60" w:beforeAutospacing="0" w:after="60" w:afterAutospacing="0" w:line="240" w:lineRule="auto"/>
              <w:ind w:left="-105" w:leftChars="-50" w:right="-105" w:right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评分项目</w:t>
            </w:r>
          </w:p>
        </w:tc>
        <w:tc>
          <w:tcPr>
            <w:tcW w:w="7011" w:type="dxa"/>
            <w:gridSpan w:val="2"/>
            <w:shd w:val="clear" w:color="auto" w:fill="F1F1F1" w:themeFill="background1" w:themeFillShade="F2"/>
            <w:noWrap w:val="0"/>
            <w:vAlign w:val="center"/>
          </w:tcPr>
          <w:p w14:paraId="0431F2EC">
            <w:pPr>
              <w:keepNext w:val="0"/>
              <w:keepLines w:val="0"/>
              <w:pageBreakBefore w:val="0"/>
              <w:widowControl/>
              <w:suppressLineNumbers w:val="0"/>
              <w:shd w:val="clear"/>
              <w:wordWrap w:val="0"/>
              <w:topLinePunct/>
              <w:bidi w:val="0"/>
              <w:snapToGrid w:val="0"/>
              <w:spacing w:before="60" w:beforeAutospacing="0" w:after="6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bCs/>
                <w:snapToGrid w:val="0"/>
                <w:color w:val="auto"/>
                <w:kern w:val="0"/>
                <w:sz w:val="21"/>
                <w:szCs w:val="21"/>
                <w:highlight w:val="none"/>
              </w:rPr>
              <w:t>评分细则</w:t>
            </w:r>
          </w:p>
        </w:tc>
        <w:tc>
          <w:tcPr>
            <w:tcW w:w="664" w:type="dxa"/>
            <w:shd w:val="clear" w:color="auto" w:fill="F1F1F1" w:themeFill="background1" w:themeFillShade="F2"/>
            <w:noWrap w:val="0"/>
            <w:vAlign w:val="center"/>
          </w:tcPr>
          <w:p w14:paraId="7B37D9DA">
            <w:pPr>
              <w:keepNext w:val="0"/>
              <w:keepLines w:val="0"/>
              <w:pageBreakBefore w:val="0"/>
              <w:widowControl/>
              <w:suppressLineNumbers w:val="0"/>
              <w:shd w:val="clear"/>
              <w:wordWrap w:val="0"/>
              <w:topLinePunct/>
              <w:bidi w:val="0"/>
              <w:snapToGrid w:val="0"/>
              <w:spacing w:before="60" w:beforeAutospacing="0" w:after="60" w:afterAutospacing="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r>
      <w:tr w14:paraId="370F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536" w:type="dxa"/>
            <w:noWrap w:val="0"/>
            <w:vAlign w:val="center"/>
          </w:tcPr>
          <w:p w14:paraId="443F3694">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152" w:type="dxa"/>
            <w:noWrap w:val="0"/>
            <w:vAlign w:val="center"/>
          </w:tcPr>
          <w:p w14:paraId="685C84CD">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价格分（满分</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rPr>
              <w:t>分）</w:t>
            </w:r>
          </w:p>
        </w:tc>
        <w:tc>
          <w:tcPr>
            <w:tcW w:w="7011" w:type="dxa"/>
            <w:gridSpan w:val="2"/>
            <w:noWrap w:val="0"/>
            <w:vAlign w:val="center"/>
          </w:tcPr>
          <w:p w14:paraId="6B5D6BC6">
            <w:pPr>
              <w:pStyle w:val="65"/>
              <w:keepNext w:val="0"/>
              <w:keepLines w:val="0"/>
              <w:pageBreakBefore w:val="0"/>
              <w:widowControl/>
              <w:numPr>
                <w:ilvl w:val="0"/>
                <w:numId w:val="0"/>
              </w:numPr>
              <w:suppressLineNumbers w:val="0"/>
              <w:kinsoku/>
              <w:wordWrap w:val="0"/>
              <w:topLinePunct/>
              <w:bidi w:val="0"/>
              <w:snapToGrid w:val="0"/>
              <w:spacing w:before="60" w:beforeAutospacing="0" w:after="60" w:afterAutospacing="0" w:line="312" w:lineRule="auto"/>
              <w:ind w:left="0" w:leftChars="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价为</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报价进行政策性扣除后的价格，评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价只是作为</w:t>
            </w:r>
            <w:r>
              <w:rPr>
                <w:rFonts w:hint="eastAsia" w:ascii="宋体" w:hAnsi="宋体" w:eastAsia="宋体" w:cs="宋体"/>
                <w:color w:val="auto"/>
                <w:sz w:val="21"/>
                <w:szCs w:val="21"/>
                <w:highlight w:val="none"/>
                <w:lang w:val="en-US" w:eastAsia="zh-CN"/>
              </w:rPr>
              <w:t>评审</w:t>
            </w:r>
            <w:r>
              <w:rPr>
                <w:rFonts w:hint="eastAsia" w:ascii="宋体" w:hAnsi="宋体" w:eastAsia="宋体" w:cs="宋体"/>
                <w:color w:val="auto"/>
                <w:sz w:val="21"/>
                <w:szCs w:val="21"/>
                <w:highlight w:val="none"/>
              </w:rPr>
              <w:t>时使用。最终</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金额＝</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w:t>
            </w:r>
          </w:p>
          <w:p w14:paraId="7FE21464">
            <w:pPr>
              <w:pStyle w:val="65"/>
              <w:keepNext w:val="0"/>
              <w:keepLines w:val="0"/>
              <w:pageBreakBefore w:val="0"/>
              <w:widowControl/>
              <w:numPr>
                <w:ilvl w:val="0"/>
                <w:numId w:val="0"/>
              </w:numPr>
              <w:suppressLineNumbers w:val="0"/>
              <w:kinsoku/>
              <w:wordWrap w:val="0"/>
              <w:topLinePunct/>
              <w:bidi w:val="0"/>
              <w:snapToGrid w:val="0"/>
              <w:spacing w:before="60" w:beforeAutospacing="0" w:after="60" w:afterAutospacing="0" w:line="312" w:lineRule="auto"/>
              <w:ind w:left="0" w:leftChars="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（2）</w:t>
            </w:r>
            <w:r>
              <w:rPr>
                <w:rFonts w:hint="eastAsia" w:ascii="宋体" w:hAnsi="宋体" w:eastAsia="宋体" w:cs="宋体"/>
                <w:color w:val="auto"/>
                <w:sz w:val="21"/>
                <w:szCs w:val="21"/>
                <w:highlight w:val="none"/>
              </w:rPr>
              <w:t>政策性扣除计算方法：本项目为专门面对中小企业项目，按照《政府采购促进中小企业发展管理办法》（财库〔2020〕46号）规定，小微企业、监狱企业、残疾人福利性单位不再执行价格评审优惠的扶持政策。在本项目采购活动中，供应商提供的服务应符合下列情形：在服务采购项目中，服务由中小企业承接，即提供服务的人员为中小企业依照《中华人民共和国劳动合同法》订立劳动合同的从业人员。中型、小型或微型企业划分标准按照《关于印发中小企业划型标准规定的通知》（工信中联企业〔2011〕300号）文件执行。</w:t>
            </w:r>
          </w:p>
          <w:p w14:paraId="074D142F">
            <w:pPr>
              <w:pStyle w:val="65"/>
              <w:keepNext w:val="0"/>
              <w:keepLines w:val="0"/>
              <w:pageBreakBefore w:val="0"/>
              <w:widowControl/>
              <w:numPr>
                <w:ilvl w:val="0"/>
                <w:numId w:val="0"/>
              </w:numPr>
              <w:suppressLineNumbers w:val="0"/>
              <w:kinsoku/>
              <w:wordWrap w:val="0"/>
              <w:topLinePunct/>
              <w:bidi w:val="0"/>
              <w:snapToGrid w:val="0"/>
              <w:spacing w:before="60" w:beforeAutospacing="0" w:after="60" w:afterAutospacing="0" w:line="312" w:lineRule="auto"/>
              <w:ind w:left="0" w:leftChars="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（3）以进入评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的最低的评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价为评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基准价，即指满足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文件要求且价格最低的</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w:t>
            </w:r>
          </w:p>
          <w:p w14:paraId="05E4FBD9">
            <w:pPr>
              <w:pStyle w:val="65"/>
              <w:keepNext w:val="0"/>
              <w:keepLines w:val="0"/>
              <w:pageBreakBefore w:val="0"/>
              <w:widowControl/>
              <w:numPr>
                <w:ilvl w:val="0"/>
                <w:numId w:val="0"/>
              </w:numPr>
              <w:suppressLineNumbers w:val="0"/>
              <w:kinsoku/>
              <w:wordWrap w:val="0"/>
              <w:topLinePunct/>
              <w:bidi w:val="0"/>
              <w:snapToGrid w:val="0"/>
              <w:spacing w:before="60" w:beforeAutospacing="0" w:after="60" w:afterAutospacing="0" w:line="312" w:lineRule="auto"/>
              <w:ind w:left="0" w:leftChars="0" w:right="0"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（4）某</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价格分=(评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基准价/某</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val="en-US" w:eastAsia="zh-CN"/>
              </w:rPr>
              <w:t>审</w:t>
            </w:r>
            <w:r>
              <w:rPr>
                <w:rFonts w:hint="eastAsia" w:ascii="宋体" w:hAnsi="宋体" w:eastAsia="宋体" w:cs="宋体"/>
                <w:color w:val="auto"/>
                <w:sz w:val="21"/>
                <w:szCs w:val="21"/>
                <w:highlight w:val="none"/>
              </w:rPr>
              <w:t>价金额)×</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c>
          <w:tcPr>
            <w:tcW w:w="664" w:type="dxa"/>
            <w:noWrap w:val="0"/>
            <w:vAlign w:val="center"/>
          </w:tcPr>
          <w:p w14:paraId="69444E25">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tc>
      </w:tr>
      <w:tr w14:paraId="0576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36" w:type="dxa"/>
            <w:vMerge w:val="restart"/>
            <w:noWrap w:val="0"/>
            <w:vAlign w:val="center"/>
          </w:tcPr>
          <w:p w14:paraId="5E910C37">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152" w:type="dxa"/>
            <w:vMerge w:val="restart"/>
            <w:noWrap w:val="0"/>
            <w:vAlign w:val="center"/>
          </w:tcPr>
          <w:p w14:paraId="72E04E0A">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w:t>
            </w:r>
            <w:r>
              <w:rPr>
                <w:rFonts w:hint="eastAsia" w:ascii="宋体" w:hAnsi="宋体" w:cs="宋体"/>
                <w:color w:val="auto"/>
                <w:sz w:val="21"/>
                <w:szCs w:val="21"/>
                <w:highlight w:val="none"/>
                <w:lang w:val="en-US" w:eastAsia="zh-CN"/>
              </w:rPr>
              <w:t>因素</w:t>
            </w:r>
            <w:r>
              <w:rPr>
                <w:rFonts w:hint="eastAsia" w:ascii="宋体" w:hAnsi="宋体" w:eastAsia="宋体" w:cs="宋体"/>
                <w:color w:val="auto"/>
                <w:sz w:val="21"/>
                <w:szCs w:val="21"/>
                <w:highlight w:val="none"/>
              </w:rPr>
              <w:t>（满分</w:t>
            </w:r>
            <w:r>
              <w:rPr>
                <w:rFonts w:hint="eastAsia" w:ascii="宋体" w:hAnsi="宋体" w:cs="宋体"/>
                <w:color w:val="auto"/>
                <w:sz w:val="21"/>
                <w:szCs w:val="21"/>
                <w:highlight w:val="none"/>
                <w:lang w:val="en-US" w:eastAsia="zh-CN"/>
              </w:rPr>
              <w:t>45分</w:t>
            </w:r>
            <w:r>
              <w:rPr>
                <w:rFonts w:hint="eastAsia" w:ascii="宋体" w:hAnsi="宋体" w:eastAsia="宋体" w:cs="宋体"/>
                <w:color w:val="auto"/>
                <w:sz w:val="21"/>
                <w:szCs w:val="21"/>
                <w:highlight w:val="none"/>
              </w:rPr>
              <w:t>）</w:t>
            </w:r>
          </w:p>
        </w:tc>
        <w:tc>
          <w:tcPr>
            <w:tcW w:w="1176" w:type="dxa"/>
            <w:noWrap w:val="0"/>
            <w:vAlign w:val="center"/>
          </w:tcPr>
          <w:p w14:paraId="75ED2C11">
            <w:pPr>
              <w:keepNext w:val="0"/>
              <w:keepLines w:val="0"/>
              <w:pageBreakBefore w:val="0"/>
              <w:widowControl/>
              <w:suppressLineNumbers w:val="0"/>
              <w:wordWrap w:val="0"/>
              <w:topLinePunct/>
              <w:bidi w:val="0"/>
              <w:snapToGrid w:val="0"/>
              <w:spacing w:before="60" w:beforeAutospacing="0" w:after="60" w:afterAutospacing="0" w:line="312" w:lineRule="auto"/>
              <w:ind w:left="0" w:right="0"/>
              <w:jc w:val="center"/>
              <w:outlineLvl w:val="9"/>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rPr>
              <w:t>综合</w:t>
            </w:r>
            <w:r>
              <w:rPr>
                <w:rFonts w:hint="eastAsia" w:ascii="宋体" w:hAnsi="宋体" w:eastAsia="宋体" w:cs="宋体"/>
                <w:b/>
                <w:bCs/>
                <w:color w:val="auto"/>
                <w:kern w:val="2"/>
                <w:sz w:val="21"/>
                <w:szCs w:val="21"/>
                <w:highlight w:val="none"/>
                <w:lang w:eastAsia="zh-CN"/>
              </w:rPr>
              <w:t>服务</w:t>
            </w:r>
            <w:r>
              <w:rPr>
                <w:rFonts w:hint="eastAsia" w:ascii="宋体" w:hAnsi="宋体" w:eastAsia="宋体" w:cs="宋体"/>
                <w:b/>
                <w:bCs/>
                <w:color w:val="auto"/>
                <w:kern w:val="2"/>
                <w:sz w:val="21"/>
                <w:szCs w:val="21"/>
                <w:highlight w:val="none"/>
                <w:lang w:val="en-US" w:eastAsia="zh-CN"/>
              </w:rPr>
              <w:t>及会议服务</w:t>
            </w:r>
            <w:r>
              <w:rPr>
                <w:rFonts w:hint="eastAsia" w:ascii="宋体" w:hAnsi="宋体" w:eastAsia="宋体" w:cs="宋体"/>
                <w:b/>
                <w:bCs/>
                <w:color w:val="auto"/>
                <w:kern w:val="2"/>
                <w:sz w:val="21"/>
                <w:szCs w:val="21"/>
                <w:highlight w:val="none"/>
                <w:lang w:eastAsia="zh-CN"/>
              </w:rPr>
              <w:t>方案</w:t>
            </w:r>
          </w:p>
        </w:tc>
        <w:tc>
          <w:tcPr>
            <w:tcW w:w="5835" w:type="dxa"/>
            <w:noWrap w:val="0"/>
            <w:vAlign w:val="center"/>
          </w:tcPr>
          <w:p w14:paraId="39E20F1D">
            <w:pPr>
              <w:pStyle w:val="16"/>
              <w:keepNext w:val="0"/>
              <w:keepLines w:val="0"/>
              <w:pageBreakBefore w:val="0"/>
              <w:widowControl/>
              <w:suppressLineNumbers w:val="0"/>
              <w:kinsoku/>
              <w:wordWrap w:val="0"/>
              <w:overflowPunct/>
              <w:topLinePunct/>
              <w:autoSpaceDE/>
              <w:autoSpaceDN/>
              <w:bidi w:val="0"/>
              <w:adjustRightInd/>
              <w:snapToGrid w:val="0"/>
              <w:spacing w:before="60" w:after="60" w:line="312" w:lineRule="auto"/>
              <w:ind w:left="0" w:right="0" w:firstLine="420" w:firstLineChars="200"/>
              <w:textAlignment w:val="auto"/>
              <w:outlineLvl w:val="9"/>
              <w:rPr>
                <w:rFonts w:hint="eastAsia" w:ascii="宋体" w:hAnsi="宋体" w:eastAsia="宋体" w:cs="宋体"/>
                <w:b w:val="0"/>
                <w:color w:val="auto"/>
                <w:kern w:val="0"/>
                <w:sz w:val="21"/>
                <w:szCs w:val="21"/>
                <w:highlight w:val="none"/>
                <w:lang w:val="en-US" w:eastAsia="zh-CN" w:bidi="ar-SA"/>
              </w:rPr>
            </w:pPr>
            <w:r>
              <w:rPr>
                <w:rFonts w:hint="eastAsia" w:ascii="宋体" w:hAnsi="宋体" w:eastAsia="宋体" w:cs="宋体"/>
                <w:b w:val="0"/>
                <w:color w:val="auto"/>
                <w:kern w:val="0"/>
                <w:sz w:val="21"/>
                <w:szCs w:val="21"/>
                <w:highlight w:val="none"/>
                <w:lang w:val="en-US" w:eastAsia="zh-CN" w:bidi="ar-SA"/>
              </w:rPr>
              <w:t>由</w:t>
            </w:r>
            <w:r>
              <w:rPr>
                <w:rFonts w:hint="eastAsia" w:ascii="宋体" w:hAnsi="宋体" w:cs="宋体"/>
                <w:b w:val="0"/>
                <w:color w:val="auto"/>
                <w:kern w:val="0"/>
                <w:sz w:val="21"/>
                <w:szCs w:val="21"/>
                <w:highlight w:val="none"/>
                <w:lang w:val="en-US" w:eastAsia="zh-CN" w:bidi="ar-SA"/>
              </w:rPr>
              <w:t>磋商小组</w:t>
            </w:r>
            <w:r>
              <w:rPr>
                <w:rFonts w:hint="eastAsia" w:ascii="宋体" w:hAnsi="宋体" w:eastAsia="宋体" w:cs="宋体"/>
                <w:b w:val="0"/>
                <w:color w:val="auto"/>
                <w:kern w:val="0"/>
                <w:sz w:val="21"/>
                <w:szCs w:val="21"/>
                <w:highlight w:val="none"/>
                <w:lang w:val="en-US" w:eastAsia="zh-CN" w:bidi="ar-SA"/>
              </w:rPr>
              <w:t>根据</w:t>
            </w:r>
            <w:r>
              <w:rPr>
                <w:rFonts w:hint="eastAsia" w:ascii="宋体" w:hAnsi="宋体" w:cs="宋体"/>
                <w:b w:val="0"/>
                <w:color w:val="auto"/>
                <w:kern w:val="0"/>
                <w:sz w:val="21"/>
                <w:szCs w:val="21"/>
                <w:highlight w:val="none"/>
                <w:lang w:val="en-US" w:eastAsia="zh-CN" w:bidi="ar-SA"/>
              </w:rPr>
              <w:t>供应商</w:t>
            </w:r>
            <w:r>
              <w:rPr>
                <w:rFonts w:hint="eastAsia" w:ascii="宋体" w:hAnsi="宋体" w:eastAsia="宋体" w:cs="宋体"/>
                <w:b w:val="0"/>
                <w:color w:val="auto"/>
                <w:kern w:val="0"/>
                <w:sz w:val="21"/>
                <w:szCs w:val="21"/>
                <w:highlight w:val="none"/>
                <w:lang w:val="en-US" w:eastAsia="zh-CN" w:bidi="ar-SA"/>
              </w:rPr>
              <w:t>所提供的投标文件中方案内容进行评价。以下各项不重复计分：</w:t>
            </w:r>
          </w:p>
          <w:p w14:paraId="0DE98D6A">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 ①</w:t>
            </w:r>
            <w:r>
              <w:rPr>
                <w:rFonts w:hint="eastAsia" w:ascii="宋体" w:hAnsi="宋体" w:cs="宋体"/>
                <w:color w:val="auto"/>
                <w:szCs w:val="21"/>
                <w:highlight w:val="none"/>
                <w:lang w:val="zh-CN" w:eastAsia="zh-CN"/>
              </w:rPr>
              <w:t>供应商</w:t>
            </w:r>
            <w:r>
              <w:rPr>
                <w:rFonts w:hint="eastAsia" w:ascii="宋体" w:hAnsi="宋体" w:eastAsia="宋体" w:cs="宋体"/>
                <w:color w:val="auto"/>
                <w:szCs w:val="21"/>
                <w:highlight w:val="none"/>
                <w:lang w:val="zh-CN" w:eastAsia="zh-CN"/>
              </w:rPr>
              <w:t>的综合服务及会议服务方案能完全响应项目采购需求的服务内容要求前提下，根据服务要求制订具体的综合及会议服务措施，得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eastAsia="zh-CN"/>
              </w:rPr>
              <w:t>分；</w:t>
            </w:r>
          </w:p>
          <w:p w14:paraId="2594D68D">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 ②在本项①项的基础上，能根据项目采购需求的综合服务及会议服务要求制订有针对性的、具体的服务流程、服务计划，得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zh-CN" w:eastAsia="zh-CN"/>
              </w:rPr>
              <w:t>分；</w:t>
            </w:r>
          </w:p>
          <w:p w14:paraId="010DDAA3">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 ③在本项②项的基础上，针对综合服务及会议服务要求制订有内部管理架构；综合服务及会议服务相关的管理制度齐全；岗位责任和岗位培训方案完善，得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zh-CN" w:eastAsia="zh-CN"/>
              </w:rPr>
              <w:t>分。</w:t>
            </w:r>
          </w:p>
          <w:p w14:paraId="4C6BC858">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cs="宋体"/>
                <w:color w:val="auto"/>
                <w:highlight w:val="none"/>
                <w:lang w:val="en-US" w:eastAsia="zh-CN"/>
              </w:rPr>
            </w:pPr>
            <w:r>
              <w:rPr>
                <w:rFonts w:hint="eastAsia" w:ascii="宋体" w:hAnsi="宋体" w:eastAsia="宋体" w:cs="宋体"/>
                <w:color w:val="auto"/>
                <w:szCs w:val="21"/>
                <w:highlight w:val="none"/>
                <w:lang w:val="zh-CN" w:eastAsia="zh-CN"/>
              </w:rPr>
              <w:t xml:space="preserve"> 注：未提供综合服务及会议服务方案或综合服务及会议服务方案未达到①标准要求的，得 0 分。</w:t>
            </w:r>
          </w:p>
        </w:tc>
        <w:tc>
          <w:tcPr>
            <w:tcW w:w="664" w:type="dxa"/>
            <w:noWrap w:val="0"/>
            <w:vAlign w:val="center"/>
          </w:tcPr>
          <w:p w14:paraId="2D14BB1D">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分</w:t>
            </w:r>
          </w:p>
        </w:tc>
      </w:tr>
      <w:tr w14:paraId="0742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36" w:type="dxa"/>
            <w:vMerge w:val="continue"/>
            <w:noWrap w:val="0"/>
            <w:vAlign w:val="center"/>
          </w:tcPr>
          <w:p w14:paraId="5D4E56E5">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p>
        </w:tc>
        <w:tc>
          <w:tcPr>
            <w:tcW w:w="1152" w:type="dxa"/>
            <w:vMerge w:val="continue"/>
            <w:noWrap w:val="0"/>
            <w:vAlign w:val="center"/>
          </w:tcPr>
          <w:p w14:paraId="284AA447">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p>
        </w:tc>
        <w:tc>
          <w:tcPr>
            <w:tcW w:w="1176" w:type="dxa"/>
            <w:noWrap w:val="0"/>
            <w:vAlign w:val="center"/>
          </w:tcPr>
          <w:p w14:paraId="54C38B40">
            <w:pPr>
              <w:pStyle w:val="16"/>
              <w:keepNext w:val="0"/>
              <w:keepLines w:val="0"/>
              <w:pageBreakBefore w:val="0"/>
              <w:widowControl/>
              <w:suppressLineNumbers w:val="0"/>
              <w:wordWrap w:val="0"/>
              <w:topLinePunct/>
              <w:bidi w:val="0"/>
              <w:snapToGrid w:val="0"/>
              <w:spacing w:before="60" w:after="60" w:line="312" w:lineRule="auto"/>
              <w:ind w:left="0" w:right="0"/>
              <w:jc w:val="center"/>
              <w:outlineLvl w:val="9"/>
              <w:rPr>
                <w:rFonts w:hint="eastAsia" w:ascii="宋体" w:hAnsi="宋体" w:cs="宋体"/>
                <w:color w:val="auto"/>
                <w:highlight w:val="none"/>
              </w:rPr>
            </w:pPr>
            <w:r>
              <w:rPr>
                <w:rFonts w:hint="eastAsia" w:ascii="宋体" w:hAnsi="宋体" w:eastAsia="宋体" w:cs="宋体"/>
                <w:color w:val="auto"/>
                <w:sz w:val="21"/>
                <w:szCs w:val="21"/>
                <w:highlight w:val="none"/>
                <w:lang w:eastAsia="zh-CN"/>
              </w:rPr>
              <w:t>房屋及</w:t>
            </w:r>
            <w:r>
              <w:rPr>
                <w:rFonts w:hint="eastAsia" w:ascii="宋体" w:hAnsi="宋体" w:cs="宋体"/>
                <w:color w:val="auto"/>
                <w:sz w:val="21"/>
                <w:szCs w:val="21"/>
                <w:highlight w:val="none"/>
                <w:lang w:eastAsia="zh-CN"/>
              </w:rPr>
              <w:t>公共设施设备</w:t>
            </w:r>
            <w:r>
              <w:rPr>
                <w:rFonts w:hint="eastAsia" w:ascii="宋体" w:hAnsi="宋体" w:eastAsia="宋体" w:cs="宋体"/>
                <w:color w:val="auto"/>
                <w:sz w:val="21"/>
                <w:szCs w:val="21"/>
                <w:highlight w:val="none"/>
                <w:lang w:eastAsia="zh-CN"/>
              </w:rPr>
              <w:t>维护服务方案</w:t>
            </w:r>
          </w:p>
        </w:tc>
        <w:tc>
          <w:tcPr>
            <w:tcW w:w="5835" w:type="dxa"/>
            <w:noWrap w:val="0"/>
            <w:vAlign w:val="center"/>
          </w:tcPr>
          <w:p w14:paraId="0AED52E3">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①</w:t>
            </w:r>
            <w:r>
              <w:rPr>
                <w:rFonts w:hint="eastAsia" w:ascii="宋体" w:hAnsi="宋体" w:cs="宋体"/>
                <w:color w:val="auto"/>
                <w:szCs w:val="21"/>
                <w:highlight w:val="none"/>
                <w:lang w:val="zh-CN" w:eastAsia="zh-CN"/>
              </w:rPr>
              <w:t>供应商</w:t>
            </w:r>
            <w:r>
              <w:rPr>
                <w:rFonts w:hint="eastAsia" w:ascii="宋体" w:hAnsi="宋体" w:eastAsia="宋体" w:cs="宋体"/>
                <w:color w:val="auto"/>
                <w:szCs w:val="21"/>
                <w:highlight w:val="none"/>
                <w:lang w:val="zh-CN" w:eastAsia="zh-CN"/>
              </w:rPr>
              <w:t>的房屋及</w:t>
            </w:r>
            <w:r>
              <w:rPr>
                <w:rFonts w:hint="eastAsia" w:ascii="宋体" w:hAnsi="宋体" w:cs="宋体"/>
                <w:color w:val="auto"/>
                <w:szCs w:val="21"/>
                <w:highlight w:val="none"/>
                <w:lang w:val="zh-CN" w:eastAsia="zh-CN"/>
              </w:rPr>
              <w:t>公共设施设备</w:t>
            </w:r>
            <w:r>
              <w:rPr>
                <w:rFonts w:hint="eastAsia" w:ascii="宋体" w:hAnsi="宋体" w:cs="宋体"/>
                <w:color w:val="auto"/>
                <w:szCs w:val="21"/>
                <w:highlight w:val="none"/>
                <w:lang w:val="en-US" w:eastAsia="zh-CN"/>
              </w:rPr>
              <w:t>维护服务的理解及思路正确，</w:t>
            </w:r>
            <w:r>
              <w:rPr>
                <w:rFonts w:hint="eastAsia" w:ascii="宋体" w:hAnsi="宋体" w:eastAsia="宋体" w:cs="宋体"/>
                <w:color w:val="auto"/>
                <w:szCs w:val="21"/>
                <w:highlight w:val="none"/>
                <w:lang w:val="zh-CN" w:eastAsia="zh-CN"/>
              </w:rPr>
              <w:t>维护服务方案能完全响应项目采购需求的服务内容要求前提下，根据服务要求制订具体的服务措施，得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eastAsia="zh-CN"/>
              </w:rPr>
              <w:t>分；</w:t>
            </w:r>
          </w:p>
          <w:p w14:paraId="2F21DD90">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 ②在本项①项的基础上，制订有具体的巡检、维护、维修计划、服务流程；房屋及</w:t>
            </w:r>
            <w:r>
              <w:rPr>
                <w:rFonts w:hint="eastAsia" w:ascii="宋体" w:hAnsi="宋体" w:cs="宋体"/>
                <w:color w:val="auto"/>
                <w:szCs w:val="21"/>
                <w:highlight w:val="none"/>
                <w:lang w:val="zh-CN" w:eastAsia="zh-CN"/>
              </w:rPr>
              <w:t>公共设施设备</w:t>
            </w:r>
            <w:r>
              <w:rPr>
                <w:rFonts w:hint="eastAsia" w:ascii="宋体" w:hAnsi="宋体" w:eastAsia="宋体" w:cs="宋体"/>
                <w:color w:val="auto"/>
                <w:szCs w:val="21"/>
                <w:highlight w:val="none"/>
                <w:lang w:val="zh-CN" w:eastAsia="zh-CN"/>
              </w:rPr>
              <w:t>的巡检、维护、维修记录台账（表单）齐全；设备设施维护、消防等培训计划及培训方案完善，得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zh-CN" w:eastAsia="zh-CN"/>
              </w:rPr>
              <w:t>分；</w:t>
            </w:r>
          </w:p>
          <w:p w14:paraId="7DB38CAC">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 xml:space="preserve"> ③在本项②项的基础上，针对房屋及</w:t>
            </w:r>
            <w:r>
              <w:rPr>
                <w:rFonts w:hint="eastAsia" w:ascii="宋体" w:hAnsi="宋体" w:cs="宋体"/>
                <w:color w:val="auto"/>
                <w:szCs w:val="21"/>
                <w:highlight w:val="none"/>
                <w:lang w:val="zh-CN" w:eastAsia="zh-CN"/>
              </w:rPr>
              <w:t>公共设施设备</w:t>
            </w:r>
            <w:r>
              <w:rPr>
                <w:rFonts w:hint="eastAsia" w:ascii="宋体" w:hAnsi="宋体" w:eastAsia="宋体" w:cs="宋体"/>
                <w:color w:val="auto"/>
                <w:szCs w:val="21"/>
                <w:highlight w:val="none"/>
                <w:lang w:val="zh-CN" w:eastAsia="zh-CN"/>
              </w:rPr>
              <w:t>维护服务内容提出服务的重点难点，并能提供解决措施；具有节能节水节电的管理经验，能针对采购人主要耗能对象提出有建设性、切实可行的节能节水节电方案建议，得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zh-CN" w:eastAsia="zh-CN"/>
              </w:rPr>
              <w:t>分。</w:t>
            </w:r>
          </w:p>
          <w:p w14:paraId="57163163">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bCs/>
                <w:color w:val="auto"/>
                <w:highlight w:val="none"/>
              </w:rPr>
            </w:pPr>
            <w:r>
              <w:rPr>
                <w:rFonts w:hint="eastAsia" w:ascii="宋体" w:hAnsi="宋体" w:eastAsia="宋体" w:cs="宋体"/>
                <w:color w:val="auto"/>
                <w:szCs w:val="21"/>
                <w:highlight w:val="none"/>
                <w:lang w:val="zh-CN" w:eastAsia="zh-CN"/>
              </w:rPr>
              <w:t>注：未提供房屋及</w:t>
            </w:r>
            <w:r>
              <w:rPr>
                <w:rFonts w:hint="eastAsia" w:ascii="宋体" w:hAnsi="宋体" w:cs="宋体"/>
                <w:color w:val="auto"/>
                <w:szCs w:val="21"/>
                <w:highlight w:val="none"/>
                <w:lang w:val="zh-CN" w:eastAsia="zh-CN"/>
              </w:rPr>
              <w:t>公共设施设备</w:t>
            </w:r>
            <w:r>
              <w:rPr>
                <w:rFonts w:hint="eastAsia" w:ascii="宋体" w:hAnsi="宋体" w:eastAsia="宋体" w:cs="宋体"/>
                <w:color w:val="auto"/>
                <w:szCs w:val="21"/>
                <w:highlight w:val="none"/>
                <w:lang w:val="zh-CN" w:eastAsia="zh-CN"/>
              </w:rPr>
              <w:t>维护服务方案或房屋及</w:t>
            </w:r>
            <w:r>
              <w:rPr>
                <w:rFonts w:hint="eastAsia" w:ascii="宋体" w:hAnsi="宋体" w:cs="宋体"/>
                <w:color w:val="auto"/>
                <w:szCs w:val="21"/>
                <w:highlight w:val="none"/>
                <w:lang w:val="zh-CN" w:eastAsia="zh-CN"/>
              </w:rPr>
              <w:t>公共设施设备</w:t>
            </w:r>
            <w:r>
              <w:rPr>
                <w:rFonts w:hint="eastAsia" w:ascii="宋体" w:hAnsi="宋体" w:eastAsia="宋体" w:cs="宋体"/>
                <w:color w:val="auto"/>
                <w:szCs w:val="21"/>
                <w:highlight w:val="none"/>
                <w:lang w:val="zh-CN" w:eastAsia="zh-CN"/>
              </w:rPr>
              <w:t>维护服务方案未达到①标准要求的，得 0 分。</w:t>
            </w:r>
          </w:p>
        </w:tc>
        <w:tc>
          <w:tcPr>
            <w:tcW w:w="664" w:type="dxa"/>
            <w:noWrap w:val="0"/>
            <w:vAlign w:val="center"/>
          </w:tcPr>
          <w:p w14:paraId="326749D9">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9分</w:t>
            </w:r>
          </w:p>
        </w:tc>
      </w:tr>
      <w:tr w14:paraId="61F4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36" w:type="dxa"/>
            <w:vMerge w:val="continue"/>
            <w:noWrap w:val="0"/>
            <w:vAlign w:val="center"/>
          </w:tcPr>
          <w:p w14:paraId="06C18D30">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p>
        </w:tc>
        <w:tc>
          <w:tcPr>
            <w:tcW w:w="1152" w:type="dxa"/>
            <w:vMerge w:val="continue"/>
            <w:noWrap w:val="0"/>
            <w:vAlign w:val="center"/>
          </w:tcPr>
          <w:p w14:paraId="052D398F">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p>
        </w:tc>
        <w:tc>
          <w:tcPr>
            <w:tcW w:w="1176" w:type="dxa"/>
            <w:noWrap w:val="0"/>
            <w:vAlign w:val="center"/>
          </w:tcPr>
          <w:p w14:paraId="6B96D75E">
            <w:pPr>
              <w:keepNext w:val="0"/>
              <w:keepLines w:val="0"/>
              <w:pageBreakBefore w:val="0"/>
              <w:widowControl/>
              <w:suppressLineNumbers w:val="0"/>
              <w:wordWrap w:val="0"/>
              <w:topLinePunct/>
              <w:bidi w:val="0"/>
              <w:adjustRightInd/>
              <w:snapToGrid w:val="0"/>
              <w:spacing w:before="60" w:beforeAutospacing="0" w:after="60" w:afterAutospacing="0" w:line="312" w:lineRule="auto"/>
              <w:ind w:left="0" w:right="0" w:firstLine="0" w:firstLineChars="0"/>
              <w:jc w:val="center"/>
              <w:outlineLvl w:val="9"/>
              <w:rPr>
                <w:rFonts w:hint="default"/>
                <w:color w:val="auto"/>
                <w:highlight w:val="none"/>
                <w:lang w:val="en-US" w:eastAsia="zh-CN"/>
              </w:rPr>
            </w:pPr>
            <w:r>
              <w:rPr>
                <w:rFonts w:hint="eastAsia" w:ascii="宋体" w:hAnsi="宋体" w:eastAsia="宋体" w:cs="宋体"/>
                <w:b/>
                <w:bCs/>
                <w:color w:val="auto"/>
                <w:kern w:val="2"/>
                <w:sz w:val="21"/>
                <w:szCs w:val="21"/>
                <w:highlight w:val="none"/>
                <w:lang w:eastAsia="zh-CN"/>
              </w:rPr>
              <w:t>保洁</w:t>
            </w:r>
            <w:r>
              <w:rPr>
                <w:rFonts w:hint="eastAsia" w:ascii="宋体" w:hAnsi="宋体" w:cs="宋体"/>
                <w:b/>
                <w:bCs/>
                <w:color w:val="auto"/>
                <w:kern w:val="2"/>
                <w:sz w:val="21"/>
                <w:szCs w:val="21"/>
                <w:highlight w:val="none"/>
                <w:lang w:eastAsia="zh-CN"/>
              </w:rPr>
              <w:t>、</w:t>
            </w:r>
            <w:r>
              <w:rPr>
                <w:rFonts w:hint="eastAsia" w:ascii="宋体" w:hAnsi="宋体" w:cs="宋体"/>
                <w:b/>
                <w:bCs/>
                <w:color w:val="auto"/>
                <w:kern w:val="2"/>
                <w:sz w:val="21"/>
                <w:szCs w:val="21"/>
                <w:highlight w:val="none"/>
                <w:lang w:val="en-US" w:eastAsia="zh-CN"/>
              </w:rPr>
              <w:t>绿化</w:t>
            </w:r>
            <w:r>
              <w:rPr>
                <w:rFonts w:hint="eastAsia" w:ascii="宋体" w:hAnsi="宋体" w:eastAsia="宋体" w:cs="宋体"/>
                <w:b/>
                <w:bCs/>
                <w:color w:val="auto"/>
                <w:kern w:val="2"/>
                <w:sz w:val="21"/>
                <w:szCs w:val="21"/>
                <w:highlight w:val="none"/>
                <w:lang w:eastAsia="zh-CN"/>
              </w:rPr>
              <w:t>服务方案</w:t>
            </w:r>
          </w:p>
        </w:tc>
        <w:tc>
          <w:tcPr>
            <w:tcW w:w="5835" w:type="dxa"/>
            <w:noWrap w:val="0"/>
            <w:vAlign w:val="center"/>
          </w:tcPr>
          <w:p w14:paraId="24EB1316">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①</w:t>
            </w:r>
            <w:r>
              <w:rPr>
                <w:rFonts w:hint="eastAsia" w:ascii="宋体" w:hAnsi="宋体" w:cs="宋体"/>
                <w:color w:val="auto"/>
                <w:szCs w:val="21"/>
                <w:highlight w:val="none"/>
                <w:lang w:val="zh-CN" w:eastAsia="zh-CN"/>
              </w:rPr>
              <w:t>供应商</w:t>
            </w:r>
            <w:r>
              <w:rPr>
                <w:rFonts w:hint="eastAsia" w:ascii="宋体" w:hAnsi="宋体" w:eastAsia="宋体" w:cs="宋体"/>
                <w:color w:val="auto"/>
                <w:szCs w:val="21"/>
                <w:highlight w:val="none"/>
                <w:lang w:val="zh-CN" w:eastAsia="zh-CN"/>
              </w:rPr>
              <w:t>的保洁服务方案能完全响应项目采购需求的服务内容要求前提下，根据服务要求制订具体的服务措施，得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eastAsia="zh-CN"/>
              </w:rPr>
              <w:t>分；</w:t>
            </w:r>
          </w:p>
          <w:p w14:paraId="27A1F7B0">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②在本项①项的基础上，能制订具体的日常保洁服务计划及服务流程；承诺每日至少进行</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次清扫、</w:t>
            </w:r>
            <w:r>
              <w:rPr>
                <w:rFonts w:hint="eastAsia"/>
                <w:color w:val="auto"/>
                <w:highlight w:val="none"/>
                <w:lang w:eastAsia="zh-CN"/>
              </w:rPr>
              <w:t>擦拭</w:t>
            </w:r>
            <w:r>
              <w:rPr>
                <w:rFonts w:hint="eastAsia" w:ascii="宋体" w:hAnsi="宋体" w:eastAsia="宋体" w:cs="宋体"/>
                <w:color w:val="auto"/>
                <w:szCs w:val="21"/>
                <w:highlight w:val="none"/>
                <w:lang w:val="zh-CN" w:eastAsia="zh-CN"/>
              </w:rPr>
              <w:t>等保洁工作，每天不少于</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zh-CN" w:eastAsia="zh-CN"/>
              </w:rPr>
              <w:t>次对保洁区域进行巡视检查，巡回保洁；保洁日常工作检查的记录表单齐全；制订有针对保洁、绿化服务内容的相应管理制度、考核制度；得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zh-CN" w:eastAsia="zh-CN"/>
              </w:rPr>
              <w:t>分；</w:t>
            </w:r>
          </w:p>
          <w:p w14:paraId="42538C9C">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③在本项第②项的基础上，针对保洁、绿化服务内容提出服务的重点难点，并能提供解决方案及落实保障措施，得</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zh-CN" w:eastAsia="zh-CN"/>
              </w:rPr>
              <w:t>分。</w:t>
            </w:r>
          </w:p>
          <w:p w14:paraId="2DBBB248">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bCs/>
                <w:color w:val="auto"/>
                <w:highlight w:val="none"/>
                <w:lang w:val="en-US" w:eastAsia="zh-CN"/>
              </w:rPr>
            </w:pPr>
            <w:r>
              <w:rPr>
                <w:rFonts w:hint="eastAsia" w:ascii="宋体" w:hAnsi="宋体" w:eastAsia="宋体" w:cs="宋体"/>
                <w:color w:val="auto"/>
                <w:szCs w:val="21"/>
                <w:highlight w:val="none"/>
                <w:lang w:val="zh-CN" w:eastAsia="zh-CN"/>
              </w:rPr>
              <w:t>注：未提供保洁、绿化服务方案或保洁、绿化服务方案未达到①标准要求的，得 0 分。</w:t>
            </w:r>
          </w:p>
        </w:tc>
        <w:tc>
          <w:tcPr>
            <w:tcW w:w="664" w:type="dxa"/>
            <w:noWrap w:val="0"/>
            <w:vAlign w:val="center"/>
          </w:tcPr>
          <w:p w14:paraId="781BE9D3">
            <w:pPr>
              <w:keepNext w:val="0"/>
              <w:keepLines w:val="0"/>
              <w:pageBreakBefore w:val="0"/>
              <w:widowControl/>
              <w:suppressLineNumbers w:val="0"/>
              <w:tabs>
                <w:tab w:val="left" w:pos="1160"/>
              </w:tabs>
              <w:kinsoku/>
              <w:wordWrap w:val="0"/>
              <w:overflowPunct/>
              <w:topLinePunct/>
              <w:autoSpaceDE/>
              <w:autoSpaceDN/>
              <w:bidi w:val="0"/>
              <w:adjustRightInd/>
              <w:snapToGrid w:val="0"/>
              <w:spacing w:before="60" w:beforeAutospacing="0" w:after="60" w:afterAutospacing="0" w:line="312" w:lineRule="auto"/>
              <w:ind w:left="0" w:right="0"/>
              <w:textAlignment w:val="auto"/>
              <w:rPr>
                <w:rFonts w:hint="default" w:ascii="宋体" w:hAnsi="宋体"/>
                <w:bCs/>
                <w:color w:val="auto"/>
                <w:highlight w:val="none"/>
                <w:lang w:val="en-US" w:eastAsia="zh-CN"/>
              </w:rPr>
            </w:pPr>
            <w:r>
              <w:rPr>
                <w:rFonts w:hint="eastAsia" w:ascii="宋体" w:hAnsi="宋体"/>
                <w:bCs/>
                <w:color w:val="auto"/>
                <w:highlight w:val="none"/>
                <w:lang w:val="en-US" w:eastAsia="zh-CN"/>
              </w:rPr>
              <w:t>9</w:t>
            </w:r>
            <w:r>
              <w:rPr>
                <w:rFonts w:hint="eastAsia" w:ascii="宋体" w:hAnsi="宋体"/>
                <w:bCs/>
                <w:color w:val="auto"/>
                <w:highlight w:val="none"/>
              </w:rPr>
              <w:t>分</w:t>
            </w:r>
          </w:p>
        </w:tc>
      </w:tr>
      <w:tr w14:paraId="537D2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36" w:type="dxa"/>
            <w:vMerge w:val="continue"/>
            <w:noWrap w:val="0"/>
            <w:vAlign w:val="center"/>
          </w:tcPr>
          <w:p w14:paraId="29C635EC">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p>
        </w:tc>
        <w:tc>
          <w:tcPr>
            <w:tcW w:w="1152" w:type="dxa"/>
            <w:vMerge w:val="continue"/>
            <w:noWrap w:val="0"/>
            <w:vAlign w:val="center"/>
          </w:tcPr>
          <w:p w14:paraId="6060E8D9">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p>
        </w:tc>
        <w:tc>
          <w:tcPr>
            <w:tcW w:w="1176" w:type="dxa"/>
            <w:noWrap w:val="0"/>
            <w:vAlign w:val="center"/>
          </w:tcPr>
          <w:p w14:paraId="0CD7DB78">
            <w:pPr>
              <w:pStyle w:val="16"/>
              <w:keepNext w:val="0"/>
              <w:keepLines w:val="0"/>
              <w:pageBreakBefore w:val="0"/>
              <w:widowControl/>
              <w:suppressLineNumbers w:val="0"/>
              <w:wordWrap w:val="0"/>
              <w:topLinePunct/>
              <w:bidi w:val="0"/>
              <w:snapToGrid w:val="0"/>
              <w:spacing w:before="60" w:after="60" w:line="312" w:lineRule="auto"/>
              <w:ind w:left="0" w:right="0"/>
              <w:jc w:val="center"/>
              <w:outlineLvl w:val="9"/>
              <w:rPr>
                <w:rFonts w:hint="eastAsia" w:ascii="宋体" w:hAnsi="宋体"/>
                <w:bCs/>
                <w:color w:val="auto"/>
                <w:highlight w:val="none"/>
                <w:lang w:val="en-US" w:eastAsia="zh-CN"/>
              </w:rPr>
            </w:pPr>
            <w:r>
              <w:rPr>
                <w:rFonts w:hint="eastAsia" w:ascii="宋体" w:hAnsi="宋体" w:eastAsia="宋体" w:cs="宋体"/>
                <w:color w:val="auto"/>
                <w:sz w:val="21"/>
                <w:szCs w:val="21"/>
                <w:highlight w:val="none"/>
                <w:lang w:val="en-US" w:eastAsia="zh-CN"/>
              </w:rPr>
              <w:t>秩序</w:t>
            </w:r>
            <w:r>
              <w:rPr>
                <w:rFonts w:hint="eastAsia" w:ascii="宋体" w:hAnsi="宋体" w:cs="宋体"/>
                <w:color w:val="auto"/>
                <w:sz w:val="21"/>
                <w:szCs w:val="21"/>
                <w:highlight w:val="none"/>
                <w:lang w:val="en-US" w:eastAsia="zh-CN"/>
              </w:rPr>
              <w:t>维护</w:t>
            </w:r>
            <w:r>
              <w:rPr>
                <w:rFonts w:hint="eastAsia" w:ascii="宋体" w:hAnsi="宋体" w:eastAsia="宋体" w:cs="宋体"/>
                <w:color w:val="auto"/>
                <w:sz w:val="21"/>
                <w:szCs w:val="21"/>
                <w:highlight w:val="none"/>
                <w:lang w:eastAsia="zh-CN"/>
              </w:rPr>
              <w:t>服务方案</w:t>
            </w:r>
          </w:p>
        </w:tc>
        <w:tc>
          <w:tcPr>
            <w:tcW w:w="5835" w:type="dxa"/>
            <w:noWrap w:val="0"/>
            <w:vAlign w:val="center"/>
          </w:tcPr>
          <w:p w14:paraId="3EB26314">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由</w:t>
            </w:r>
            <w:r>
              <w:rPr>
                <w:rFonts w:hint="eastAsia" w:ascii="宋体" w:hAnsi="宋体" w:cs="宋体"/>
                <w:color w:val="auto"/>
                <w:szCs w:val="21"/>
                <w:highlight w:val="none"/>
                <w:lang w:val="zh-CN" w:eastAsia="zh-CN"/>
              </w:rPr>
              <w:t>磋商小组</w:t>
            </w:r>
            <w:r>
              <w:rPr>
                <w:rFonts w:hint="eastAsia" w:ascii="宋体" w:hAnsi="宋体" w:eastAsia="宋体" w:cs="宋体"/>
                <w:color w:val="auto"/>
                <w:szCs w:val="21"/>
                <w:highlight w:val="none"/>
                <w:lang w:val="zh-CN" w:eastAsia="zh-CN"/>
              </w:rPr>
              <w:t>对</w:t>
            </w:r>
            <w:r>
              <w:rPr>
                <w:rFonts w:hint="eastAsia" w:ascii="宋体" w:hAnsi="宋体" w:cs="宋体"/>
                <w:color w:val="auto"/>
                <w:szCs w:val="21"/>
                <w:highlight w:val="none"/>
                <w:lang w:val="zh-CN" w:eastAsia="zh-CN"/>
              </w:rPr>
              <w:t>供应商</w:t>
            </w:r>
            <w:r>
              <w:rPr>
                <w:rFonts w:hint="eastAsia" w:ascii="宋体" w:hAnsi="宋体" w:eastAsia="宋体" w:cs="宋体"/>
                <w:color w:val="auto"/>
                <w:szCs w:val="21"/>
                <w:highlight w:val="none"/>
                <w:lang w:val="zh-CN" w:eastAsia="zh-CN"/>
              </w:rPr>
              <w:t>提供的服务方案中的</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服务方案内容进行评价。以下各项不重复计分：</w:t>
            </w:r>
          </w:p>
          <w:p w14:paraId="50DA6985">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①</w:t>
            </w:r>
            <w:r>
              <w:rPr>
                <w:rFonts w:hint="eastAsia" w:ascii="宋体" w:hAnsi="宋体" w:cs="宋体"/>
                <w:color w:val="auto"/>
                <w:szCs w:val="21"/>
                <w:highlight w:val="none"/>
                <w:lang w:val="zh-CN" w:eastAsia="zh-CN"/>
              </w:rPr>
              <w:t>供应商</w:t>
            </w:r>
            <w:r>
              <w:rPr>
                <w:rFonts w:hint="eastAsia" w:ascii="宋体" w:hAnsi="宋体" w:eastAsia="宋体" w:cs="宋体"/>
                <w:color w:val="auto"/>
                <w:szCs w:val="21"/>
                <w:highlight w:val="none"/>
                <w:lang w:val="zh-CN" w:eastAsia="zh-CN"/>
              </w:rPr>
              <w:t>的</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服务方案能完全响应项目采购需求的服务内容要求前提下，能根据服务要求制订具体的</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服务措施，得</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zh-CN" w:eastAsia="zh-CN"/>
              </w:rPr>
              <w:t>分；</w:t>
            </w:r>
          </w:p>
          <w:p w14:paraId="6E14F670">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②在本项①项的基础上，建立明确的</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服务工作职责，工作流程；针对本项目制定相对固定的巡视路线，对重要区域、部位、节假日、夜间制订重点巡查方案；建立有完善的进出管理制度、交接制度、车辆管理制度等，</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服务措施得力，得</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zh-CN" w:eastAsia="zh-CN"/>
              </w:rPr>
              <w:t>分；</w:t>
            </w:r>
          </w:p>
          <w:p w14:paraId="635D766E">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eastAsia="zh-CN"/>
              </w:rPr>
              <w:t>③在本项第②项的基础上，制订有齐全的日常安全巡检的记录台账（表单）；制订有明确的</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人员录用、培训、考核、日常安全演练等管理方案；针对</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服务内容提出服务的重点难点，并能提供解决措施，</w:t>
            </w: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lang w:val="zh-CN" w:eastAsia="zh-CN"/>
              </w:rPr>
              <w:t>分。</w:t>
            </w:r>
          </w:p>
          <w:p w14:paraId="7526AEBB">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eastAsia="宋体"/>
                <w:bCs/>
                <w:color w:val="auto"/>
                <w:highlight w:val="none"/>
                <w:lang w:eastAsia="zh-CN"/>
              </w:rPr>
            </w:pPr>
            <w:r>
              <w:rPr>
                <w:rFonts w:hint="eastAsia" w:ascii="宋体" w:hAnsi="宋体" w:eastAsia="宋体" w:cs="宋体"/>
                <w:color w:val="auto"/>
                <w:szCs w:val="21"/>
                <w:highlight w:val="none"/>
                <w:lang w:val="zh-CN" w:eastAsia="zh-CN"/>
              </w:rPr>
              <w:t>注：</w:t>
            </w:r>
            <w:r>
              <w:rPr>
                <w:rFonts w:hint="eastAsia" w:ascii="宋体" w:hAnsi="宋体" w:cs="宋体"/>
                <w:color w:val="auto"/>
                <w:szCs w:val="21"/>
                <w:highlight w:val="none"/>
                <w:lang w:val="en-US" w:eastAsia="zh-CN"/>
              </w:rPr>
              <w:t>未</w:t>
            </w:r>
            <w:r>
              <w:rPr>
                <w:rFonts w:hint="eastAsia" w:ascii="宋体" w:hAnsi="宋体" w:eastAsia="宋体" w:cs="宋体"/>
                <w:color w:val="auto"/>
                <w:szCs w:val="21"/>
                <w:highlight w:val="none"/>
                <w:lang w:val="zh-CN" w:eastAsia="zh-CN"/>
              </w:rPr>
              <w:t>提供</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服务方案或</w:t>
            </w:r>
            <w:r>
              <w:rPr>
                <w:rFonts w:hint="eastAsia" w:ascii="宋体" w:hAnsi="宋体" w:cs="宋体"/>
                <w:color w:val="auto"/>
                <w:szCs w:val="21"/>
                <w:highlight w:val="none"/>
                <w:lang w:val="zh-CN" w:eastAsia="zh-CN"/>
              </w:rPr>
              <w:t>秩序维护</w:t>
            </w:r>
            <w:r>
              <w:rPr>
                <w:rFonts w:hint="eastAsia" w:ascii="宋体" w:hAnsi="宋体" w:eastAsia="宋体" w:cs="宋体"/>
                <w:color w:val="auto"/>
                <w:szCs w:val="21"/>
                <w:highlight w:val="none"/>
                <w:lang w:val="zh-CN" w:eastAsia="zh-CN"/>
              </w:rPr>
              <w:t>服务方案未达到①标准要求的，得0分。</w:t>
            </w:r>
          </w:p>
        </w:tc>
        <w:tc>
          <w:tcPr>
            <w:tcW w:w="664" w:type="dxa"/>
            <w:noWrap w:val="0"/>
            <w:vAlign w:val="center"/>
          </w:tcPr>
          <w:p w14:paraId="010BD850">
            <w:pPr>
              <w:keepNext w:val="0"/>
              <w:keepLines w:val="0"/>
              <w:pageBreakBefore w:val="0"/>
              <w:widowControl/>
              <w:suppressLineNumbers w:val="0"/>
              <w:tabs>
                <w:tab w:val="left" w:pos="1160"/>
              </w:tabs>
              <w:kinsoku/>
              <w:wordWrap w:val="0"/>
              <w:overflowPunct/>
              <w:topLinePunct/>
              <w:autoSpaceDE/>
              <w:autoSpaceDN/>
              <w:bidi w:val="0"/>
              <w:adjustRightInd/>
              <w:snapToGrid w:val="0"/>
              <w:spacing w:before="60" w:beforeAutospacing="0" w:after="60" w:afterAutospacing="0" w:line="312" w:lineRule="auto"/>
              <w:ind w:left="0" w:right="0"/>
              <w:textAlignment w:val="auto"/>
              <w:rPr>
                <w:rFonts w:hint="default" w:ascii="宋体" w:hAnsi="宋体"/>
                <w:bCs/>
                <w:color w:val="auto"/>
                <w:highlight w:val="none"/>
                <w:lang w:val="en-US" w:eastAsia="zh-CN"/>
              </w:rPr>
            </w:pPr>
            <w:r>
              <w:rPr>
                <w:rFonts w:hint="eastAsia" w:ascii="宋体" w:hAnsi="宋体"/>
                <w:bCs/>
                <w:color w:val="auto"/>
                <w:highlight w:val="none"/>
                <w:lang w:val="en-US" w:eastAsia="zh-CN"/>
              </w:rPr>
              <w:t>9分</w:t>
            </w:r>
          </w:p>
        </w:tc>
      </w:tr>
      <w:tr w14:paraId="5BDE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36" w:type="dxa"/>
            <w:vMerge w:val="continue"/>
            <w:noWrap w:val="0"/>
            <w:vAlign w:val="center"/>
          </w:tcPr>
          <w:p w14:paraId="013CC8C5">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rPr>
            </w:pPr>
          </w:p>
        </w:tc>
        <w:tc>
          <w:tcPr>
            <w:tcW w:w="1152" w:type="dxa"/>
            <w:vMerge w:val="continue"/>
            <w:noWrap w:val="0"/>
            <w:vAlign w:val="center"/>
          </w:tcPr>
          <w:p w14:paraId="17CFCB35">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color w:val="auto"/>
                <w:sz w:val="21"/>
                <w:szCs w:val="21"/>
                <w:highlight w:val="none"/>
              </w:rPr>
            </w:pPr>
          </w:p>
        </w:tc>
        <w:tc>
          <w:tcPr>
            <w:tcW w:w="1176" w:type="dxa"/>
            <w:noWrap w:val="0"/>
            <w:vAlign w:val="center"/>
          </w:tcPr>
          <w:p w14:paraId="1310708C">
            <w:pPr>
              <w:keepNext w:val="0"/>
              <w:keepLines w:val="0"/>
              <w:widowControl/>
              <w:suppressLineNumbers w:val="0"/>
              <w:wordWrap w:val="0"/>
              <w:topLinePunct/>
              <w:snapToGrid w:val="0"/>
              <w:spacing w:before="60" w:beforeAutospacing="0" w:after="60" w:afterAutospacing="0" w:line="312" w:lineRule="auto"/>
              <w:ind w:left="0" w:right="0"/>
              <w:rPr>
                <w:rFonts w:hint="eastAsia" w:ascii="宋体" w:hAnsi="宋体"/>
                <w:bCs/>
                <w:color w:val="auto"/>
                <w:highlight w:val="none"/>
                <w:lang w:val="en-US" w:eastAsia="zh-CN"/>
              </w:rPr>
            </w:pPr>
            <w:r>
              <w:rPr>
                <w:rFonts w:hint="eastAsia" w:ascii="宋体" w:hAnsi="宋体" w:cs="宋体"/>
                <w:b/>
                <w:bCs/>
                <w:color w:val="auto"/>
                <w:szCs w:val="21"/>
                <w:highlight w:val="none"/>
              </w:rPr>
              <w:t>突发事件应急预案</w:t>
            </w:r>
          </w:p>
        </w:tc>
        <w:tc>
          <w:tcPr>
            <w:tcW w:w="5835" w:type="dxa"/>
            <w:noWrap w:val="0"/>
            <w:vAlign w:val="center"/>
          </w:tcPr>
          <w:p w14:paraId="6DD7E8EF">
            <w:pPr>
              <w:keepNext w:val="0"/>
              <w:keepLines w:val="0"/>
              <w:widowControl/>
              <w:suppressLineNumbers w:val="0"/>
              <w:wordWrap w:val="0"/>
              <w:topLinePunct/>
              <w:snapToGrid w:val="0"/>
              <w:spacing w:before="60" w:beforeAutospacing="0" w:after="60" w:afterAutospacing="0" w:line="312" w:lineRule="auto"/>
              <w:ind w:left="0" w:right="0" w:firstLine="420" w:firstLineChars="200"/>
              <w:outlineLvl w:val="9"/>
              <w:rPr>
                <w:rFonts w:hint="eastAsia" w:ascii="宋体" w:hAnsi="宋体" w:cs="宋体"/>
                <w:color w:val="auto"/>
                <w:szCs w:val="21"/>
                <w:highlight w:val="none"/>
                <w:lang w:val="zh-CN"/>
              </w:rPr>
            </w:pPr>
            <w:r>
              <w:rPr>
                <w:rFonts w:hint="eastAsia" w:ascii="宋体" w:hAnsi="宋体" w:cs="宋体"/>
                <w:color w:val="auto"/>
                <w:szCs w:val="21"/>
                <w:highlight w:val="none"/>
                <w:lang w:val="zh-CN"/>
              </w:rPr>
              <w:t>由磋商小组对供应商提供的突发事件应急方案(包括各类突发事件应急预案、人员及物资、处置方案、处理响应时间等)进行评价。以下各项不重复计分：</w:t>
            </w:r>
          </w:p>
          <w:p w14:paraId="11A00F59">
            <w:pPr>
              <w:keepNext w:val="0"/>
              <w:keepLines w:val="0"/>
              <w:widowControl/>
              <w:suppressLineNumbers w:val="0"/>
              <w:wordWrap w:val="0"/>
              <w:topLinePunct/>
              <w:snapToGrid w:val="0"/>
              <w:spacing w:before="60" w:beforeAutospacing="0" w:after="60" w:afterAutospacing="0" w:line="312" w:lineRule="auto"/>
              <w:ind w:left="0" w:right="0" w:firstLine="420" w:firstLineChars="200"/>
              <w:outlineLvl w:val="9"/>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①供应商的突发事件应急预案能在完全响应本项目应急服务需求的前提下，能针对应急服务需求制订应急措施，得</w:t>
            </w:r>
            <w:r>
              <w:rPr>
                <w:rFonts w:hint="eastAsia" w:ascii="宋体" w:hAnsi="宋体" w:cs="宋体"/>
                <w:b w:val="0"/>
                <w:bCs w:val="0"/>
                <w:color w:val="auto"/>
                <w:szCs w:val="21"/>
                <w:highlight w:val="none"/>
                <w:lang w:val="en-US" w:eastAsia="zh-CN"/>
              </w:rPr>
              <w:t>3</w:t>
            </w:r>
            <w:r>
              <w:rPr>
                <w:rFonts w:hint="eastAsia" w:ascii="宋体" w:hAnsi="宋体" w:cs="宋体"/>
                <w:b w:val="0"/>
                <w:bCs w:val="0"/>
                <w:color w:val="auto"/>
                <w:szCs w:val="21"/>
                <w:highlight w:val="none"/>
                <w:lang w:val="zh-CN"/>
              </w:rPr>
              <w:t>分；</w:t>
            </w:r>
          </w:p>
          <w:p w14:paraId="48391F39">
            <w:pPr>
              <w:keepNext w:val="0"/>
              <w:keepLines w:val="0"/>
              <w:widowControl/>
              <w:suppressLineNumbers w:val="0"/>
              <w:wordWrap w:val="0"/>
              <w:topLinePunct/>
              <w:snapToGrid w:val="0"/>
              <w:spacing w:before="60" w:beforeAutospacing="0" w:after="60" w:afterAutospacing="0" w:line="312" w:lineRule="auto"/>
              <w:ind w:left="0" w:right="0" w:firstLine="420" w:firstLineChars="200"/>
              <w:outlineLvl w:val="9"/>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②在本项第①的基础上，成立有专门的应急部门，应急人员配备到位、责任明确；应急物资配备齐全；制订有完善的处置流程图，能较快速地启动应急处理措施，得</w:t>
            </w:r>
            <w:r>
              <w:rPr>
                <w:rFonts w:hint="eastAsia" w:ascii="宋体" w:hAnsi="宋体" w:cs="宋体"/>
                <w:b w:val="0"/>
                <w:bCs w:val="0"/>
                <w:color w:val="auto"/>
                <w:szCs w:val="21"/>
                <w:highlight w:val="none"/>
                <w:lang w:val="en-US" w:eastAsia="zh-CN"/>
              </w:rPr>
              <w:t>6</w:t>
            </w:r>
            <w:r>
              <w:rPr>
                <w:rFonts w:hint="eastAsia" w:ascii="宋体" w:hAnsi="宋体" w:cs="宋体"/>
                <w:b w:val="0"/>
                <w:bCs w:val="0"/>
                <w:color w:val="auto"/>
                <w:szCs w:val="21"/>
                <w:highlight w:val="none"/>
                <w:lang w:val="zh-CN"/>
              </w:rPr>
              <w:t>分；</w:t>
            </w:r>
          </w:p>
          <w:p w14:paraId="4046FABD">
            <w:pPr>
              <w:keepNext w:val="0"/>
              <w:keepLines w:val="0"/>
              <w:widowControl/>
              <w:suppressLineNumbers w:val="0"/>
              <w:wordWrap w:val="0"/>
              <w:topLinePunct/>
              <w:snapToGrid w:val="0"/>
              <w:spacing w:before="60" w:beforeAutospacing="0" w:after="60" w:afterAutospacing="0" w:line="312" w:lineRule="auto"/>
              <w:ind w:left="0" w:right="0" w:firstLine="420" w:firstLineChars="200"/>
              <w:outlineLvl w:val="9"/>
              <w:rPr>
                <w:rFonts w:hint="eastAsia" w:ascii="宋体" w:hAnsi="宋体" w:cs="宋体"/>
                <w:b w:val="0"/>
                <w:bCs w:val="0"/>
                <w:color w:val="auto"/>
                <w:szCs w:val="21"/>
                <w:highlight w:val="none"/>
                <w:lang w:val="zh-CN"/>
              </w:rPr>
            </w:pPr>
            <w:r>
              <w:rPr>
                <w:rFonts w:hint="eastAsia" w:ascii="宋体" w:hAnsi="宋体" w:cs="宋体"/>
                <w:b w:val="0"/>
                <w:bCs w:val="0"/>
                <w:color w:val="auto"/>
                <w:szCs w:val="21"/>
                <w:highlight w:val="none"/>
                <w:lang w:val="zh-CN"/>
              </w:rPr>
              <w:t>③在本项第②的基础上，针对各类突发事件（包括但不限于出现灾害性天气、地震、突发火灾、停电、供水管道爆裂、突发治安或刑事事件等）制订合理、有预见性、有针对性的处置措施，制订有针对不同突发事件的应急演练计划及应急演练方案，提高服务人员快速处置应急能力，得</w:t>
            </w:r>
            <w:r>
              <w:rPr>
                <w:rFonts w:hint="eastAsia" w:ascii="宋体" w:hAnsi="宋体" w:cs="宋体"/>
                <w:b w:val="0"/>
                <w:bCs w:val="0"/>
                <w:color w:val="auto"/>
                <w:szCs w:val="21"/>
                <w:highlight w:val="none"/>
                <w:lang w:val="en-US" w:eastAsia="zh-CN"/>
              </w:rPr>
              <w:t>9</w:t>
            </w:r>
            <w:r>
              <w:rPr>
                <w:rFonts w:hint="eastAsia" w:ascii="宋体" w:hAnsi="宋体" w:cs="宋体"/>
                <w:b w:val="0"/>
                <w:bCs w:val="0"/>
                <w:color w:val="auto"/>
                <w:szCs w:val="21"/>
                <w:highlight w:val="none"/>
                <w:lang w:val="zh-CN"/>
              </w:rPr>
              <w:t>分。</w:t>
            </w:r>
          </w:p>
          <w:p w14:paraId="200ED865">
            <w:pPr>
              <w:keepNext w:val="0"/>
              <w:keepLines w:val="0"/>
              <w:pageBreakBefore w:val="0"/>
              <w:widowControl/>
              <w:suppressLineNumbers w:val="0"/>
              <w:kinsoku/>
              <w:wordWrap w:val="0"/>
              <w:overflowPunct/>
              <w:topLinePunct/>
              <w:autoSpaceDE/>
              <w:autoSpaceDN/>
              <w:bidi w:val="0"/>
              <w:adjustRightInd/>
              <w:snapToGrid w:val="0"/>
              <w:spacing w:before="60" w:beforeAutospacing="0" w:after="60" w:afterAutospacing="0" w:line="312" w:lineRule="auto"/>
              <w:ind w:left="0" w:right="0" w:firstLine="420" w:firstLineChars="200"/>
              <w:textAlignment w:val="auto"/>
              <w:outlineLvl w:val="9"/>
              <w:rPr>
                <w:rFonts w:hint="eastAsia" w:ascii="宋体" w:hAnsi="宋体"/>
                <w:bCs/>
                <w:color w:val="auto"/>
                <w:highlight w:val="none"/>
                <w:lang w:val="en-US" w:eastAsia="zh-CN"/>
              </w:rPr>
            </w:pPr>
            <w:r>
              <w:rPr>
                <w:rFonts w:hint="eastAsia" w:ascii="宋体" w:hAnsi="宋体" w:cs="宋体"/>
                <w:b w:val="0"/>
                <w:bCs w:val="0"/>
                <w:color w:val="auto"/>
                <w:szCs w:val="21"/>
                <w:highlight w:val="none"/>
                <w:lang w:val="zh-CN"/>
              </w:rPr>
              <w:t>注：未提供突发事件应急预案或突发事件应急预案未达到①标准要求的，得0分。</w:t>
            </w:r>
          </w:p>
        </w:tc>
        <w:tc>
          <w:tcPr>
            <w:tcW w:w="664" w:type="dxa"/>
            <w:noWrap w:val="0"/>
            <w:vAlign w:val="center"/>
          </w:tcPr>
          <w:p w14:paraId="7E55FE45">
            <w:pPr>
              <w:keepNext w:val="0"/>
              <w:keepLines w:val="0"/>
              <w:pageBreakBefore w:val="0"/>
              <w:widowControl/>
              <w:suppressLineNumbers w:val="0"/>
              <w:tabs>
                <w:tab w:val="left" w:pos="1160"/>
              </w:tabs>
              <w:kinsoku/>
              <w:wordWrap w:val="0"/>
              <w:overflowPunct/>
              <w:topLinePunct/>
              <w:autoSpaceDE/>
              <w:autoSpaceDN/>
              <w:bidi w:val="0"/>
              <w:adjustRightInd/>
              <w:snapToGrid w:val="0"/>
              <w:spacing w:before="60" w:beforeAutospacing="0" w:after="60" w:afterAutospacing="0" w:line="312" w:lineRule="auto"/>
              <w:ind w:left="0" w:right="0"/>
              <w:textAlignment w:val="auto"/>
              <w:rPr>
                <w:rFonts w:hint="eastAsia" w:ascii="宋体" w:hAnsi="宋体"/>
                <w:bCs/>
                <w:color w:val="auto"/>
                <w:highlight w:val="none"/>
                <w:lang w:val="en-US" w:eastAsia="zh-CN"/>
              </w:rPr>
            </w:pPr>
            <w:r>
              <w:rPr>
                <w:rFonts w:hint="eastAsia" w:ascii="宋体" w:hAnsi="宋体"/>
                <w:bCs/>
                <w:color w:val="auto"/>
                <w:highlight w:val="none"/>
                <w:lang w:val="en-US" w:eastAsia="zh-CN"/>
              </w:rPr>
              <w:t>9</w:t>
            </w:r>
            <w:r>
              <w:rPr>
                <w:rFonts w:hint="eastAsia" w:ascii="宋体" w:hAnsi="宋体"/>
                <w:bCs/>
                <w:color w:val="auto"/>
                <w:highlight w:val="none"/>
              </w:rPr>
              <w:t>分</w:t>
            </w:r>
          </w:p>
        </w:tc>
      </w:tr>
      <w:tr w14:paraId="59E7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36" w:type="dxa"/>
            <w:vMerge w:val="restart"/>
            <w:noWrap w:val="0"/>
            <w:vAlign w:val="center"/>
          </w:tcPr>
          <w:p w14:paraId="14395799">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1152" w:type="dxa"/>
            <w:vMerge w:val="restart"/>
            <w:noWrap w:val="0"/>
            <w:vAlign w:val="center"/>
          </w:tcPr>
          <w:p w14:paraId="4DDEA888">
            <w:pPr>
              <w:keepNext w:val="0"/>
              <w:keepLines w:val="0"/>
              <w:pageBreakBefore w:val="0"/>
              <w:widowControl/>
              <w:suppressLineNumbers w:val="0"/>
              <w:shd w:val="clear"/>
              <w:wordWrap w:val="0"/>
              <w:overflowPunct/>
              <w:topLinePunct/>
              <w:autoSpaceDE/>
              <w:autoSpaceDN/>
              <w:bidi w:val="0"/>
              <w:adjustRightInd/>
              <w:snapToGrid w:val="0"/>
              <w:spacing w:before="60" w:beforeAutospacing="0" w:after="60" w:afterAutospacing="0" w:line="312" w:lineRule="auto"/>
              <w:ind w:left="0" w:right="0"/>
              <w:jc w:val="center"/>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商务因素</w:t>
            </w:r>
          </w:p>
          <w:p w14:paraId="4B843444">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2"/>
                <w:sz w:val="21"/>
                <w:szCs w:val="21"/>
                <w:highlight w:val="none"/>
                <w:lang w:val="zh-CN" w:eastAsia="zh-CN" w:bidi="ar-SA"/>
              </w:rPr>
              <w:t>（</w:t>
            </w:r>
            <w:r>
              <w:rPr>
                <w:rFonts w:hint="eastAsia" w:ascii="宋体" w:hAnsi="宋体" w:cs="宋体"/>
                <w:b w:val="0"/>
                <w:bCs/>
                <w:color w:val="auto"/>
                <w:kern w:val="2"/>
                <w:sz w:val="21"/>
                <w:szCs w:val="21"/>
                <w:highlight w:val="none"/>
                <w:lang w:val="en-US" w:eastAsia="zh-CN" w:bidi="ar-SA"/>
              </w:rPr>
              <w:t>25</w:t>
            </w:r>
            <w:r>
              <w:rPr>
                <w:rFonts w:hint="eastAsia" w:ascii="宋体" w:hAnsi="宋体" w:eastAsia="宋体" w:cs="宋体"/>
                <w:b w:val="0"/>
                <w:bCs/>
                <w:color w:val="auto"/>
                <w:kern w:val="2"/>
                <w:sz w:val="21"/>
                <w:szCs w:val="21"/>
                <w:highlight w:val="none"/>
                <w:lang w:val="zh-CN" w:eastAsia="zh-CN" w:bidi="ar-SA"/>
              </w:rPr>
              <w:t>分）</w:t>
            </w:r>
          </w:p>
        </w:tc>
        <w:tc>
          <w:tcPr>
            <w:tcW w:w="1176" w:type="dxa"/>
            <w:noWrap w:val="0"/>
            <w:vAlign w:val="center"/>
          </w:tcPr>
          <w:p w14:paraId="7F9D6440">
            <w:pPr>
              <w:keepNext w:val="0"/>
              <w:keepLines w:val="0"/>
              <w:widowControl/>
              <w:suppressLineNumbers w:val="0"/>
              <w:wordWrap w:val="0"/>
              <w:overflowPunct/>
              <w:topLinePunct/>
              <w:autoSpaceDE/>
              <w:autoSpaceDN/>
              <w:adjustRightInd/>
              <w:snapToGrid w:val="0"/>
              <w:spacing w:before="60" w:beforeAutospacing="0" w:after="60" w:afterAutospacing="0" w:line="312" w:lineRule="auto"/>
              <w:ind w:left="0" w:right="0"/>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pacing w:val="0"/>
                <w:position w:val="0"/>
                <w:sz w:val="21"/>
                <w:szCs w:val="21"/>
                <w:highlight w:val="none"/>
              </w:rPr>
              <w:t>企业认证证书</w:t>
            </w:r>
          </w:p>
        </w:tc>
        <w:tc>
          <w:tcPr>
            <w:tcW w:w="5835" w:type="dxa"/>
            <w:noWrap w:val="0"/>
            <w:vAlign w:val="center"/>
          </w:tcPr>
          <w:p w14:paraId="78ED18BF">
            <w:pPr>
              <w:keepNext w:val="0"/>
              <w:keepLines w:val="0"/>
              <w:pageBreakBefore w:val="0"/>
              <w:widowControl/>
              <w:suppressLineNumbers w:val="0"/>
              <w:kinsoku/>
              <w:wordWrap w:val="0"/>
              <w:overflowPunct/>
              <w:topLinePunct/>
              <w:autoSpaceDE/>
              <w:autoSpaceDN/>
              <w:bidi w:val="0"/>
              <w:snapToGrid w:val="0"/>
              <w:spacing w:before="60" w:beforeAutospacing="0" w:after="60" w:afterAutospacing="0" w:line="312" w:lineRule="auto"/>
              <w:ind w:left="0" w:right="0" w:firstLine="420" w:firstLineChars="200"/>
              <w:jc w:val="both"/>
              <w:textAlignment w:val="auto"/>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具有有效的</w:t>
            </w:r>
            <w:r>
              <w:rPr>
                <w:rFonts w:hint="eastAsia" w:ascii="宋体" w:hAnsi="宋体" w:cs="宋体"/>
                <w:color w:val="auto"/>
                <w:kern w:val="0"/>
                <w:sz w:val="21"/>
                <w:szCs w:val="21"/>
                <w:highlight w:val="none"/>
                <w:lang w:val="en-US" w:eastAsia="zh-CN"/>
              </w:rPr>
              <w:t>物业服务管理</w:t>
            </w:r>
            <w:r>
              <w:rPr>
                <w:rFonts w:hint="eastAsia" w:ascii="宋体" w:hAnsi="宋体" w:eastAsia="宋体" w:cs="宋体"/>
                <w:color w:val="auto"/>
                <w:kern w:val="0"/>
                <w:sz w:val="21"/>
                <w:szCs w:val="21"/>
                <w:highlight w:val="none"/>
                <w:lang w:val="en-US" w:eastAsia="zh-CN"/>
              </w:rPr>
              <w:t>体系认证（GB/T</w:t>
            </w:r>
            <w:r>
              <w:rPr>
                <w:rFonts w:hint="eastAsia" w:ascii="宋体" w:hAnsi="宋体" w:cs="宋体"/>
                <w:color w:val="auto"/>
                <w:kern w:val="0"/>
                <w:sz w:val="21"/>
                <w:szCs w:val="21"/>
                <w:highlight w:val="none"/>
                <w:lang w:val="en-US" w:eastAsia="zh-CN"/>
              </w:rPr>
              <w:t xml:space="preserve"> 20647.9-2006</w:t>
            </w:r>
            <w:r>
              <w:rPr>
                <w:rFonts w:hint="eastAsia" w:ascii="宋体" w:hAnsi="宋体" w:eastAsia="宋体" w:cs="宋体"/>
                <w:color w:val="auto"/>
                <w:kern w:val="0"/>
                <w:sz w:val="21"/>
                <w:szCs w:val="21"/>
                <w:highlight w:val="none"/>
                <w:lang w:val="en-US" w:eastAsia="zh-CN"/>
              </w:rPr>
              <w:t>）或者环境管理体系认证（ISO14001或GB/T24001）或者质量管理体系认证（ISO9001或GB/T19001）或者职业健康安全管理体系认证（ISO45001或GB/T45001）的，每个证书得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分，满分</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分。</w:t>
            </w:r>
          </w:p>
          <w:p w14:paraId="2C6C87B0">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firstLine="422" w:firstLineChars="200"/>
              <w:jc w:val="left"/>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highlight w:val="none"/>
                <w:lang w:val="en-US" w:eastAsia="zh-CN"/>
              </w:rPr>
              <w:t>注：</w:t>
            </w:r>
            <w:r>
              <w:rPr>
                <w:rFonts w:hint="eastAsia" w:ascii="宋体" w:hAnsi="宋体" w:cs="宋体"/>
                <w:b/>
                <w:bCs/>
                <w:color w:val="auto"/>
                <w:highlight w:val="none"/>
                <w:lang w:eastAsia="zh-CN"/>
              </w:rPr>
              <w:t>供应商</w:t>
            </w:r>
            <w:r>
              <w:rPr>
                <w:rFonts w:hint="eastAsia" w:ascii="宋体" w:hAnsi="宋体" w:eastAsia="宋体" w:cs="宋体"/>
                <w:b/>
                <w:bCs/>
                <w:color w:val="auto"/>
                <w:highlight w:val="none"/>
              </w:rPr>
              <w:t>需提供有效认证证书复印件【证书在全国认证认可信息公共服务平台上(http://cx.cnca.cn)可查】并加盖</w:t>
            </w:r>
            <w:r>
              <w:rPr>
                <w:rFonts w:hint="eastAsia" w:ascii="宋体" w:hAnsi="宋体" w:cs="宋体"/>
                <w:b/>
                <w:bCs/>
                <w:color w:val="auto"/>
                <w:highlight w:val="none"/>
                <w:lang w:eastAsia="zh-CN"/>
              </w:rPr>
              <w:t>供应商</w:t>
            </w:r>
            <w:r>
              <w:rPr>
                <w:rFonts w:hint="eastAsia" w:ascii="宋体" w:hAnsi="宋体" w:eastAsia="宋体" w:cs="宋体"/>
                <w:b/>
                <w:bCs/>
                <w:color w:val="auto"/>
                <w:highlight w:val="none"/>
              </w:rPr>
              <w:t>公章。不提供证书复印件，或证书状态非“有效”均不得分。</w:t>
            </w:r>
          </w:p>
        </w:tc>
        <w:tc>
          <w:tcPr>
            <w:tcW w:w="664" w:type="dxa"/>
            <w:noWrap w:val="0"/>
            <w:vAlign w:val="center"/>
          </w:tcPr>
          <w:p w14:paraId="110E57A5">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4分</w:t>
            </w:r>
          </w:p>
        </w:tc>
      </w:tr>
      <w:tr w14:paraId="32ED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536" w:type="dxa"/>
            <w:vMerge w:val="continue"/>
            <w:noWrap w:val="0"/>
            <w:vAlign w:val="center"/>
          </w:tcPr>
          <w:p w14:paraId="670CF7FB">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lang w:val="en-US" w:eastAsia="zh-CN"/>
              </w:rPr>
            </w:pPr>
          </w:p>
        </w:tc>
        <w:tc>
          <w:tcPr>
            <w:tcW w:w="1152" w:type="dxa"/>
            <w:vMerge w:val="continue"/>
            <w:noWrap w:val="0"/>
            <w:vAlign w:val="center"/>
          </w:tcPr>
          <w:p w14:paraId="4FFBB731">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val="0"/>
                <w:bCs/>
                <w:color w:val="auto"/>
                <w:kern w:val="2"/>
                <w:sz w:val="21"/>
                <w:szCs w:val="21"/>
                <w:highlight w:val="none"/>
                <w:lang w:val="zh-CN" w:eastAsia="zh-CN" w:bidi="ar-SA"/>
              </w:rPr>
            </w:pPr>
          </w:p>
        </w:tc>
        <w:tc>
          <w:tcPr>
            <w:tcW w:w="1176" w:type="dxa"/>
            <w:noWrap w:val="0"/>
            <w:vAlign w:val="center"/>
          </w:tcPr>
          <w:p w14:paraId="67D76921">
            <w:pPr>
              <w:keepNext w:val="0"/>
              <w:keepLines w:val="0"/>
              <w:widowControl/>
              <w:suppressLineNumbers w:val="0"/>
              <w:wordWrap w:val="0"/>
              <w:overflowPunct/>
              <w:topLinePunct/>
              <w:autoSpaceDE/>
              <w:autoSpaceDN/>
              <w:adjustRightInd/>
              <w:snapToGrid w:val="0"/>
              <w:spacing w:before="60" w:beforeAutospacing="0" w:after="60" w:afterAutospacing="0" w:line="312" w:lineRule="auto"/>
              <w:ind w:left="0" w:right="0"/>
              <w:jc w:val="center"/>
              <w:textAlignment w:val="auto"/>
              <w:rPr>
                <w:rFonts w:hint="eastAsia" w:ascii="宋体" w:hAnsi="宋体" w:eastAsia="宋体" w:cs="宋体"/>
                <w:bCs/>
                <w:color w:val="auto"/>
                <w:spacing w:val="0"/>
                <w:position w:val="0"/>
                <w:sz w:val="21"/>
                <w:szCs w:val="21"/>
                <w:highlight w:val="none"/>
                <w:lang w:eastAsia="zh-CN"/>
              </w:rPr>
            </w:pPr>
            <w:r>
              <w:rPr>
                <w:rFonts w:hint="eastAsia" w:ascii="宋体" w:hAnsi="宋体" w:eastAsia="宋体" w:cs="宋体"/>
                <w:bCs/>
                <w:color w:val="auto"/>
                <w:spacing w:val="0"/>
                <w:sz w:val="21"/>
                <w:szCs w:val="21"/>
                <w:highlight w:val="none"/>
              </w:rPr>
              <w:t>类似项目业绩</w:t>
            </w:r>
          </w:p>
        </w:tc>
        <w:tc>
          <w:tcPr>
            <w:tcW w:w="5835" w:type="dxa"/>
            <w:noWrap w:val="0"/>
            <w:vAlign w:val="center"/>
          </w:tcPr>
          <w:p w14:paraId="206AF9D3">
            <w:pPr>
              <w:keepNext w:val="0"/>
              <w:keepLines w:val="0"/>
              <w:pageBreakBefore w:val="0"/>
              <w:widowControl/>
              <w:suppressLineNumbers w:val="0"/>
              <w:kinsoku/>
              <w:wordWrap w:val="0"/>
              <w:overflowPunct/>
              <w:topLinePunct/>
              <w:autoSpaceDE/>
              <w:autoSpaceDN/>
              <w:bidi w:val="0"/>
              <w:snapToGrid w:val="0"/>
              <w:spacing w:before="60" w:beforeAutospacing="0" w:after="60" w:afterAutospacing="0" w:line="312" w:lineRule="auto"/>
              <w:ind w:left="0" w:right="0" w:firstLine="420" w:firstLineChars="200"/>
              <w:jc w:val="both"/>
              <w:textAlignment w:val="auto"/>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zh-CN"/>
              </w:rPr>
              <w:t>根据</w:t>
            </w:r>
            <w:r>
              <w:rPr>
                <w:rFonts w:hint="eastAsia" w:ascii="宋体" w:hAnsi="宋体" w:eastAsia="宋体" w:cs="宋体"/>
                <w:color w:val="auto"/>
                <w:sz w:val="21"/>
                <w:szCs w:val="21"/>
                <w:highlight w:val="none"/>
                <w:lang w:val="en-US" w:eastAsia="zh-CN"/>
              </w:rPr>
              <w:t>供应商</w:t>
            </w:r>
            <w:r>
              <w:rPr>
                <w:rFonts w:hint="eastAsia" w:ascii="宋体" w:hAnsi="宋体" w:cs="宋体"/>
                <w:color w:val="auto"/>
                <w:sz w:val="21"/>
                <w:szCs w:val="21"/>
                <w:highlight w:val="none"/>
                <w:lang w:val="en-US" w:eastAsia="zh-CN"/>
              </w:rPr>
              <w:t>2023年2月1日</w:t>
            </w:r>
            <w:r>
              <w:rPr>
                <w:rFonts w:hint="eastAsia" w:ascii="宋体" w:hAnsi="宋体" w:eastAsia="宋体" w:cs="宋体"/>
                <w:color w:val="auto"/>
                <w:sz w:val="21"/>
                <w:szCs w:val="21"/>
                <w:highlight w:val="none"/>
                <w:lang w:val="zh-CN"/>
              </w:rPr>
              <w:t>以来承接的类似项目的业绩的有效证明文件进行评价，每个有效业绩得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分，满分</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w:t>
            </w:r>
            <w:r>
              <w:rPr>
                <w:rFonts w:hint="eastAsia" w:ascii="宋体" w:hAnsi="宋体" w:eastAsia="宋体" w:cs="宋体"/>
                <w:color w:val="auto"/>
                <w:kern w:val="0"/>
                <w:sz w:val="21"/>
                <w:szCs w:val="21"/>
                <w:highlight w:val="none"/>
                <w:lang w:val="en-US" w:eastAsia="zh-CN"/>
              </w:rPr>
              <w:t>【以合同签订时间为准；有效证明文件包括该业绩的：采购合同文本复印件（同一个项目签订多份合同的只能计算一次，不重复计分）；</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须提供以上证明材料，否则该业绩不得分；】</w:t>
            </w:r>
          </w:p>
          <w:p w14:paraId="2CA375F2">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firstLine="422" w:firstLineChars="200"/>
              <w:jc w:val="left"/>
              <w:textAlignment w:val="baseline"/>
              <w:rPr>
                <w:rFonts w:hint="eastAsia" w:ascii="宋体" w:hAnsi="宋体" w:eastAsia="宋体" w:cs="宋体"/>
                <w:color w:val="auto"/>
                <w:sz w:val="21"/>
                <w:szCs w:val="21"/>
                <w:highlight w:val="none"/>
                <w:lang w:val="zh-CN"/>
              </w:rPr>
            </w:pPr>
            <w:r>
              <w:rPr>
                <w:rFonts w:hint="eastAsia" w:ascii="宋体" w:hAnsi="宋体" w:eastAsia="宋体" w:cs="宋体"/>
                <w:b/>
                <w:bCs/>
                <w:color w:val="auto"/>
                <w:kern w:val="0"/>
                <w:sz w:val="21"/>
                <w:szCs w:val="21"/>
                <w:highlight w:val="none"/>
                <w:lang w:val="en-US" w:eastAsia="zh-CN" w:bidi="ar"/>
              </w:rPr>
              <w:t>注：类似项目是指</w:t>
            </w:r>
            <w:r>
              <w:rPr>
                <w:rFonts w:hint="eastAsia" w:ascii="宋体" w:hAnsi="宋体" w:cs="宋体"/>
                <w:b/>
                <w:bCs/>
                <w:color w:val="auto"/>
                <w:kern w:val="0"/>
                <w:sz w:val="21"/>
                <w:szCs w:val="21"/>
                <w:highlight w:val="none"/>
                <w:lang w:val="en-US" w:eastAsia="zh-CN" w:bidi="ar"/>
              </w:rPr>
              <w:t>以</w:t>
            </w:r>
            <w:r>
              <w:rPr>
                <w:rFonts w:hint="eastAsia" w:ascii="宋体" w:hAnsi="宋体" w:eastAsia="宋体" w:cs="宋体"/>
                <w:b/>
                <w:bCs/>
                <w:color w:val="auto"/>
                <w:kern w:val="0"/>
                <w:sz w:val="21"/>
                <w:szCs w:val="21"/>
                <w:highlight w:val="none"/>
                <w:lang w:val="en-US" w:eastAsia="zh-CN" w:bidi="ar"/>
              </w:rPr>
              <w:t>办公用房为主的综合性物业管理服务</w:t>
            </w:r>
            <w:r>
              <w:rPr>
                <w:rFonts w:hint="eastAsia" w:ascii="宋体" w:hAnsi="宋体" w:eastAsia="宋体" w:cs="宋体"/>
                <w:b/>
                <w:bCs/>
                <w:color w:val="auto"/>
                <w:kern w:val="0"/>
                <w:sz w:val="21"/>
                <w:szCs w:val="21"/>
                <w:highlight w:val="none"/>
                <w:lang w:val="en-US" w:eastAsia="zh-CN" w:bidi="ar"/>
              </w:rPr>
              <w:t>项目（合同服务内容仅有</w:t>
            </w:r>
            <w:r>
              <w:rPr>
                <w:rFonts w:hint="eastAsia" w:ascii="宋体" w:hAnsi="宋体" w:cs="宋体"/>
                <w:b/>
                <w:bCs/>
                <w:color w:val="auto"/>
                <w:kern w:val="0"/>
                <w:sz w:val="21"/>
                <w:szCs w:val="21"/>
                <w:highlight w:val="none"/>
                <w:lang w:val="en-US" w:eastAsia="zh-CN" w:bidi="ar"/>
              </w:rPr>
              <w:t>秩序维护</w:t>
            </w:r>
            <w:r>
              <w:rPr>
                <w:rFonts w:hint="eastAsia" w:ascii="宋体" w:hAnsi="宋体" w:eastAsia="宋体" w:cs="宋体"/>
                <w:b/>
                <w:bCs/>
                <w:color w:val="auto"/>
                <w:kern w:val="0"/>
                <w:sz w:val="21"/>
                <w:szCs w:val="21"/>
                <w:highlight w:val="none"/>
                <w:lang w:val="en-US" w:eastAsia="zh-CN" w:bidi="ar"/>
              </w:rPr>
              <w:t>和保洁服务或仅有单项服务内容的项目均不得分）。</w:t>
            </w:r>
          </w:p>
        </w:tc>
        <w:tc>
          <w:tcPr>
            <w:tcW w:w="664" w:type="dxa"/>
            <w:noWrap w:val="0"/>
            <w:vAlign w:val="center"/>
          </w:tcPr>
          <w:p w14:paraId="7A679824">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r>
      <w:tr w14:paraId="104A4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36" w:type="dxa"/>
            <w:vMerge w:val="continue"/>
            <w:noWrap w:val="0"/>
            <w:vAlign w:val="center"/>
          </w:tcPr>
          <w:p w14:paraId="2541D8D3">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Cs/>
                <w:color w:val="auto"/>
                <w:sz w:val="21"/>
                <w:szCs w:val="21"/>
                <w:highlight w:val="none"/>
                <w:lang w:val="en-US" w:eastAsia="zh-CN"/>
              </w:rPr>
            </w:pPr>
          </w:p>
        </w:tc>
        <w:tc>
          <w:tcPr>
            <w:tcW w:w="1152" w:type="dxa"/>
            <w:vMerge w:val="continue"/>
            <w:noWrap w:val="0"/>
            <w:vAlign w:val="center"/>
          </w:tcPr>
          <w:p w14:paraId="52A155FD">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val="0"/>
                <w:color w:val="auto"/>
                <w:kern w:val="2"/>
                <w:sz w:val="21"/>
                <w:szCs w:val="21"/>
                <w:highlight w:val="none"/>
                <w:lang w:val="zh-CN" w:eastAsia="zh-CN" w:bidi="ar-SA"/>
              </w:rPr>
            </w:pPr>
          </w:p>
        </w:tc>
        <w:tc>
          <w:tcPr>
            <w:tcW w:w="1176" w:type="dxa"/>
            <w:noWrap w:val="0"/>
            <w:vAlign w:val="center"/>
          </w:tcPr>
          <w:p w14:paraId="1634EFF1">
            <w:pPr>
              <w:keepNext w:val="0"/>
              <w:keepLines w:val="0"/>
              <w:widowControl/>
              <w:suppressLineNumbers w:val="0"/>
              <w:wordWrap w:val="0"/>
              <w:overflowPunct/>
              <w:topLinePunct/>
              <w:autoSpaceDE/>
              <w:autoSpaceDN/>
              <w:adjustRightInd/>
              <w:snapToGrid w:val="0"/>
              <w:spacing w:before="60" w:beforeAutospacing="0" w:after="60" w:afterAutospacing="0" w:line="312" w:lineRule="auto"/>
              <w:ind w:left="0" w:right="0"/>
              <w:jc w:val="center"/>
              <w:textAlignment w:val="auto"/>
              <w:rPr>
                <w:rFonts w:hint="default" w:ascii="宋体" w:hAnsi="宋体" w:eastAsia="宋体" w:cs="宋体"/>
                <w:bCs/>
                <w:color w:val="auto"/>
                <w:spacing w:val="0"/>
                <w:position w:val="0"/>
                <w:sz w:val="21"/>
                <w:szCs w:val="21"/>
                <w:highlight w:val="none"/>
                <w:lang w:val="en-US"/>
              </w:rPr>
            </w:pPr>
            <w:r>
              <w:rPr>
                <w:rFonts w:hint="eastAsia" w:ascii="宋体" w:hAnsi="宋体" w:cs="宋体"/>
                <w:bCs/>
                <w:color w:val="auto"/>
                <w:sz w:val="21"/>
                <w:szCs w:val="21"/>
                <w:highlight w:val="none"/>
                <w:lang w:val="en-US" w:eastAsia="zh-CN"/>
              </w:rPr>
              <w:t>技术力量</w:t>
            </w:r>
          </w:p>
        </w:tc>
        <w:tc>
          <w:tcPr>
            <w:tcW w:w="5835" w:type="dxa"/>
            <w:noWrap w:val="0"/>
            <w:vAlign w:val="center"/>
          </w:tcPr>
          <w:p w14:paraId="2D1C6490">
            <w:pPr>
              <w:keepNext w:val="0"/>
              <w:keepLines w:val="0"/>
              <w:pageBreakBefore w:val="0"/>
              <w:widowControl/>
              <w:suppressLineNumbers w:val="0"/>
              <w:wordWrap w:val="0"/>
              <w:overflowPunct/>
              <w:topLinePunct/>
              <w:autoSpaceDE/>
              <w:autoSpaceDN/>
              <w:bidi w:val="0"/>
              <w:adjustRightInd w:val="0"/>
              <w:snapToGrid w:val="0"/>
              <w:spacing w:before="60" w:beforeAutospacing="0" w:after="60" w:afterAutospacing="0" w:line="312" w:lineRule="auto"/>
              <w:ind w:left="0" w:right="0" w:firstLine="420" w:firstLineChars="200"/>
              <w:jc w:val="both"/>
              <w:textAlignment w:val="baseline"/>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拟投入服务人员在满足本项目采购需求“</w:t>
            </w:r>
            <w:r>
              <w:rPr>
                <w:rFonts w:hint="eastAsia" w:ascii="宋体" w:hAnsi="宋体" w:cs="宋体"/>
                <w:color w:val="auto"/>
                <w:kern w:val="0"/>
                <w:sz w:val="21"/>
                <w:szCs w:val="21"/>
                <w:highlight w:val="none"/>
                <w:lang w:val="en-US" w:eastAsia="zh-CN"/>
              </w:rPr>
              <w:t>人员配置要求</w:t>
            </w: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的</w:t>
            </w:r>
            <w:r>
              <w:rPr>
                <w:rFonts w:hint="eastAsia" w:ascii="宋体" w:hAnsi="宋体" w:eastAsia="宋体" w:cs="宋体"/>
                <w:color w:val="auto"/>
                <w:kern w:val="0"/>
                <w:sz w:val="21"/>
                <w:szCs w:val="21"/>
                <w:highlight w:val="none"/>
                <w:lang w:val="en-US" w:eastAsia="zh-CN"/>
              </w:rPr>
              <w:t>基础上，对下列指标进行考核评分：</w:t>
            </w:r>
          </w:p>
          <w:p w14:paraId="31E2FD65">
            <w:pPr>
              <w:keepNext w:val="0"/>
              <w:keepLines w:val="0"/>
              <w:pageBreakBefore w:val="0"/>
              <w:widowControl/>
              <w:suppressLineNumbers w:val="0"/>
              <w:wordWrap w:val="0"/>
              <w:overflowPunct/>
              <w:topLinePunct/>
              <w:autoSpaceDE/>
              <w:autoSpaceDN/>
              <w:bidi w:val="0"/>
              <w:adjustRightInd w:val="0"/>
              <w:snapToGrid w:val="0"/>
              <w:spacing w:before="60" w:beforeAutospacing="0" w:after="60" w:afterAutospacing="0" w:line="312" w:lineRule="auto"/>
              <w:ind w:left="0" w:right="0" w:firstLine="422" w:firstLineChars="200"/>
              <w:jc w:val="both"/>
              <w:textAlignment w:val="baseline"/>
              <w:outlineLvl w:val="9"/>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（1）项目经理</w:t>
            </w:r>
            <w:r>
              <w:rPr>
                <w:rFonts w:hint="eastAsia" w:ascii="宋体" w:hAnsi="宋体" w:cs="宋体"/>
                <w:b/>
                <w:bCs/>
                <w:color w:val="auto"/>
                <w:kern w:val="0"/>
                <w:sz w:val="21"/>
                <w:szCs w:val="21"/>
                <w:highlight w:val="none"/>
                <w:lang w:val="en-US" w:eastAsia="zh-CN"/>
              </w:rPr>
              <w:t>岗</w:t>
            </w:r>
            <w:r>
              <w:rPr>
                <w:rFonts w:hint="eastAsia" w:ascii="宋体" w:hAnsi="宋体" w:eastAsia="宋体" w:cs="宋体"/>
                <w:b/>
                <w:bCs/>
                <w:color w:val="auto"/>
                <w:kern w:val="0"/>
                <w:sz w:val="21"/>
                <w:szCs w:val="21"/>
                <w:highlight w:val="none"/>
                <w:lang w:val="en-US" w:eastAsia="zh-CN"/>
              </w:rPr>
              <w:t>1人（满分</w:t>
            </w:r>
            <w:r>
              <w:rPr>
                <w:rFonts w:hint="eastAsia" w:ascii="宋体" w:hAnsi="宋体" w:cs="宋体"/>
                <w:b/>
                <w:bCs/>
                <w:color w:val="auto"/>
                <w:kern w:val="0"/>
                <w:sz w:val="21"/>
                <w:szCs w:val="21"/>
                <w:highlight w:val="none"/>
                <w:lang w:val="en-US" w:eastAsia="zh-CN"/>
              </w:rPr>
              <w:t>2</w:t>
            </w:r>
            <w:r>
              <w:rPr>
                <w:rFonts w:hint="eastAsia" w:ascii="宋体" w:hAnsi="宋体" w:eastAsia="宋体" w:cs="宋体"/>
                <w:b/>
                <w:bCs/>
                <w:color w:val="auto"/>
                <w:kern w:val="0"/>
                <w:sz w:val="21"/>
                <w:szCs w:val="21"/>
                <w:highlight w:val="none"/>
                <w:lang w:val="en-US" w:eastAsia="zh-CN"/>
              </w:rPr>
              <w:t>分）：</w:t>
            </w:r>
          </w:p>
          <w:p w14:paraId="3ECD24B3">
            <w:pPr>
              <w:keepNext w:val="0"/>
              <w:keepLines w:val="0"/>
              <w:pageBreakBefore w:val="0"/>
              <w:widowControl/>
              <w:suppressLineNumbers w:val="0"/>
              <w:wordWrap w:val="0"/>
              <w:overflowPunct/>
              <w:topLinePunct/>
              <w:autoSpaceDE/>
              <w:autoSpaceDN/>
              <w:bidi w:val="0"/>
              <w:adjustRightInd w:val="0"/>
              <w:snapToGrid w:val="0"/>
              <w:spacing w:before="60" w:beforeAutospacing="0" w:after="60" w:afterAutospacing="0" w:line="312" w:lineRule="auto"/>
              <w:ind w:left="0" w:right="0" w:firstLine="420" w:firstLineChars="200"/>
              <w:jc w:val="both"/>
              <w:textAlignment w:val="baseline"/>
              <w:outlineLvl w:val="9"/>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具</w:t>
            </w:r>
            <w:r>
              <w:rPr>
                <w:rFonts w:hint="eastAsia" w:ascii="宋体" w:hAnsi="宋体" w:eastAsia="宋体" w:cs="宋体"/>
                <w:color w:val="auto"/>
                <w:kern w:val="0"/>
                <w:sz w:val="21"/>
                <w:szCs w:val="21"/>
                <w:highlight w:val="none"/>
                <w:lang w:val="en-US" w:eastAsia="zh-CN"/>
              </w:rPr>
              <w:t>有</w:t>
            </w:r>
            <w:r>
              <w:rPr>
                <w:rFonts w:hint="eastAsia"/>
                <w:color w:val="auto"/>
                <w:highlight w:val="none"/>
                <w:lang w:val="en-US" w:eastAsia="zh-CN"/>
              </w:rPr>
              <w:t>1</w:t>
            </w:r>
            <w:r>
              <w:rPr>
                <w:rFonts w:hint="eastAsia" w:ascii="宋体" w:hAnsi="宋体" w:cs="宋体"/>
                <w:color w:val="auto"/>
                <w:kern w:val="0"/>
                <w:sz w:val="21"/>
                <w:szCs w:val="21"/>
                <w:highlight w:val="none"/>
                <w:lang w:val="en-US" w:eastAsia="zh-CN"/>
              </w:rPr>
              <w:t>年以上不满3年物业项目经理任职经验的，得0.5分；具</w:t>
            </w:r>
            <w:r>
              <w:rPr>
                <w:rFonts w:hint="eastAsia" w:ascii="宋体" w:hAnsi="宋体" w:eastAsia="宋体" w:cs="宋体"/>
                <w:color w:val="auto"/>
                <w:kern w:val="0"/>
                <w:sz w:val="21"/>
                <w:szCs w:val="21"/>
                <w:highlight w:val="none"/>
                <w:lang w:val="en-US" w:eastAsia="zh-CN"/>
              </w:rPr>
              <w:t>有</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年以上</w:t>
            </w:r>
            <w:r>
              <w:rPr>
                <w:rFonts w:hint="eastAsia" w:ascii="宋体" w:hAnsi="宋体" w:cs="宋体"/>
                <w:color w:val="auto"/>
                <w:kern w:val="0"/>
                <w:sz w:val="21"/>
                <w:szCs w:val="21"/>
                <w:highlight w:val="none"/>
                <w:lang w:val="en-US" w:eastAsia="zh-CN"/>
              </w:rPr>
              <w:t>项目经理任职经验的，得1分。具备本科及以上学历，且同时持有中级或以上职称证及</w:t>
            </w:r>
            <w:r>
              <w:rPr>
                <w:rFonts w:hint="eastAsia"/>
                <w:color w:val="auto"/>
                <w:highlight w:val="none"/>
                <w:lang w:val="en-US" w:eastAsia="zh-CN"/>
              </w:rPr>
              <w:t>人力资源社会保障部和住房城乡建设部颁发的</w:t>
            </w:r>
            <w:r>
              <w:rPr>
                <w:rFonts w:hint="eastAsia"/>
                <w:color w:val="auto"/>
                <w:highlight w:val="none"/>
              </w:rPr>
              <w:t>物业管理师</w:t>
            </w:r>
            <w:r>
              <w:rPr>
                <w:rFonts w:hint="eastAsia"/>
                <w:color w:val="auto"/>
                <w:highlight w:val="none"/>
                <w:lang w:val="en-US" w:eastAsia="zh-CN"/>
              </w:rPr>
              <w:t>资格</w:t>
            </w:r>
            <w:r>
              <w:rPr>
                <w:rFonts w:hint="eastAsia"/>
                <w:color w:val="auto"/>
                <w:highlight w:val="none"/>
              </w:rPr>
              <w:t>证</w:t>
            </w:r>
            <w:r>
              <w:rPr>
                <w:rFonts w:hint="eastAsia" w:ascii="宋体" w:hAnsi="宋体" w:cs="宋体"/>
                <w:color w:val="auto"/>
                <w:kern w:val="0"/>
                <w:sz w:val="21"/>
                <w:szCs w:val="21"/>
                <w:highlight w:val="none"/>
                <w:lang w:val="en-US" w:eastAsia="zh-CN"/>
              </w:rPr>
              <w:t>的，得1分。</w:t>
            </w:r>
          </w:p>
          <w:p w14:paraId="0A8801B8">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firstLine="422" w:firstLineChars="200"/>
              <w:textAlignment w:val="baseline"/>
              <w:outlineLvl w:val="9"/>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（2）管理兼会务服务岗3人（满分3分）：</w:t>
            </w:r>
          </w:p>
          <w:p w14:paraId="73F9E1BE">
            <w:pPr>
              <w:keepNext w:val="0"/>
              <w:keepLines w:val="0"/>
              <w:widowControl/>
              <w:suppressLineNumbers w:val="0"/>
              <w:wordWrap w:val="0"/>
              <w:topLinePunct/>
              <w:adjustRightInd w:val="0"/>
              <w:snapToGrid w:val="0"/>
              <w:spacing w:before="60" w:beforeAutospacing="0" w:after="60" w:afterAutospacing="0" w:line="312" w:lineRule="auto"/>
              <w:ind w:left="0" w:right="0" w:firstLine="420" w:firstLineChars="200"/>
              <w:textAlignment w:val="baseline"/>
              <w:outlineLvl w:val="9"/>
              <w:rPr>
                <w:rFonts w:hint="default" w:ascii="宋体" w:hAnsi="宋体" w:eastAsia="宋体" w:cs="宋体"/>
                <w:b w:val="0"/>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具</w:t>
            </w:r>
            <w:r>
              <w:rPr>
                <w:rFonts w:hint="eastAsia" w:ascii="宋体" w:hAnsi="宋体" w:eastAsia="宋体" w:cs="宋体"/>
                <w:b w:val="0"/>
                <w:color w:val="auto"/>
                <w:kern w:val="0"/>
                <w:sz w:val="21"/>
                <w:szCs w:val="21"/>
                <w:highlight w:val="none"/>
                <w:lang w:val="en-US" w:eastAsia="zh-CN" w:bidi="ar-SA"/>
              </w:rPr>
              <w:t>有</w:t>
            </w:r>
            <w:r>
              <w:rPr>
                <w:rFonts w:hint="eastAsia" w:ascii="宋体" w:hAnsi="宋体" w:cs="宋体"/>
                <w:b w:val="0"/>
                <w:color w:val="auto"/>
                <w:kern w:val="0"/>
                <w:sz w:val="21"/>
                <w:szCs w:val="21"/>
                <w:highlight w:val="none"/>
                <w:lang w:val="en-US" w:eastAsia="zh-CN" w:bidi="ar-SA"/>
              </w:rPr>
              <w:t>1</w:t>
            </w:r>
            <w:r>
              <w:rPr>
                <w:rFonts w:hint="eastAsia" w:ascii="宋体" w:hAnsi="宋体" w:eastAsia="宋体" w:cs="宋体"/>
                <w:b w:val="0"/>
                <w:color w:val="auto"/>
                <w:kern w:val="0"/>
                <w:sz w:val="21"/>
                <w:szCs w:val="21"/>
                <w:highlight w:val="none"/>
                <w:lang w:val="en-US" w:eastAsia="zh-CN" w:bidi="ar-SA"/>
              </w:rPr>
              <w:t>年以上</w:t>
            </w:r>
            <w:r>
              <w:rPr>
                <w:rFonts w:hint="eastAsia" w:ascii="宋体" w:hAnsi="宋体" w:cs="宋体"/>
                <w:b w:val="0"/>
                <w:color w:val="auto"/>
                <w:kern w:val="0"/>
                <w:sz w:val="21"/>
                <w:szCs w:val="21"/>
                <w:highlight w:val="none"/>
                <w:lang w:val="en-US" w:eastAsia="zh-CN" w:bidi="ar-SA"/>
              </w:rPr>
              <w:t>从事物业服务或会务服务经验</w:t>
            </w:r>
            <w:r>
              <w:rPr>
                <w:rFonts w:hint="eastAsia" w:ascii="宋体" w:hAnsi="宋体" w:eastAsia="宋体" w:cs="宋体"/>
                <w:b w:val="0"/>
                <w:color w:val="auto"/>
                <w:kern w:val="0"/>
                <w:sz w:val="21"/>
                <w:szCs w:val="21"/>
                <w:highlight w:val="none"/>
                <w:lang w:val="en-US" w:eastAsia="zh-CN" w:bidi="ar-SA"/>
              </w:rPr>
              <w:t>的，</w:t>
            </w:r>
            <w:r>
              <w:rPr>
                <w:rFonts w:hint="eastAsia" w:ascii="宋体" w:hAnsi="宋体" w:cs="宋体"/>
                <w:b w:val="0"/>
                <w:color w:val="auto"/>
                <w:kern w:val="0"/>
                <w:sz w:val="21"/>
                <w:szCs w:val="21"/>
                <w:highlight w:val="none"/>
                <w:lang w:val="en-US" w:eastAsia="zh-CN" w:bidi="ar-SA"/>
              </w:rPr>
              <w:t>每人</w:t>
            </w:r>
            <w:r>
              <w:rPr>
                <w:rFonts w:hint="eastAsia" w:ascii="宋体" w:hAnsi="宋体" w:eastAsia="宋体" w:cs="宋体"/>
                <w:b w:val="0"/>
                <w:color w:val="auto"/>
                <w:kern w:val="0"/>
                <w:sz w:val="21"/>
                <w:szCs w:val="21"/>
                <w:highlight w:val="none"/>
                <w:lang w:val="en-US" w:eastAsia="zh-CN" w:bidi="ar-SA"/>
              </w:rPr>
              <w:t>得</w:t>
            </w:r>
            <w:r>
              <w:rPr>
                <w:rFonts w:hint="eastAsia" w:ascii="宋体" w:hAnsi="宋体" w:cs="宋体"/>
                <w:b w:val="0"/>
                <w:color w:val="auto"/>
                <w:kern w:val="0"/>
                <w:sz w:val="21"/>
                <w:szCs w:val="21"/>
                <w:highlight w:val="none"/>
                <w:lang w:val="en-US" w:eastAsia="zh-CN" w:bidi="ar-SA"/>
              </w:rPr>
              <w:t>0.5</w:t>
            </w:r>
            <w:r>
              <w:rPr>
                <w:rFonts w:hint="eastAsia" w:ascii="宋体" w:hAnsi="宋体" w:eastAsia="宋体" w:cs="宋体"/>
                <w:b w:val="0"/>
                <w:color w:val="auto"/>
                <w:kern w:val="0"/>
                <w:sz w:val="21"/>
                <w:szCs w:val="21"/>
                <w:highlight w:val="none"/>
                <w:lang w:val="en-US" w:eastAsia="zh-CN" w:bidi="ar-SA"/>
              </w:rPr>
              <w:t>分。</w:t>
            </w:r>
            <w:r>
              <w:rPr>
                <w:rFonts w:hint="eastAsia" w:ascii="宋体" w:hAnsi="宋体" w:cs="宋体"/>
                <w:b w:val="0"/>
                <w:color w:val="auto"/>
                <w:kern w:val="0"/>
                <w:sz w:val="21"/>
                <w:szCs w:val="21"/>
                <w:highlight w:val="none"/>
                <w:lang w:val="en-US" w:eastAsia="zh-CN" w:bidi="ar-SA"/>
              </w:rPr>
              <w:t>同时持有职业技能等级证书（物业管理师四级/中级工）及职业技能等级证书（智能楼宇管理员四级/中级工），每有1人得0.5分。</w:t>
            </w:r>
          </w:p>
          <w:p w14:paraId="6B070263">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firstLine="422" w:firstLineChars="200"/>
              <w:textAlignment w:val="baseline"/>
              <w:outlineLvl w:val="9"/>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（3）秩序维护9人（满分4.5分）：</w:t>
            </w:r>
          </w:p>
          <w:p w14:paraId="0C18A4A8">
            <w:pPr>
              <w:keepNext w:val="0"/>
              <w:keepLines w:val="0"/>
              <w:widowControl/>
              <w:suppressLineNumbers w:val="0"/>
              <w:wordWrap w:val="0"/>
              <w:topLinePunct/>
              <w:adjustRightInd w:val="0"/>
              <w:snapToGrid w:val="0"/>
              <w:spacing w:before="60" w:beforeAutospacing="0" w:after="60" w:afterAutospacing="0" w:line="312" w:lineRule="auto"/>
              <w:ind w:left="0" w:right="0" w:firstLine="420" w:firstLineChars="200"/>
              <w:textAlignment w:val="baseline"/>
              <w:outlineLvl w:val="9"/>
              <w:rPr>
                <w:rFonts w:hint="default" w:ascii="宋体" w:hAnsi="宋体" w:eastAsia="宋体" w:cs="宋体"/>
                <w:b w:val="0"/>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rPr>
              <w:t>具</w:t>
            </w:r>
            <w:r>
              <w:rPr>
                <w:rFonts w:hint="eastAsia" w:ascii="宋体" w:hAnsi="宋体" w:eastAsia="宋体" w:cs="宋体"/>
                <w:b w:val="0"/>
                <w:color w:val="auto"/>
                <w:kern w:val="0"/>
                <w:sz w:val="21"/>
                <w:szCs w:val="21"/>
                <w:highlight w:val="none"/>
                <w:lang w:val="en-US" w:eastAsia="zh-CN" w:bidi="ar-SA"/>
              </w:rPr>
              <w:t>有</w:t>
            </w:r>
            <w:r>
              <w:rPr>
                <w:rFonts w:hint="eastAsia" w:ascii="宋体" w:hAnsi="宋体" w:cs="宋体"/>
                <w:b w:val="0"/>
                <w:color w:val="auto"/>
                <w:kern w:val="0"/>
                <w:sz w:val="21"/>
                <w:szCs w:val="21"/>
                <w:highlight w:val="none"/>
                <w:lang w:val="en-US" w:eastAsia="zh-CN" w:bidi="ar-SA"/>
              </w:rPr>
              <w:t>保安员证</w:t>
            </w:r>
            <w:r>
              <w:rPr>
                <w:rFonts w:hint="eastAsia" w:ascii="宋体" w:hAnsi="宋体" w:eastAsia="宋体" w:cs="宋体"/>
                <w:b w:val="0"/>
                <w:color w:val="auto"/>
                <w:kern w:val="0"/>
                <w:sz w:val="21"/>
                <w:szCs w:val="21"/>
                <w:highlight w:val="none"/>
                <w:lang w:val="en-US" w:eastAsia="zh-CN" w:bidi="ar-SA"/>
              </w:rPr>
              <w:t>的，</w:t>
            </w:r>
            <w:r>
              <w:rPr>
                <w:rFonts w:hint="eastAsia" w:ascii="宋体" w:hAnsi="宋体" w:cs="宋体"/>
                <w:b w:val="0"/>
                <w:color w:val="auto"/>
                <w:kern w:val="0"/>
                <w:sz w:val="21"/>
                <w:szCs w:val="21"/>
                <w:highlight w:val="none"/>
                <w:lang w:val="en-US" w:eastAsia="zh-CN" w:bidi="ar-SA"/>
              </w:rPr>
              <w:t>每人</w:t>
            </w:r>
            <w:r>
              <w:rPr>
                <w:rFonts w:hint="eastAsia" w:ascii="宋体" w:hAnsi="宋体" w:eastAsia="宋体" w:cs="宋体"/>
                <w:b w:val="0"/>
                <w:color w:val="auto"/>
                <w:kern w:val="0"/>
                <w:sz w:val="21"/>
                <w:szCs w:val="21"/>
                <w:highlight w:val="none"/>
                <w:lang w:val="en-US" w:eastAsia="zh-CN" w:bidi="ar-SA"/>
              </w:rPr>
              <w:t>得</w:t>
            </w:r>
            <w:r>
              <w:rPr>
                <w:rFonts w:hint="eastAsia" w:ascii="宋体" w:hAnsi="宋体" w:cs="宋体"/>
                <w:b w:val="0"/>
                <w:color w:val="auto"/>
                <w:kern w:val="0"/>
                <w:sz w:val="21"/>
                <w:szCs w:val="21"/>
                <w:highlight w:val="none"/>
                <w:lang w:val="en-US" w:eastAsia="zh-CN" w:bidi="ar-SA"/>
              </w:rPr>
              <w:t>0.5</w:t>
            </w:r>
            <w:r>
              <w:rPr>
                <w:rFonts w:hint="eastAsia" w:ascii="宋体" w:hAnsi="宋体" w:eastAsia="宋体" w:cs="宋体"/>
                <w:b w:val="0"/>
                <w:color w:val="auto"/>
                <w:kern w:val="0"/>
                <w:sz w:val="21"/>
                <w:szCs w:val="21"/>
                <w:highlight w:val="none"/>
                <w:lang w:val="en-US" w:eastAsia="zh-CN" w:bidi="ar-SA"/>
              </w:rPr>
              <w:t>分。</w:t>
            </w:r>
          </w:p>
          <w:p w14:paraId="7D9DA3E4">
            <w:pPr>
              <w:pStyle w:val="14"/>
              <w:keepNext w:val="0"/>
              <w:keepLines w:val="0"/>
              <w:suppressLineNumbers w:val="0"/>
              <w:kinsoku/>
              <w:wordWrap w:val="0"/>
              <w:topLinePunct/>
              <w:autoSpaceDE/>
              <w:autoSpaceDN/>
              <w:spacing w:before="60" w:after="60" w:line="312" w:lineRule="auto"/>
              <w:ind w:left="0" w:right="0" w:firstLine="420"/>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（4）</w:t>
            </w:r>
            <w:r>
              <w:rPr>
                <w:rFonts w:hint="eastAsia" w:ascii="宋体" w:hAnsi="宋体" w:eastAsia="宋体" w:cs="宋体"/>
                <w:b/>
                <w:bCs/>
                <w:color w:val="auto"/>
                <w:kern w:val="0"/>
                <w:sz w:val="21"/>
                <w:szCs w:val="21"/>
                <w:highlight w:val="none"/>
                <w:lang w:val="en-US" w:eastAsia="zh-CN"/>
              </w:rPr>
              <w:t>保洁人员</w:t>
            </w:r>
            <w:r>
              <w:rPr>
                <w:rFonts w:hint="eastAsia" w:ascii="宋体" w:hAnsi="宋体" w:cs="宋体"/>
                <w:b/>
                <w:bCs/>
                <w:color w:val="auto"/>
                <w:kern w:val="0"/>
                <w:sz w:val="21"/>
                <w:szCs w:val="21"/>
                <w:highlight w:val="none"/>
                <w:lang w:val="en-US" w:eastAsia="zh-CN"/>
              </w:rPr>
              <w:t>6人</w:t>
            </w:r>
            <w:r>
              <w:rPr>
                <w:rFonts w:hint="eastAsia" w:ascii="宋体" w:hAnsi="宋体" w:eastAsia="宋体" w:cs="宋体"/>
                <w:b/>
                <w:bCs/>
                <w:color w:val="auto"/>
                <w:kern w:val="0"/>
                <w:sz w:val="21"/>
                <w:szCs w:val="21"/>
                <w:highlight w:val="none"/>
                <w:lang w:val="en-US" w:eastAsia="zh-CN"/>
              </w:rPr>
              <w:t>（满分3.5分）</w:t>
            </w:r>
          </w:p>
          <w:p w14:paraId="72441EEE">
            <w:pPr>
              <w:keepNext w:val="0"/>
              <w:keepLines w:val="0"/>
              <w:pageBreakBefore w:val="0"/>
              <w:widowControl/>
              <w:suppressLineNumbers w:val="0"/>
              <w:wordWrap w:val="0"/>
              <w:overflowPunct/>
              <w:topLinePunct/>
              <w:autoSpaceDE/>
              <w:autoSpaceDN/>
              <w:bidi w:val="0"/>
              <w:adjustRightInd w:val="0"/>
              <w:snapToGrid w:val="0"/>
              <w:spacing w:before="60" w:beforeAutospacing="0" w:after="60" w:afterAutospacing="0" w:line="312" w:lineRule="auto"/>
              <w:ind w:left="0" w:right="0" w:firstLine="420" w:firstLineChars="200"/>
              <w:jc w:val="both"/>
              <w:textAlignment w:val="baseline"/>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具</w:t>
            </w:r>
            <w:r>
              <w:rPr>
                <w:rFonts w:hint="eastAsia" w:ascii="宋体" w:hAnsi="宋体" w:eastAsia="宋体" w:cs="宋体"/>
                <w:color w:val="auto"/>
                <w:kern w:val="0"/>
                <w:sz w:val="21"/>
                <w:szCs w:val="21"/>
                <w:highlight w:val="none"/>
                <w:lang w:val="en-US" w:eastAsia="zh-CN"/>
              </w:rPr>
              <w:t>有</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年以上从事</w:t>
            </w:r>
            <w:r>
              <w:rPr>
                <w:rFonts w:hint="eastAsia"/>
                <w:color w:val="auto"/>
                <w:highlight w:val="none"/>
              </w:rPr>
              <w:t>物业服务相关工作经验</w:t>
            </w:r>
            <w:r>
              <w:rPr>
                <w:rFonts w:hint="eastAsia" w:ascii="宋体" w:hAnsi="宋体" w:eastAsia="宋体" w:cs="宋体"/>
                <w:color w:val="auto"/>
                <w:kern w:val="0"/>
                <w:sz w:val="21"/>
                <w:szCs w:val="21"/>
                <w:highlight w:val="none"/>
                <w:lang w:val="en-US" w:eastAsia="zh-CN"/>
              </w:rPr>
              <w:t>的，每一人得</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持有</w:t>
            </w:r>
            <w:r>
              <w:rPr>
                <w:rFonts w:hint="eastAsia" w:ascii="宋体" w:hAnsi="宋体" w:cs="宋体"/>
                <w:b w:val="0"/>
                <w:color w:val="auto"/>
                <w:kern w:val="0"/>
                <w:sz w:val="21"/>
                <w:szCs w:val="21"/>
                <w:highlight w:val="none"/>
                <w:lang w:val="en-US" w:eastAsia="zh-CN" w:bidi="ar-SA"/>
              </w:rPr>
              <w:t>职业技能等级证书（保洁员四级/中级工），每有1人得0.5分。</w:t>
            </w:r>
          </w:p>
          <w:p w14:paraId="45A57369">
            <w:pPr>
              <w:pStyle w:val="14"/>
              <w:keepNext w:val="0"/>
              <w:keepLines w:val="0"/>
              <w:pageBreakBefore w:val="0"/>
              <w:widowControl/>
              <w:suppressLineNumbers w:val="0"/>
              <w:kinsoku/>
              <w:wordWrap w:val="0"/>
              <w:overflowPunct/>
              <w:topLinePunct/>
              <w:autoSpaceDE/>
              <w:autoSpaceDN/>
              <w:bidi w:val="0"/>
              <w:adjustRightInd w:val="0"/>
              <w:snapToGrid w:val="0"/>
              <w:spacing w:before="60" w:after="60" w:line="312" w:lineRule="auto"/>
              <w:ind w:left="0" w:right="0" w:firstLine="420" w:firstLineChars="200"/>
              <w:jc w:val="both"/>
              <w:textAlignment w:val="baseline"/>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lang w:val="en-US" w:eastAsia="zh-CN"/>
              </w:rPr>
              <w:t>技术岗2</w:t>
            </w:r>
            <w:r>
              <w:rPr>
                <w:rFonts w:hint="eastAsia" w:ascii="宋体" w:hAnsi="宋体" w:cs="宋体"/>
                <w:b/>
                <w:bCs/>
                <w:color w:val="auto"/>
                <w:kern w:val="0"/>
                <w:sz w:val="21"/>
                <w:szCs w:val="21"/>
                <w:highlight w:val="none"/>
                <w:lang w:val="en-US" w:eastAsia="zh-CN"/>
              </w:rPr>
              <w:t>人</w:t>
            </w:r>
            <w:r>
              <w:rPr>
                <w:rFonts w:hint="eastAsia" w:ascii="宋体" w:hAnsi="宋体" w:eastAsia="宋体" w:cs="宋体"/>
                <w:b/>
                <w:bCs/>
                <w:color w:val="auto"/>
                <w:kern w:val="0"/>
                <w:sz w:val="21"/>
                <w:szCs w:val="21"/>
                <w:highlight w:val="none"/>
                <w:lang w:val="en-US" w:eastAsia="zh-CN"/>
              </w:rPr>
              <w:t>（满分2分）</w:t>
            </w:r>
          </w:p>
          <w:p w14:paraId="69162D84">
            <w:pPr>
              <w:keepNext w:val="0"/>
              <w:keepLines w:val="0"/>
              <w:pageBreakBefore w:val="0"/>
              <w:widowControl/>
              <w:suppressLineNumbers w:val="0"/>
              <w:wordWrap w:val="0"/>
              <w:overflowPunct/>
              <w:topLinePunct/>
              <w:autoSpaceDE/>
              <w:autoSpaceDN/>
              <w:bidi w:val="0"/>
              <w:adjustRightInd w:val="0"/>
              <w:snapToGrid w:val="0"/>
              <w:spacing w:before="60" w:beforeAutospacing="0" w:after="60" w:afterAutospacing="0" w:line="312" w:lineRule="auto"/>
              <w:ind w:left="0" w:right="0" w:firstLine="420" w:firstLineChars="200"/>
              <w:jc w:val="both"/>
              <w:textAlignment w:val="baseline"/>
              <w:outlineLvl w:val="9"/>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具</w:t>
            </w:r>
            <w:r>
              <w:rPr>
                <w:rFonts w:hint="eastAsia" w:ascii="宋体" w:hAnsi="宋体" w:eastAsia="宋体" w:cs="宋体"/>
                <w:color w:val="auto"/>
                <w:kern w:val="0"/>
                <w:sz w:val="21"/>
                <w:szCs w:val="21"/>
                <w:highlight w:val="none"/>
                <w:lang w:val="en-US" w:eastAsia="zh-CN"/>
              </w:rPr>
              <w:t>有</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年以上从事</w:t>
            </w:r>
            <w:r>
              <w:rPr>
                <w:rFonts w:hint="eastAsia" w:ascii="宋体" w:hAnsi="宋体" w:cs="黑体"/>
                <w:b w:val="0"/>
                <w:bCs w:val="0"/>
                <w:color w:val="auto"/>
                <w:szCs w:val="21"/>
                <w:highlight w:val="none"/>
                <w:lang w:val="en-US" w:eastAsia="zh-CN"/>
              </w:rPr>
              <w:t>设施设备的维护、维修</w:t>
            </w:r>
            <w:r>
              <w:rPr>
                <w:rFonts w:hint="eastAsia"/>
                <w:color w:val="auto"/>
                <w:highlight w:val="none"/>
              </w:rPr>
              <w:t>相关工作经验</w:t>
            </w:r>
            <w:r>
              <w:rPr>
                <w:rFonts w:hint="eastAsia" w:ascii="宋体" w:hAnsi="宋体" w:eastAsia="宋体" w:cs="宋体"/>
                <w:color w:val="auto"/>
                <w:kern w:val="0"/>
                <w:sz w:val="21"/>
                <w:szCs w:val="21"/>
                <w:highlight w:val="none"/>
                <w:lang w:val="en-US" w:eastAsia="zh-CN"/>
              </w:rPr>
              <w:t>的，每一人得</w:t>
            </w:r>
            <w:r>
              <w:rPr>
                <w:rFonts w:hint="eastAsia" w:ascii="宋体" w:hAnsi="宋体" w:cs="宋体"/>
                <w:color w:val="auto"/>
                <w:kern w:val="0"/>
                <w:sz w:val="21"/>
                <w:szCs w:val="21"/>
                <w:highlight w:val="none"/>
                <w:lang w:val="en-US" w:eastAsia="zh-CN"/>
              </w:rPr>
              <w:t>0.5</w:t>
            </w:r>
            <w:r>
              <w:rPr>
                <w:rFonts w:hint="eastAsia" w:ascii="宋体" w:hAnsi="宋体" w:eastAsia="宋体" w:cs="宋体"/>
                <w:color w:val="auto"/>
                <w:kern w:val="0"/>
                <w:sz w:val="21"/>
                <w:szCs w:val="21"/>
                <w:highlight w:val="none"/>
                <w:lang w:val="en-US" w:eastAsia="zh-CN"/>
              </w:rPr>
              <w:t>分。</w:t>
            </w:r>
            <w:r>
              <w:rPr>
                <w:rFonts w:hint="eastAsia" w:ascii="宋体" w:hAnsi="宋体" w:cs="宋体"/>
                <w:color w:val="auto"/>
                <w:kern w:val="0"/>
                <w:sz w:val="21"/>
                <w:szCs w:val="21"/>
                <w:highlight w:val="none"/>
                <w:lang w:val="en-US" w:eastAsia="zh-CN"/>
              </w:rPr>
              <w:t>同时持有电工证、电梯安全管理和作业人员证及消防设施操作员证的，每有1人得0.5分。</w:t>
            </w:r>
          </w:p>
          <w:p w14:paraId="70CEB58B">
            <w:pPr>
              <w:keepNext w:val="0"/>
              <w:keepLines w:val="0"/>
              <w:pageBreakBefore w:val="0"/>
              <w:widowControl/>
              <w:numPr>
                <w:ilvl w:val="0"/>
                <w:numId w:val="0"/>
              </w:numPr>
              <w:suppressLineNumbers w:val="0"/>
              <w:kinsoku/>
              <w:wordWrap w:val="0"/>
              <w:overflowPunct/>
              <w:topLinePunct/>
              <w:autoSpaceDE/>
              <w:autoSpaceDN/>
              <w:bidi w:val="0"/>
              <w:adjustRightInd/>
              <w:snapToGrid w:val="0"/>
              <w:spacing w:before="60" w:beforeAutospacing="0" w:after="60" w:afterAutospacing="0" w:line="312" w:lineRule="auto"/>
              <w:ind w:left="0" w:leftChars="0" w:right="0"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lang w:val="en-US" w:eastAsia="zh-CN"/>
              </w:rPr>
              <w:t>注：</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需提供拟投入人员清单及投入人员的相关认证或资格（职称）证书、工作</w:t>
            </w:r>
            <w:r>
              <w:rPr>
                <w:rFonts w:hint="eastAsia" w:ascii="宋体" w:hAnsi="宋体" w:cs="宋体"/>
                <w:color w:val="auto"/>
                <w:kern w:val="0"/>
                <w:sz w:val="21"/>
                <w:szCs w:val="21"/>
                <w:highlight w:val="none"/>
                <w:lang w:val="en-US" w:eastAsia="zh-CN"/>
              </w:rPr>
              <w:t>经验</w:t>
            </w:r>
            <w:r>
              <w:rPr>
                <w:rFonts w:hint="eastAsia" w:ascii="宋体" w:hAnsi="宋体" w:eastAsia="宋体" w:cs="宋体"/>
                <w:color w:val="auto"/>
                <w:kern w:val="0"/>
                <w:sz w:val="21"/>
                <w:szCs w:val="21"/>
                <w:highlight w:val="none"/>
                <w:lang w:val="en-US" w:eastAsia="zh-CN"/>
              </w:rPr>
              <w:t>证明与</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签署的劳动合同（截止本项目开标当天合同仍在有效期内），以上复印件需加盖</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公章，否则不予计分。一人多证不重复加分。</w:t>
            </w:r>
          </w:p>
        </w:tc>
        <w:tc>
          <w:tcPr>
            <w:tcW w:w="664" w:type="dxa"/>
            <w:noWrap w:val="0"/>
            <w:vAlign w:val="center"/>
          </w:tcPr>
          <w:p w14:paraId="4D23BAD2">
            <w:pPr>
              <w:keepNext w:val="0"/>
              <w:keepLines w:val="0"/>
              <w:widowControl/>
              <w:suppressLineNumbers w:val="0"/>
              <w:wordWrap w:val="0"/>
              <w:overflowPunct/>
              <w:topLinePunct/>
              <w:autoSpaceDE/>
              <w:autoSpaceDN/>
              <w:adjustRightInd w:val="0"/>
              <w:snapToGrid w:val="0"/>
              <w:spacing w:before="60" w:beforeAutospacing="0" w:after="60" w:afterAutospacing="0" w:line="312" w:lineRule="auto"/>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tc>
      </w:tr>
      <w:tr w14:paraId="6C95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688" w:type="dxa"/>
            <w:gridSpan w:val="2"/>
            <w:noWrap w:val="0"/>
            <w:vAlign w:val="center"/>
          </w:tcPr>
          <w:p w14:paraId="6FEBC003">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总得分</w:t>
            </w:r>
          </w:p>
        </w:tc>
        <w:tc>
          <w:tcPr>
            <w:tcW w:w="7011" w:type="dxa"/>
            <w:gridSpan w:val="2"/>
            <w:noWrap w:val="0"/>
            <w:vAlign w:val="center"/>
          </w:tcPr>
          <w:p w14:paraId="4F9ACCDF">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1+2+3</w:t>
            </w:r>
          </w:p>
        </w:tc>
        <w:tc>
          <w:tcPr>
            <w:tcW w:w="664" w:type="dxa"/>
            <w:noWrap w:val="0"/>
            <w:vAlign w:val="center"/>
          </w:tcPr>
          <w:p w14:paraId="136CE750">
            <w:pPr>
              <w:keepNext w:val="0"/>
              <w:keepLines w:val="0"/>
              <w:pageBreakBefore w:val="0"/>
              <w:widowControl/>
              <w:suppressLineNumbers w:val="0"/>
              <w:shd w:val="clear"/>
              <w:wordWrap w:val="0"/>
              <w:topLinePunct/>
              <w:bidi w:val="0"/>
              <w:snapToGrid w:val="0"/>
              <w:spacing w:before="60" w:beforeAutospacing="0" w:after="60" w:afterAutospacing="0" w:line="312"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100</w:t>
            </w:r>
          </w:p>
        </w:tc>
      </w:tr>
    </w:tbl>
    <w:p w14:paraId="00BFE734">
      <w:pPr>
        <w:keepNext w:val="0"/>
        <w:keepLines w:val="0"/>
        <w:pageBreakBefore w:val="0"/>
        <w:widowControl/>
        <w:numPr>
          <w:ilvl w:val="0"/>
          <w:numId w:val="0"/>
        </w:numPr>
        <w:shd w:val="clear"/>
        <w:kinsoku/>
        <w:wordWrap/>
        <w:overflowPunct/>
        <w:topLinePunct/>
        <w:autoSpaceDE/>
        <w:autoSpaceDN/>
        <w:bidi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落实</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政策进行价格调整的规则：</w:t>
      </w:r>
    </w:p>
    <w:tbl>
      <w:tblPr>
        <w:tblStyle w:val="35"/>
        <w:tblW w:w="94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3"/>
        <w:gridCol w:w="4125"/>
        <w:gridCol w:w="3625"/>
      </w:tblGrid>
      <w:tr w14:paraId="40A9C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5B9EB074">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6FCA49E7">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价格扣除规则</w:t>
            </w:r>
          </w:p>
        </w:tc>
        <w:tc>
          <w:tcPr>
            <w:tcW w:w="3625" w:type="dxa"/>
            <w:tcBorders>
              <w:top w:val="single" w:color="000000" w:sz="4" w:space="0"/>
              <w:left w:val="single" w:color="000000" w:sz="4" w:space="0"/>
              <w:bottom w:val="single" w:color="000000" w:sz="4" w:space="0"/>
              <w:right w:val="single" w:color="000000" w:sz="4" w:space="0"/>
            </w:tcBorders>
            <w:vAlign w:val="center"/>
          </w:tcPr>
          <w:p w14:paraId="638ADAAC">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享受价格扣除的条件</w:t>
            </w:r>
          </w:p>
        </w:tc>
      </w:tr>
      <w:tr w14:paraId="6683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43C1FDE7">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节约能源政策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56A4A8D5">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c>
          <w:tcPr>
            <w:tcW w:w="3625" w:type="dxa"/>
            <w:tcBorders>
              <w:top w:val="single" w:color="000000" w:sz="4" w:space="0"/>
              <w:left w:val="single" w:color="000000" w:sz="4" w:space="0"/>
              <w:bottom w:val="single" w:color="000000" w:sz="4" w:space="0"/>
              <w:right w:val="single" w:color="000000" w:sz="4" w:space="0"/>
            </w:tcBorders>
            <w:vAlign w:val="center"/>
          </w:tcPr>
          <w:p w14:paraId="0B2A3B48">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14:paraId="21174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3937A0C0">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保护环境政策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1C474246">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c>
          <w:tcPr>
            <w:tcW w:w="3625" w:type="dxa"/>
            <w:tcBorders>
              <w:top w:val="single" w:color="000000" w:sz="4" w:space="0"/>
              <w:left w:val="single" w:color="000000" w:sz="4" w:space="0"/>
              <w:bottom w:val="single" w:color="000000" w:sz="4" w:space="0"/>
              <w:right w:val="single" w:color="000000" w:sz="4" w:space="0"/>
            </w:tcBorders>
            <w:vAlign w:val="center"/>
          </w:tcPr>
          <w:p w14:paraId="4383417C">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14:paraId="0A36B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5644CEEB">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促进中小企业发展政策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2D847351">
            <w:pPr>
              <w:pStyle w:val="20"/>
              <w:keepNext w:val="0"/>
              <w:keepLines w:val="0"/>
              <w:suppressLineNumbers w:val="0"/>
              <w:shd w:val="clear"/>
              <w:snapToGrid w:val="0"/>
              <w:spacing w:before="60" w:after="60" w:line="360" w:lineRule="exact"/>
              <w:ind w:left="0" w:right="0" w:firstLine="420" w:firstLineChars="200"/>
              <w:jc w:val="both"/>
              <w:rPr>
                <w:rFonts w:hint="eastAsia" w:ascii="宋体" w:hAnsi="宋体" w:eastAsia="宋体" w:cs="宋体"/>
                <w:color w:val="auto"/>
                <w:highlight w:val="none"/>
              </w:rPr>
            </w:pPr>
            <w:r>
              <w:rPr>
                <w:rFonts w:hint="eastAsia" w:ascii="宋体" w:hAnsi="宋体" w:eastAsia="宋体" w:cs="宋体"/>
                <w:color w:val="auto"/>
                <w:sz w:val="21"/>
                <w:szCs w:val="21"/>
                <w:highlight w:val="none"/>
              </w:rPr>
              <w:t>本项目为</w:t>
            </w:r>
            <w:r>
              <w:rPr>
                <w:rFonts w:hint="eastAsia"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企业项目，按照《政府采购促进中小企业发展管理办法》（财库〔2020〕46号）规定，小微企业、监狱企业、残疾人福利性单位不再执行价格评审优惠的扶持政策。</w:t>
            </w:r>
          </w:p>
        </w:tc>
        <w:tc>
          <w:tcPr>
            <w:tcW w:w="3625" w:type="dxa"/>
            <w:tcBorders>
              <w:top w:val="single" w:color="000000" w:sz="4" w:space="0"/>
              <w:left w:val="single" w:color="000000" w:sz="4" w:space="0"/>
              <w:bottom w:val="single" w:color="000000" w:sz="4" w:space="0"/>
              <w:right w:val="single" w:color="000000" w:sz="4" w:space="0"/>
            </w:tcBorders>
            <w:vAlign w:val="center"/>
          </w:tcPr>
          <w:p w14:paraId="732C1195">
            <w:pPr>
              <w:pStyle w:val="65"/>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（1）在货物采购项目中，货物由中小企业制造，即货物由中小企业生产且使用该中小企业商号或者注册商标，不对其中涉及的工程承建商和服务的承接商作出要求；</w:t>
            </w:r>
          </w:p>
          <w:p w14:paraId="280C10D9">
            <w:pPr>
              <w:pStyle w:val="65"/>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（2）在服务采购项目中，服务由中小企业承接，即提供服务的人员为中小企业依照《中华人民共和国劳动合同法》订立劳动合同的从业人员，不对其中涉及的货物的制造商和工程承建商作出要求。</w:t>
            </w:r>
          </w:p>
        </w:tc>
      </w:tr>
      <w:tr w14:paraId="08C3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5EB63AE6">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促进残疾人就业政策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00EED5EA">
            <w:pPr>
              <w:pStyle w:val="65"/>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w:t>
            </w:r>
            <w:r>
              <w:rPr>
                <w:rFonts w:hint="eastAsia" w:ascii="宋体"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企业项目，按照《政府采购促进中小企业发展管理办法》（财库〔2020〕46号）规定，小微企业、监狱企业、残疾人福利性单位不再执行价格评审优惠的扶持政策。</w:t>
            </w:r>
          </w:p>
        </w:tc>
        <w:tc>
          <w:tcPr>
            <w:tcW w:w="3625" w:type="dxa"/>
            <w:tcBorders>
              <w:top w:val="single" w:color="000000" w:sz="4" w:space="0"/>
              <w:left w:val="single" w:color="000000" w:sz="4" w:space="0"/>
              <w:bottom w:val="single" w:color="000000" w:sz="4" w:space="0"/>
              <w:right w:val="single" w:color="000000" w:sz="4" w:space="0"/>
            </w:tcBorders>
            <w:vAlign w:val="center"/>
          </w:tcPr>
          <w:p w14:paraId="5E4ADD00">
            <w:pPr>
              <w:pStyle w:val="20"/>
              <w:keepNext w:val="0"/>
              <w:keepLines w:val="0"/>
              <w:suppressLineNumbers w:val="0"/>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highlight w:val="none"/>
              </w:rPr>
              <w:t>供应商在其响应文件中提供该通知规定的《残疾人福利性单位声明函》，并对声明的真实性负责。（供应商如能够在线查询的材料，请提供查询网址链接，可以不用同时提供纸质材料，原件备查）</w:t>
            </w:r>
          </w:p>
        </w:tc>
      </w:tr>
      <w:tr w14:paraId="38E68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3" w:type="dxa"/>
            <w:tcBorders>
              <w:top w:val="single" w:color="000000" w:sz="4" w:space="0"/>
              <w:left w:val="single" w:color="000000" w:sz="4" w:space="0"/>
              <w:bottom w:val="single" w:color="000000" w:sz="4" w:space="0"/>
              <w:right w:val="single" w:color="000000" w:sz="4" w:space="0"/>
            </w:tcBorders>
            <w:vAlign w:val="center"/>
          </w:tcPr>
          <w:p w14:paraId="0DF5B791">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支持监狱企业</w:t>
            </w:r>
          </w:p>
          <w:p w14:paraId="1F7881B5">
            <w:pPr>
              <w:keepNext w:val="0"/>
              <w:keepLines w:val="0"/>
              <w:suppressLineNumbers w:val="0"/>
              <w:shd w:val="clear"/>
              <w:snapToGrid w:val="0"/>
              <w:spacing w:before="60" w:beforeAutospacing="0" w:after="60" w:afterAutospacing="0" w:line="44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发展政策</w:t>
            </w:r>
          </w:p>
        </w:tc>
        <w:tc>
          <w:tcPr>
            <w:tcW w:w="4125" w:type="dxa"/>
            <w:tcBorders>
              <w:top w:val="single" w:color="000000" w:sz="4" w:space="0"/>
              <w:left w:val="single" w:color="000000" w:sz="4" w:space="0"/>
              <w:bottom w:val="single" w:color="000000" w:sz="4" w:space="0"/>
              <w:right w:val="single" w:color="000000" w:sz="4" w:space="0"/>
            </w:tcBorders>
            <w:vAlign w:val="center"/>
          </w:tcPr>
          <w:p w14:paraId="1805743F">
            <w:pPr>
              <w:pStyle w:val="65"/>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本项目为</w:t>
            </w:r>
            <w:r>
              <w:rPr>
                <w:rFonts w:hint="eastAsia" w:ascii="宋体" w:hAnsi="宋体" w:cs="宋体"/>
                <w:color w:val="auto"/>
                <w:sz w:val="21"/>
                <w:szCs w:val="21"/>
                <w:highlight w:val="none"/>
                <w:lang w:eastAsia="zh-CN"/>
              </w:rPr>
              <w:t>专门面向中小</w:t>
            </w:r>
            <w:r>
              <w:rPr>
                <w:rFonts w:hint="eastAsia" w:ascii="宋体" w:hAnsi="宋体" w:eastAsia="宋体" w:cs="宋体"/>
                <w:color w:val="auto"/>
                <w:sz w:val="21"/>
                <w:szCs w:val="21"/>
                <w:highlight w:val="none"/>
              </w:rPr>
              <w:t>企业项目，按照《政府采购促进中小企业发展管理办法》（财库〔2020〕46号）规定，小微企业、监狱企业、残疾人福利性单位不再执行价格评审优惠的扶持政策。</w:t>
            </w:r>
          </w:p>
        </w:tc>
        <w:tc>
          <w:tcPr>
            <w:tcW w:w="3625" w:type="dxa"/>
            <w:tcBorders>
              <w:top w:val="single" w:color="000000" w:sz="4" w:space="0"/>
              <w:left w:val="single" w:color="000000" w:sz="4" w:space="0"/>
              <w:bottom w:val="single" w:color="000000" w:sz="4" w:space="0"/>
              <w:right w:val="single" w:color="000000" w:sz="4" w:space="0"/>
            </w:tcBorders>
            <w:vAlign w:val="center"/>
          </w:tcPr>
          <w:p w14:paraId="3E5ADD7E">
            <w:pPr>
              <w:pStyle w:val="65"/>
              <w:keepNext w:val="0"/>
              <w:keepLines w:val="0"/>
              <w:widowControl w:val="0"/>
              <w:suppressLineNumbers w:val="0"/>
              <w:shd w:val="clear"/>
              <w:snapToGrid w:val="0"/>
              <w:spacing w:before="60" w:beforeAutospacing="0" w:after="60" w:afterAutospacing="0" w:line="360" w:lineRule="exact"/>
              <w:ind w:left="0" w:right="0"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供应商在其响应文件中提供由省级以上监狱管理局、戒毒管理局（含新疆生产建设兵团）出具的属于监狱企业的证明文件</w:t>
            </w:r>
          </w:p>
        </w:tc>
      </w:tr>
    </w:tbl>
    <w:p w14:paraId="797D71C1">
      <w:pPr>
        <w:pStyle w:val="65"/>
        <w:keepNext w:val="0"/>
        <w:keepLines w:val="0"/>
        <w:pageBreakBefore w:val="0"/>
        <w:widowControl/>
        <w:shd w:val="clear"/>
        <w:kinsoku/>
        <w:wordWrap/>
        <w:overflowPunct/>
        <w:topLinePunct/>
        <w:bidi w:val="0"/>
        <w:snapToGrid w:val="0"/>
        <w:spacing w:beforeAutospacing="0" w:afterAutospacing="0" w:line="400" w:lineRule="exact"/>
        <w:ind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推荐</w:t>
      </w:r>
      <w:r>
        <w:rPr>
          <w:rFonts w:hint="eastAsia" w:ascii="宋体" w:hAnsi="宋体" w:eastAsia="宋体" w:cs="宋体"/>
          <w:color w:val="auto"/>
          <w:sz w:val="21"/>
          <w:szCs w:val="21"/>
          <w:highlight w:val="none"/>
          <w:lang w:val="en-US" w:eastAsia="zh-CN"/>
        </w:rPr>
        <w:t>成交供应商</w:t>
      </w:r>
    </w:p>
    <w:p w14:paraId="06100CE8">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按评审后得分由高到低顺序排列。得分相同的，按</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报价由低到高顺序排列。得分且</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报价相同的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按技术指标优劣顺序排列</w:t>
      </w:r>
      <w:r>
        <w:rPr>
          <w:rFonts w:hint="eastAsia" w:ascii="宋体" w:hAnsi="宋体" w:eastAsia="宋体" w:cs="宋体"/>
          <w:color w:val="auto"/>
          <w:sz w:val="21"/>
          <w:szCs w:val="21"/>
          <w:highlight w:val="none"/>
        </w:rPr>
        <w:t>的方式确定</w:t>
      </w:r>
      <w:r>
        <w:rPr>
          <w:rFonts w:hint="eastAsia" w:ascii="宋体" w:hAnsi="宋体" w:eastAsia="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文件未规定的，采取随机抽取的方式确定。</w:t>
      </w:r>
    </w:p>
    <w:p w14:paraId="138E8747">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本采购包推荐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候选人的数量：</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家。</w:t>
      </w:r>
    </w:p>
    <w:p w14:paraId="6AFF3B9B">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 xml:space="preserve"> 成交供应商</w:t>
      </w:r>
      <w:r>
        <w:rPr>
          <w:rFonts w:hint="eastAsia" w:ascii="宋体" w:hAnsi="宋体" w:eastAsia="宋体" w:cs="宋体"/>
          <w:color w:val="auto"/>
          <w:sz w:val="21"/>
          <w:szCs w:val="21"/>
          <w:highlight w:val="none"/>
        </w:rPr>
        <w:t>数量：</w:t>
      </w:r>
      <w:r>
        <w:rPr>
          <w:rFonts w:hint="eastAsia" w:ascii="宋体" w:hAnsi="宋体" w:eastAsia="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家。</w:t>
      </w:r>
    </w:p>
    <w:p w14:paraId="18A3ED6E">
      <w:pPr>
        <w:keepNext w:val="0"/>
        <w:keepLines w:val="0"/>
        <w:pageBreakBefore w:val="0"/>
        <w:widowControl/>
        <w:shd w:val="clear"/>
        <w:kinsoku/>
        <w:wordWrap/>
        <w:overflowPunct/>
        <w:topLinePunct/>
        <w:bidi w:val="0"/>
        <w:snapToGrid w:val="0"/>
        <w:spacing w:before="0" w:beforeAutospacing="0" w:after="0" w:afterAutospacing="0" w:line="400" w:lineRule="exact"/>
        <w:ind w:firstLine="444" w:firstLineChars="200"/>
        <w:textAlignment w:val="auto"/>
        <w:rPr>
          <w:rFonts w:hint="eastAsia" w:ascii="宋体" w:hAnsi="宋体" w:eastAsia="宋体" w:cs="宋体"/>
          <w:color w:val="auto"/>
          <w:spacing w:val="6"/>
          <w:sz w:val="21"/>
          <w:szCs w:val="21"/>
          <w:highlight w:val="none"/>
        </w:rPr>
        <w:sectPr>
          <w:pgSz w:w="11906" w:h="16838"/>
          <w:pgMar w:top="1440" w:right="1752" w:bottom="1440" w:left="1752" w:header="851" w:footer="992" w:gutter="0"/>
          <w:pgNumType w:fmt="decimal"/>
          <w:cols w:space="720" w:num="1"/>
          <w:titlePg/>
          <w:docGrid w:type="lines" w:linePitch="312" w:charSpace="0"/>
        </w:sectPr>
      </w:pPr>
    </w:p>
    <w:p w14:paraId="2297F0AB">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28" w:name="_Toc24953"/>
      <w:bookmarkStart w:id="29" w:name="_Toc5495"/>
      <w:r>
        <w:rPr>
          <w:rFonts w:hint="eastAsia" w:ascii="宋体" w:hAnsi="宋体" w:eastAsia="宋体" w:cs="宋体"/>
          <w:b/>
          <w:bCs/>
          <w:color w:val="auto"/>
          <w:sz w:val="28"/>
          <w:szCs w:val="28"/>
          <w:highlight w:val="none"/>
        </w:rPr>
        <w:t>第四章  采购合同文本</w:t>
      </w:r>
      <w:bookmarkEnd w:id="28"/>
      <w:bookmarkEnd w:id="29"/>
    </w:p>
    <w:p w14:paraId="2D9E10D8">
      <w:pPr>
        <w:shd w:val="clear"/>
        <w:spacing w:before="0" w:beforeAutospacing="0" w:after="0" w:afterAutospacing="0" w:line="360" w:lineRule="auto"/>
        <w:rPr>
          <w:rFonts w:hint="eastAsia" w:ascii="宋体" w:hAnsi="宋体" w:eastAsia="宋体" w:cs="宋体"/>
          <w:color w:val="auto"/>
          <w:sz w:val="24"/>
          <w:szCs w:val="24"/>
          <w:highlight w:val="none"/>
        </w:rPr>
      </w:pPr>
    </w:p>
    <w:p w14:paraId="521A10AE">
      <w:pPr>
        <w:shd w:val="clear"/>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（合同封面）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中小企业预留合同：</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是</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否 </w:t>
      </w:r>
    </w:p>
    <w:p w14:paraId="60BC2187">
      <w:pPr>
        <w:shd w:val="clear"/>
        <w:spacing w:before="0" w:beforeAutospacing="0" w:after="0" w:afterAutospacing="0" w:line="360" w:lineRule="auto"/>
        <w:ind w:firstLine="5040" w:firstLineChars="2100"/>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合 同 类 别：服务类</w:t>
      </w:r>
    </w:p>
    <w:p w14:paraId="315E3B5B">
      <w:pPr>
        <w:shd w:val="clear"/>
        <w:spacing w:before="0" w:beforeAutospacing="0" w:after="0" w:afterAutospacing="0" w:line="240" w:lineRule="auto"/>
        <w:jc w:val="center"/>
        <w:rPr>
          <w:rFonts w:hint="eastAsia" w:ascii="宋体" w:hAnsi="宋体" w:eastAsia="宋体" w:cs="宋体"/>
          <w:b/>
          <w:color w:val="auto"/>
          <w:sz w:val="96"/>
          <w:szCs w:val="96"/>
          <w:highlight w:val="none"/>
        </w:rPr>
      </w:pPr>
    </w:p>
    <w:p w14:paraId="08C72198">
      <w:pPr>
        <w:shd w:val="clear"/>
        <w:spacing w:before="0" w:beforeAutospacing="0" w:after="0" w:afterAutospacing="0" w:line="240" w:lineRule="auto"/>
        <w:jc w:val="center"/>
        <w:rPr>
          <w:rFonts w:hint="eastAsia" w:ascii="宋体" w:hAnsi="宋体" w:eastAsia="宋体" w:cs="宋体"/>
          <w:b/>
          <w:color w:val="auto"/>
          <w:sz w:val="96"/>
          <w:szCs w:val="96"/>
          <w:highlight w:val="none"/>
        </w:rPr>
      </w:pPr>
    </w:p>
    <w:p w14:paraId="504F8E60">
      <w:pPr>
        <w:shd w:val="clear"/>
        <w:spacing w:before="0" w:beforeAutospacing="0" w:after="0" w:afterAutospacing="0" w:line="24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合 同 书</w:t>
      </w:r>
    </w:p>
    <w:p w14:paraId="34EEE690">
      <w:pPr>
        <w:shd w:val="clear"/>
        <w:spacing w:before="0" w:beforeAutospacing="0" w:after="0" w:afterAutospacing="0" w:line="240" w:lineRule="auto"/>
        <w:jc w:val="center"/>
        <w:rPr>
          <w:rFonts w:hint="eastAsia" w:ascii="宋体" w:hAnsi="宋体" w:eastAsia="宋体" w:cs="宋体"/>
          <w:bCs/>
          <w:color w:val="auto"/>
          <w:sz w:val="32"/>
          <w:szCs w:val="32"/>
          <w:highlight w:val="none"/>
        </w:rPr>
      </w:pPr>
    </w:p>
    <w:p w14:paraId="5EABF597">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w:t>
      </w:r>
      <w:r>
        <w:rPr>
          <w:rFonts w:hint="eastAsia" w:ascii="宋体" w:hAnsi="宋体" w:eastAsia="宋体" w:cs="宋体"/>
          <w:color w:val="auto"/>
          <w:sz w:val="32"/>
          <w:szCs w:val="32"/>
          <w:highlight w:val="none"/>
          <w:lang w:val="en-US" w:eastAsia="zh-CN"/>
        </w:rPr>
        <w:t>年度</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w:t>
      </w:r>
    </w:p>
    <w:p w14:paraId="5D6216CB">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rPr>
      </w:pPr>
    </w:p>
    <w:p w14:paraId="7E5DAB93">
      <w:pPr>
        <w:shd w:val="clear"/>
        <w:tabs>
          <w:tab w:val="left" w:pos="540"/>
          <w:tab w:val="left" w:pos="1080"/>
          <w:tab w:val="left" w:pos="1440"/>
        </w:tabs>
        <w:snapToGrid w:val="0"/>
        <w:spacing w:before="0" w:beforeAutospacing="0" w:after="0" w:afterAutospacing="0" w:line="240" w:lineRule="auto"/>
        <w:jc w:val="center"/>
        <w:rPr>
          <w:rFonts w:hint="eastAsia" w:ascii="宋体" w:hAnsi="宋体" w:eastAsia="宋体" w:cs="宋体"/>
          <w:color w:val="auto"/>
          <w:sz w:val="32"/>
          <w:szCs w:val="32"/>
          <w:highlight w:val="none"/>
        </w:rPr>
      </w:pPr>
    </w:p>
    <w:p w14:paraId="770175B5">
      <w:pPr>
        <w:shd w:val="clear"/>
        <w:tabs>
          <w:tab w:val="left" w:pos="540"/>
          <w:tab w:val="left" w:pos="1080"/>
          <w:tab w:val="left" w:pos="1440"/>
        </w:tabs>
        <w:snapToGrid w:val="0"/>
        <w:spacing w:before="0" w:beforeAutospacing="0" w:after="0" w:afterAutospacing="0" w:line="240" w:lineRule="auto"/>
        <w:ind w:left="1680" w:leftChars="800"/>
        <w:jc w:val="center"/>
        <w:rPr>
          <w:rFonts w:hint="eastAsia" w:ascii="宋体" w:hAnsi="宋体" w:eastAsia="宋体" w:cs="宋体"/>
          <w:color w:val="auto"/>
          <w:sz w:val="32"/>
          <w:szCs w:val="32"/>
          <w:highlight w:val="none"/>
        </w:rPr>
      </w:pPr>
    </w:p>
    <w:p w14:paraId="5FC15CC8">
      <w:pPr>
        <w:shd w:val="clear"/>
        <w:tabs>
          <w:tab w:val="left" w:pos="2160"/>
        </w:tabs>
        <w:topLinePunct/>
        <w:autoSpaceDE w:val="0"/>
        <w:autoSpaceDN w:val="0"/>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项目名称：</w:t>
      </w:r>
      <w:r>
        <w:rPr>
          <w:rFonts w:hint="eastAsia" w:ascii="宋体" w:hAnsi="宋体" w:eastAsia="宋体" w:cs="宋体"/>
          <w:bCs/>
          <w:color w:val="auto"/>
          <w:sz w:val="24"/>
          <w:szCs w:val="24"/>
          <w:highlight w:val="none"/>
          <w:u w:val="single"/>
          <w:lang w:val="en-US" w:eastAsia="zh-CN"/>
        </w:rPr>
        <w:t xml:space="preserve">                   </w:t>
      </w:r>
    </w:p>
    <w:p w14:paraId="532E5F1E">
      <w:pPr>
        <w:shd w:val="clear"/>
        <w:tabs>
          <w:tab w:val="left" w:pos="2160"/>
        </w:tabs>
        <w:topLinePunct/>
        <w:autoSpaceDE w:val="0"/>
        <w:autoSpaceDN w:val="0"/>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    号：</w:t>
      </w:r>
      <w:r>
        <w:rPr>
          <w:rFonts w:hint="eastAsia" w:ascii="宋体" w:hAnsi="宋体" w:eastAsia="宋体" w:cs="宋体"/>
          <w:bCs/>
          <w:color w:val="auto"/>
          <w:sz w:val="24"/>
          <w:szCs w:val="24"/>
          <w:highlight w:val="none"/>
          <w:u w:val="single"/>
        </w:rPr>
        <w:t xml:space="preserve">                   </w:t>
      </w:r>
    </w:p>
    <w:p w14:paraId="757EBD96">
      <w:pPr>
        <w:shd w:val="clear"/>
        <w:tabs>
          <w:tab w:val="left" w:pos="540"/>
          <w:tab w:val="left" w:pos="1080"/>
          <w:tab w:val="left" w:pos="1440"/>
        </w:tabs>
        <w:snapToGrid w:val="0"/>
        <w:spacing w:before="0" w:beforeAutospacing="0" w:after="0" w:afterAutospacing="0" w:line="360" w:lineRule="auto"/>
        <w:ind w:left="2100" w:leftChars="10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合同编号：</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7D96B3FC">
      <w:pPr>
        <w:shd w:val="clear"/>
        <w:tabs>
          <w:tab w:val="left" w:pos="2160"/>
        </w:tabs>
        <w:topLinePunct/>
        <w:autoSpaceDE w:val="0"/>
        <w:autoSpaceDN w:val="0"/>
        <w:snapToGrid w:val="0"/>
        <w:spacing w:before="0" w:beforeAutospacing="0" w:after="0" w:afterAutospacing="0" w:line="360" w:lineRule="auto"/>
        <w:ind w:left="2880" w:leftChars="800" w:hanging="1200" w:hangingChars="500"/>
        <w:rPr>
          <w:rFonts w:hint="eastAsia" w:ascii="宋体" w:hAnsi="宋体" w:eastAsia="宋体" w:cs="宋体"/>
          <w:bCs/>
          <w:color w:val="auto"/>
          <w:sz w:val="24"/>
          <w:szCs w:val="24"/>
          <w:highlight w:val="none"/>
        </w:rPr>
      </w:pPr>
    </w:p>
    <w:p w14:paraId="7FEE29F5">
      <w:pPr>
        <w:shd w:val="clear"/>
        <w:spacing w:before="0" w:beforeAutospacing="0" w:after="0" w:afterAutospacing="0" w:line="460" w:lineRule="exact"/>
        <w:jc w:val="center"/>
        <w:rPr>
          <w:rFonts w:hint="eastAsia" w:ascii="宋体" w:hAnsi="宋体" w:eastAsia="宋体" w:cs="宋体"/>
          <w:bCs/>
          <w:color w:val="auto"/>
          <w:sz w:val="24"/>
          <w:szCs w:val="24"/>
          <w:highlight w:val="none"/>
        </w:rPr>
      </w:pPr>
    </w:p>
    <w:p w14:paraId="6431433E">
      <w:pPr>
        <w:shd w:val="clear"/>
        <w:tabs>
          <w:tab w:val="left" w:pos="3045"/>
        </w:tabs>
        <w:spacing w:before="0" w:beforeAutospacing="0" w:after="0" w:afterAutospacing="0" w:line="4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ab/>
      </w:r>
    </w:p>
    <w:p w14:paraId="7786EC93">
      <w:pPr>
        <w:shd w:val="clear"/>
        <w:spacing w:before="0" w:beforeAutospacing="0" w:after="0" w:afterAutospacing="0" w:line="460" w:lineRule="exact"/>
        <w:rPr>
          <w:rFonts w:hint="eastAsia" w:ascii="宋体" w:hAnsi="宋体" w:eastAsia="宋体" w:cs="宋体"/>
          <w:bCs/>
          <w:color w:val="auto"/>
          <w:sz w:val="24"/>
          <w:szCs w:val="24"/>
          <w:highlight w:val="none"/>
        </w:rPr>
      </w:pPr>
    </w:p>
    <w:p w14:paraId="26D2D6F1">
      <w:pPr>
        <w:shd w:val="clear"/>
        <w:spacing w:before="0" w:beforeAutospacing="0" w:after="0" w:afterAutospacing="0" w:line="460" w:lineRule="exact"/>
        <w:jc w:val="center"/>
        <w:rPr>
          <w:rFonts w:hint="eastAsia" w:ascii="宋体" w:hAnsi="宋体" w:eastAsia="宋体" w:cs="宋体"/>
          <w:bCs/>
          <w:color w:val="auto"/>
          <w:sz w:val="24"/>
          <w:szCs w:val="24"/>
          <w:highlight w:val="none"/>
        </w:rPr>
      </w:pPr>
    </w:p>
    <w:p w14:paraId="36295F5C">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甲    方：</w:t>
      </w:r>
      <w:r>
        <w:rPr>
          <w:rFonts w:hint="eastAsia" w:ascii="宋体" w:hAnsi="宋体" w:eastAsia="宋体" w:cs="宋体"/>
          <w:bCs/>
          <w:color w:val="auto"/>
          <w:sz w:val="24"/>
          <w:szCs w:val="24"/>
          <w:highlight w:val="none"/>
          <w:u w:val="single"/>
          <w:lang w:val="en-US" w:eastAsia="zh-CN"/>
        </w:rPr>
        <w:t xml:space="preserve">                      </w:t>
      </w:r>
    </w:p>
    <w:p w14:paraId="2B09E030">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乙    方： </w:t>
      </w:r>
      <w:r>
        <w:rPr>
          <w:rFonts w:hint="eastAsia" w:ascii="宋体" w:hAnsi="宋体" w:eastAsia="宋体" w:cs="宋体"/>
          <w:bCs/>
          <w:color w:val="auto"/>
          <w:sz w:val="24"/>
          <w:szCs w:val="24"/>
          <w:highlight w:val="none"/>
          <w:u w:val="single"/>
        </w:rPr>
        <w:t xml:space="preserve">                     </w:t>
      </w:r>
    </w:p>
    <w:p w14:paraId="3B22056B">
      <w:pPr>
        <w:shd w:val="clear"/>
        <w:spacing w:before="0" w:beforeAutospacing="0" w:after="0" w:afterAutospacing="0" w:line="300" w:lineRule="auto"/>
        <w:ind w:left="840" w:leftChars="400" w:firstLine="1298" w:firstLineChars="5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日    期： </w:t>
      </w:r>
      <w:r>
        <w:rPr>
          <w:rFonts w:hint="eastAsia" w:ascii="宋体" w:hAnsi="宋体" w:eastAsia="宋体" w:cs="宋体"/>
          <w:bCs/>
          <w:color w:val="auto"/>
          <w:sz w:val="24"/>
          <w:szCs w:val="24"/>
          <w:highlight w:val="none"/>
          <w:u w:val="single"/>
        </w:rPr>
        <w:t xml:space="preserve">        年    月   日</w:t>
      </w:r>
    </w:p>
    <w:p w14:paraId="794C69BC">
      <w:pPr>
        <w:shd w:val="clear"/>
        <w:spacing w:before="0" w:beforeAutospacing="0" w:after="0" w:afterAutospacing="0" w:line="300" w:lineRule="auto"/>
        <w:jc w:val="center"/>
        <w:rPr>
          <w:rFonts w:hint="eastAsia" w:ascii="宋体" w:hAnsi="宋体" w:eastAsia="宋体" w:cs="宋体"/>
          <w:b/>
          <w:color w:val="auto"/>
          <w:sz w:val="24"/>
          <w:szCs w:val="24"/>
          <w:highlight w:val="none"/>
        </w:rPr>
      </w:pPr>
      <w:r>
        <w:rPr>
          <w:rFonts w:hint="eastAsia" w:ascii="宋体" w:hAnsi="宋体" w:eastAsia="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35"/>
        <w:tblW w:w="882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500"/>
        <w:gridCol w:w="6264"/>
      </w:tblGrid>
      <w:tr w14:paraId="66CE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748938C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8173" w:type="dxa"/>
            <w:gridSpan w:val="3"/>
            <w:tcBorders>
              <w:top w:val="single" w:color="auto" w:sz="4" w:space="0"/>
              <w:left w:val="single" w:color="auto" w:sz="4" w:space="0"/>
              <w:bottom w:val="single" w:color="auto" w:sz="4" w:space="0"/>
              <w:right w:val="single" w:color="auto" w:sz="4" w:space="0"/>
            </w:tcBorders>
            <w:noWrap w:val="0"/>
            <w:vAlign w:val="center"/>
          </w:tcPr>
          <w:p w14:paraId="022682A2">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内        容</w:t>
            </w:r>
          </w:p>
        </w:tc>
      </w:tr>
      <w:tr w14:paraId="299DA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57CD4E5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389D66C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合同名称</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22480A4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 xml:space="preserve"> </w:t>
            </w:r>
          </w:p>
        </w:tc>
      </w:tr>
      <w:tr w14:paraId="322F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50D0086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DADA9F1">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合同编号</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491944CE">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bCs/>
                <w:color w:val="auto"/>
                <w:sz w:val="21"/>
                <w:szCs w:val="21"/>
                <w:highlight w:val="none"/>
              </w:rPr>
            </w:pPr>
          </w:p>
        </w:tc>
      </w:tr>
      <w:tr w14:paraId="35119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176272BB">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3C420147">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合同类型</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2B50B367">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服务类</w:t>
            </w:r>
          </w:p>
        </w:tc>
      </w:tr>
      <w:tr w14:paraId="3EA6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noWrap w:val="0"/>
            <w:vAlign w:val="center"/>
          </w:tcPr>
          <w:p w14:paraId="4E2B686C">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5CD2C7D">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定价方式</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39F8F2B4">
            <w:pPr>
              <w:keepNext w:val="0"/>
              <w:keepLines w:val="0"/>
              <w:pageBreakBefore w:val="0"/>
              <w:widowControl/>
              <w:suppressLineNumbers w:val="0"/>
              <w:shd w:val="clear"/>
              <w:tabs>
                <w:tab w:val="left" w:pos="216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固定总价</w:t>
            </w:r>
          </w:p>
        </w:tc>
      </w:tr>
      <w:tr w14:paraId="7A6A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noWrap w:val="0"/>
            <w:vAlign w:val="center"/>
          </w:tcPr>
          <w:p w14:paraId="361B1460">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909" w:type="dxa"/>
            <w:gridSpan w:val="2"/>
            <w:tcBorders>
              <w:top w:val="single" w:color="auto" w:sz="4" w:space="0"/>
              <w:left w:val="single" w:color="auto" w:sz="4" w:space="0"/>
              <w:bottom w:val="single" w:color="auto" w:sz="6" w:space="0"/>
              <w:right w:val="single" w:color="auto" w:sz="6" w:space="0"/>
            </w:tcBorders>
            <w:noWrap w:val="0"/>
            <w:vAlign w:val="center"/>
          </w:tcPr>
          <w:p w14:paraId="46C8C8C0">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甲方名称</w:t>
            </w:r>
          </w:p>
        </w:tc>
        <w:tc>
          <w:tcPr>
            <w:tcW w:w="6264" w:type="dxa"/>
            <w:tcBorders>
              <w:top w:val="single" w:color="auto" w:sz="4" w:space="0"/>
              <w:left w:val="single" w:color="auto" w:sz="6" w:space="0"/>
              <w:bottom w:val="single" w:color="auto" w:sz="6" w:space="0"/>
              <w:right w:val="single" w:color="auto" w:sz="4" w:space="0"/>
            </w:tcBorders>
            <w:noWrap w:val="0"/>
            <w:vAlign w:val="center"/>
          </w:tcPr>
          <w:p w14:paraId="0876B14F">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国家税务总局南宁市西乡塘区税务局</w:t>
            </w:r>
          </w:p>
        </w:tc>
      </w:tr>
      <w:tr w14:paraId="3641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2A37730A">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6" w:space="0"/>
              <w:left w:val="single" w:color="auto" w:sz="4" w:space="0"/>
              <w:bottom w:val="single" w:color="auto" w:sz="6" w:space="0"/>
              <w:right w:val="single" w:color="auto" w:sz="6" w:space="0"/>
            </w:tcBorders>
            <w:noWrap w:val="0"/>
            <w:vAlign w:val="center"/>
          </w:tcPr>
          <w:p w14:paraId="4F35AF19">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甲方地址</w:t>
            </w:r>
          </w:p>
        </w:tc>
        <w:tc>
          <w:tcPr>
            <w:tcW w:w="6264" w:type="dxa"/>
            <w:tcBorders>
              <w:top w:val="single" w:color="auto" w:sz="6" w:space="0"/>
              <w:left w:val="single" w:color="auto" w:sz="6" w:space="0"/>
              <w:bottom w:val="single" w:color="auto" w:sz="6" w:space="0"/>
              <w:right w:val="single" w:color="auto" w:sz="4" w:space="0"/>
            </w:tcBorders>
            <w:noWrap w:val="0"/>
            <w:vAlign w:val="center"/>
          </w:tcPr>
          <w:p w14:paraId="4A59FF7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u w:val="none"/>
                <w:lang w:eastAsia="zh-CN"/>
              </w:rPr>
              <w:t>南宁市明秀东路135号</w:t>
            </w:r>
          </w:p>
        </w:tc>
      </w:tr>
      <w:tr w14:paraId="17DC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5A2389FD">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restart"/>
            <w:tcBorders>
              <w:top w:val="single" w:color="auto" w:sz="6" w:space="0"/>
              <w:left w:val="single" w:color="auto" w:sz="4" w:space="0"/>
              <w:right w:val="single" w:color="auto" w:sz="4" w:space="0"/>
            </w:tcBorders>
            <w:noWrap w:val="0"/>
            <w:vAlign w:val="center"/>
          </w:tcPr>
          <w:p w14:paraId="24DA2340">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甲方相关部门</w:t>
            </w:r>
          </w:p>
        </w:tc>
        <w:tc>
          <w:tcPr>
            <w:tcW w:w="1500" w:type="dxa"/>
            <w:tcBorders>
              <w:top w:val="single" w:color="auto" w:sz="6" w:space="0"/>
              <w:left w:val="single" w:color="auto" w:sz="4" w:space="0"/>
              <w:bottom w:val="single" w:color="auto" w:sz="6" w:space="0"/>
              <w:right w:val="single" w:color="auto" w:sz="6" w:space="0"/>
            </w:tcBorders>
            <w:noWrap w:val="0"/>
            <w:vAlign w:val="center"/>
          </w:tcPr>
          <w:p w14:paraId="02CAF85C">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甲方采购部门</w:t>
            </w:r>
          </w:p>
        </w:tc>
        <w:tc>
          <w:tcPr>
            <w:tcW w:w="6264" w:type="dxa"/>
            <w:tcBorders>
              <w:top w:val="single" w:color="auto" w:sz="6" w:space="0"/>
              <w:left w:val="single" w:color="auto" w:sz="6" w:space="0"/>
              <w:bottom w:val="single" w:color="auto" w:sz="6" w:space="0"/>
              <w:right w:val="single" w:color="auto" w:sz="4" w:space="0"/>
            </w:tcBorders>
            <w:noWrap w:val="0"/>
            <w:vAlign w:val="center"/>
          </w:tcPr>
          <w:p w14:paraId="092631F2">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21D0A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53146E91">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9DB6BE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6" w:space="0"/>
              <w:right w:val="single" w:color="auto" w:sz="6" w:space="0"/>
            </w:tcBorders>
            <w:noWrap w:val="0"/>
            <w:vAlign w:val="center"/>
          </w:tcPr>
          <w:p w14:paraId="69113835">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264" w:type="dxa"/>
            <w:tcBorders>
              <w:top w:val="single" w:color="auto" w:sz="6" w:space="0"/>
              <w:left w:val="single" w:color="auto" w:sz="6" w:space="0"/>
              <w:bottom w:val="single" w:color="auto" w:sz="6" w:space="0"/>
              <w:right w:val="single" w:color="auto" w:sz="4" w:space="0"/>
            </w:tcBorders>
            <w:noWrap w:val="0"/>
            <w:vAlign w:val="center"/>
          </w:tcPr>
          <w:p w14:paraId="3FEB93E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48412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250D946A">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3D19D1AB">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5FE4D758">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6" w:space="0"/>
              <w:left w:val="single" w:color="auto" w:sz="6" w:space="0"/>
              <w:bottom w:val="single" w:color="auto" w:sz="4" w:space="0"/>
              <w:right w:val="single" w:color="auto" w:sz="4" w:space="0"/>
            </w:tcBorders>
            <w:noWrap w:val="0"/>
            <w:vAlign w:val="center"/>
          </w:tcPr>
          <w:p w14:paraId="1ABAC4F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4E30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235B42DB">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45B28821">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21FD6787">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甲方需求部门</w:t>
            </w:r>
          </w:p>
        </w:tc>
        <w:tc>
          <w:tcPr>
            <w:tcW w:w="6264" w:type="dxa"/>
            <w:tcBorders>
              <w:top w:val="single" w:color="auto" w:sz="6" w:space="0"/>
              <w:left w:val="single" w:color="auto" w:sz="6" w:space="0"/>
              <w:bottom w:val="single" w:color="auto" w:sz="4" w:space="0"/>
              <w:right w:val="single" w:color="auto" w:sz="4" w:space="0"/>
            </w:tcBorders>
            <w:noWrap w:val="0"/>
            <w:vAlign w:val="center"/>
          </w:tcPr>
          <w:p w14:paraId="199CD818">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5D2F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noWrap w:val="0"/>
            <w:vAlign w:val="center"/>
          </w:tcPr>
          <w:p w14:paraId="6C7633BD">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right w:val="single" w:color="auto" w:sz="4" w:space="0"/>
            </w:tcBorders>
            <w:noWrap w:val="0"/>
            <w:vAlign w:val="center"/>
          </w:tcPr>
          <w:p w14:paraId="5DD22C0C">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43A6049E">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6264" w:type="dxa"/>
            <w:tcBorders>
              <w:top w:val="single" w:color="auto" w:sz="6" w:space="0"/>
              <w:left w:val="single" w:color="auto" w:sz="6" w:space="0"/>
              <w:bottom w:val="single" w:color="auto" w:sz="4" w:space="0"/>
              <w:right w:val="single" w:color="auto" w:sz="4" w:space="0"/>
            </w:tcBorders>
            <w:noWrap w:val="0"/>
            <w:vAlign w:val="center"/>
          </w:tcPr>
          <w:p w14:paraId="590E437B">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0F1E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noWrap w:val="0"/>
            <w:vAlign w:val="center"/>
          </w:tcPr>
          <w:p w14:paraId="4C9E4414">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409" w:type="dxa"/>
            <w:vMerge w:val="continue"/>
            <w:tcBorders>
              <w:left w:val="single" w:color="auto" w:sz="4" w:space="0"/>
              <w:bottom w:val="single" w:color="auto" w:sz="4" w:space="0"/>
              <w:right w:val="single" w:color="auto" w:sz="4" w:space="0"/>
            </w:tcBorders>
            <w:noWrap w:val="0"/>
            <w:vAlign w:val="center"/>
          </w:tcPr>
          <w:p w14:paraId="01923B17">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p>
        </w:tc>
        <w:tc>
          <w:tcPr>
            <w:tcW w:w="1500" w:type="dxa"/>
            <w:tcBorders>
              <w:top w:val="single" w:color="auto" w:sz="6" w:space="0"/>
              <w:left w:val="single" w:color="auto" w:sz="4" w:space="0"/>
              <w:bottom w:val="single" w:color="auto" w:sz="4" w:space="0"/>
              <w:right w:val="single" w:color="auto" w:sz="6" w:space="0"/>
            </w:tcBorders>
            <w:noWrap w:val="0"/>
            <w:vAlign w:val="center"/>
          </w:tcPr>
          <w:p w14:paraId="521A472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6" w:space="0"/>
              <w:left w:val="single" w:color="auto" w:sz="6" w:space="0"/>
              <w:bottom w:val="single" w:color="auto" w:sz="4" w:space="0"/>
              <w:right w:val="single" w:color="auto" w:sz="4" w:space="0"/>
            </w:tcBorders>
            <w:noWrap w:val="0"/>
            <w:vAlign w:val="center"/>
          </w:tcPr>
          <w:p w14:paraId="015B839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5A9D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noWrap w:val="0"/>
            <w:vAlign w:val="center"/>
          </w:tcPr>
          <w:p w14:paraId="13894A9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FB16E17">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乙方名称</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7083DCE1">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7E7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31817CF2">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12AD77B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乙方企业性质</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64977924">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中型企业     □ 小型企业            □ 微型企业    </w:t>
            </w:r>
          </w:p>
          <w:p w14:paraId="264A5E24">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监狱企业     □ 残疾人福利性单位    □ 其他</w:t>
            </w:r>
          </w:p>
        </w:tc>
      </w:tr>
      <w:tr w14:paraId="54ED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3064C389">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315E0A4F">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乙方地址</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4DF1EE34">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5C88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070AA1BD">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979944A">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乙方联系人</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06BD2BA8">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7880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440C9B46">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D84E5B5">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3C87C21F">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4BAB2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noWrap w:val="0"/>
            <w:vAlign w:val="center"/>
          </w:tcPr>
          <w:p w14:paraId="675F5B2A">
            <w:pPr>
              <w:keepNext w:val="0"/>
              <w:keepLines w:val="0"/>
              <w:pageBreakBefore w:val="0"/>
              <w:widowControl/>
              <w:suppressLineNumbers w:val="0"/>
              <w:shd w:val="clear"/>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E2841E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293F792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p>
        </w:tc>
      </w:tr>
      <w:tr w14:paraId="2D2B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60BEB9A6">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EAFB7A2">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398C13F5">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大写</w:t>
            </w:r>
            <w:r>
              <w:rPr>
                <w:rFonts w:hint="eastAsia" w:ascii="宋体" w:hAnsi="宋体" w:cs="宋体"/>
                <w:color w:val="auto"/>
                <w:sz w:val="21"/>
                <w:szCs w:val="21"/>
                <w:highlight w:val="none"/>
                <w:u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0B07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1456181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9A7B4E9">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服务内容</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4077559B">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default" w:ascii="Times New Roman" w:hAnsi="Times New Roman" w:eastAsia="宋体" w:cs="Times New Roman"/>
                <w:color w:val="auto"/>
                <w:szCs w:val="21"/>
                <w:highlight w:val="none"/>
              </w:rPr>
              <w:t>详见</w:t>
            </w:r>
            <w:r>
              <w:rPr>
                <w:rFonts w:hint="eastAsia" w:ascii="Times New Roman" w:hAnsi="Times New Roman" w:cs="Times New Roman"/>
                <w:color w:val="auto"/>
                <w:szCs w:val="21"/>
                <w:highlight w:val="none"/>
                <w:lang w:eastAsia="zh-CN"/>
              </w:rPr>
              <w:t>磋商</w:t>
            </w:r>
            <w:r>
              <w:rPr>
                <w:rFonts w:hint="default" w:ascii="Times New Roman" w:hAnsi="Times New Roman" w:eastAsia="宋体" w:cs="Times New Roman"/>
                <w:color w:val="auto"/>
                <w:szCs w:val="21"/>
                <w:highlight w:val="none"/>
              </w:rPr>
              <w:t>文件采购需求。</w:t>
            </w:r>
          </w:p>
        </w:tc>
      </w:tr>
      <w:tr w14:paraId="6E05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70DE9611">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033FC152">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合同付款</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2DE58F67">
            <w:pPr>
              <w:keepNext w:val="0"/>
              <w:keepLines w:val="0"/>
              <w:pageBreakBefore w:val="0"/>
              <w:widowControl/>
              <w:suppressLineNumbers w:val="0"/>
              <w:bidi w:val="0"/>
              <w:spacing w:line="380" w:lineRule="exact"/>
              <w:ind w:left="0" w:right="0" w:firstLine="420" w:firstLineChars="200"/>
              <w:jc w:val="both"/>
              <w:outlineLvl w:val="9"/>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采取先服务再付款、按</w:t>
            </w:r>
            <w:r>
              <w:rPr>
                <w:rFonts w:hint="eastAsia" w:ascii="宋体" w:hAnsi="宋体" w:cs="宋体"/>
                <w:color w:val="auto"/>
                <w:szCs w:val="21"/>
                <w:highlight w:val="none"/>
                <w:lang w:val="en-US" w:eastAsia="zh-CN"/>
              </w:rPr>
              <w:t>月</w:t>
            </w:r>
            <w:r>
              <w:rPr>
                <w:rFonts w:hint="eastAsia" w:ascii="宋体" w:hAnsi="宋体" w:eastAsia="宋体" w:cs="宋体"/>
                <w:color w:val="auto"/>
                <w:szCs w:val="21"/>
                <w:highlight w:val="none"/>
              </w:rPr>
              <w:t>考核</w:t>
            </w:r>
            <w:r>
              <w:rPr>
                <w:rFonts w:hint="eastAsia"/>
                <w:color w:val="auto"/>
                <w:highlight w:val="none"/>
                <w:lang w:eastAsia="zh-CN"/>
              </w:rPr>
              <w:t>，</w:t>
            </w:r>
            <w:r>
              <w:rPr>
                <w:rFonts w:hint="eastAsia"/>
                <w:color w:val="auto"/>
                <w:highlight w:val="none"/>
                <w:lang w:val="en-US" w:eastAsia="zh-CN"/>
              </w:rPr>
              <w:t>按季度</w:t>
            </w:r>
            <w:r>
              <w:rPr>
                <w:rFonts w:hint="eastAsia" w:ascii="宋体" w:hAnsi="宋体" w:eastAsia="宋体" w:cs="宋体"/>
                <w:color w:val="auto"/>
                <w:szCs w:val="21"/>
                <w:highlight w:val="none"/>
              </w:rPr>
              <w:t>结算的方式。每</w:t>
            </w:r>
            <w:r>
              <w:rPr>
                <w:rFonts w:hint="eastAsia" w:ascii="宋体" w:hAnsi="宋体" w:cs="宋体"/>
                <w:color w:val="auto"/>
                <w:szCs w:val="21"/>
                <w:highlight w:val="none"/>
                <w:lang w:val="en-US" w:eastAsia="zh-CN"/>
              </w:rPr>
              <w:t>季度首</w:t>
            </w:r>
            <w:r>
              <w:rPr>
                <w:rFonts w:hint="eastAsia" w:ascii="宋体" w:hAnsi="宋体" w:eastAsia="宋体" w:cs="宋体"/>
                <w:color w:val="auto"/>
                <w:szCs w:val="21"/>
                <w:highlight w:val="none"/>
              </w:rPr>
              <w:t>月10日前，</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按经双方确认的考核结果对合同服务费进行汇总扣款后支付剩余款项。服务费从</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开始实施物业管理服务工作之日起开始计算，足月的月份服务费为：月服务费=年度合同金额/12-月考核汇总扣款；不足月的月份服务费为：年度合同金额/12÷当月日历天数×当月实际工作天数-月考核汇总扣款。</w:t>
            </w:r>
          </w:p>
          <w:p w14:paraId="4D225522">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付款前，</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应向合同甲方开具等额有效的增值税发票，</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收到</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发票后10个工作日内将相应款项支付到合同约定的</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账户。</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未收到发票的，有权不予支付直至</w:t>
            </w:r>
            <w:r>
              <w:rPr>
                <w:rFonts w:hint="eastAsia" w:ascii="宋体" w:hAnsi="宋体" w:cs="宋体"/>
                <w:color w:val="auto"/>
                <w:szCs w:val="21"/>
                <w:highlight w:val="none"/>
                <w:lang w:eastAsia="zh-CN"/>
              </w:rPr>
              <w:t>乙方</w:t>
            </w:r>
            <w:r>
              <w:rPr>
                <w:rFonts w:hint="eastAsia" w:ascii="宋体" w:hAnsi="宋体" w:eastAsia="宋体" w:cs="宋体"/>
                <w:color w:val="auto"/>
                <w:szCs w:val="21"/>
                <w:highlight w:val="none"/>
              </w:rPr>
              <w:t>提供合格发票，并不承担延迟付款责任。</w:t>
            </w:r>
          </w:p>
        </w:tc>
      </w:tr>
      <w:tr w14:paraId="34D3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2654D79E">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4F73324F">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履约保证金及返还</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6CE85FE9">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本项目不要求提供履约保证金。</w:t>
            </w:r>
          </w:p>
          <w:p w14:paraId="2A425CE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本项目要求提供履约保证金。履约保证金为合同总金额的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3</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%，即人民币</w:t>
            </w:r>
            <w:r>
              <w:rPr>
                <w:rFonts w:hint="eastAsia" w:ascii="宋体" w:hAnsi="宋体" w:eastAsia="宋体" w:cs="宋体"/>
                <w:color w:val="auto"/>
                <w:sz w:val="21"/>
                <w:szCs w:val="21"/>
                <w:highlight w:val="none"/>
                <w:u w:val="single"/>
                <w:lang w:val="e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lang w:val="en"/>
              </w:rPr>
              <w:t>元</w:t>
            </w:r>
            <w:r>
              <w:rPr>
                <w:rFonts w:hint="eastAsia" w:ascii="宋体" w:hAnsi="宋体" w:eastAsia="宋体" w:cs="宋体"/>
                <w:color w:val="auto"/>
                <w:sz w:val="21"/>
                <w:szCs w:val="21"/>
                <w:highlight w:val="none"/>
              </w:rPr>
              <w:t>整（¥</w:t>
            </w:r>
            <w:r>
              <w:rPr>
                <w:rFonts w:hint="eastAsia" w:ascii="宋体" w:hAnsi="宋体" w:eastAsia="宋体" w:cs="宋体"/>
                <w:color w:val="auto"/>
                <w:sz w:val="21"/>
                <w:szCs w:val="21"/>
                <w:highlight w:val="none"/>
                <w:u w:val="single"/>
                <w:lang w:val="e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
              </w:rPr>
              <w:t xml:space="preserve"> </w:t>
            </w:r>
            <w:r>
              <w:rPr>
                <w:rFonts w:hint="eastAsia" w:ascii="宋体" w:hAnsi="宋体" w:eastAsia="宋体" w:cs="宋体"/>
                <w:color w:val="auto"/>
                <w:sz w:val="21"/>
                <w:szCs w:val="21"/>
                <w:highlight w:val="none"/>
              </w:rPr>
              <w:t>），乙方在签订合同前应提交履约保证金，否则，不予签订合同。提交方式为支票、汇票、本票或者金融机构、担保机构出具的保函等非现金形式。采用转账、电汇方式的，由乙方在签订合同前按规定的金额从乙方银行账户直接缴入甲方账户。</w:t>
            </w:r>
          </w:p>
          <w:p w14:paraId="4DB9F727">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合同期满，乙方应提供履约保证金返还申请（格式另附）、合同或合同关键页复印件、合同约定的其他资料，涉及验收的，应同时提交甲方需求部门出具的项目终验意见或质量保证期（合同履约期）满验收意见。</w:t>
            </w:r>
          </w:p>
          <w:p w14:paraId="791338F3">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满足履约保证金返还条件且双方对核实结果无异议的，自完成核实之日起 30 日内，甲方根据项目验收意见扣除应扣除的款项（如有）后，原路无息返还履约保证金。</w:t>
            </w:r>
          </w:p>
        </w:tc>
      </w:tr>
      <w:tr w14:paraId="6E298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33B8704C">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29228738">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7E9FB611">
            <w:pPr>
              <w:keepNext w:val="0"/>
              <w:keepLines w:val="0"/>
              <w:widowControl/>
              <w:suppressLineNumbers w:val="0"/>
              <w:shd w:val="clear"/>
              <w:tabs>
                <w:tab w:val="left" w:pos="700"/>
              </w:tabs>
              <w:topLinePunct/>
              <w:adjustRightInd w:val="0"/>
              <w:snapToGrid w:val="0"/>
              <w:spacing w:beforeAutospacing="0" w:afterAutospacing="0" w:line="400" w:lineRule="exact"/>
              <w:ind w:left="0" w:right="0"/>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服务期</w:t>
            </w:r>
            <w:r>
              <w:rPr>
                <w:rFonts w:hint="eastAsia" w:ascii="宋体" w:hAnsi="宋体" w:cs="宋体"/>
                <w:color w:val="auto"/>
                <w:sz w:val="21"/>
                <w:szCs w:val="21"/>
                <w:highlight w:val="none"/>
                <w:lang w:val="en-US" w:eastAsia="zh-CN"/>
              </w:rPr>
              <w:t>1年。</w:t>
            </w:r>
          </w:p>
          <w:p w14:paraId="5F7D0421">
            <w:pPr>
              <w:keepNext w:val="0"/>
              <w:keepLines w:val="0"/>
              <w:widowControl/>
              <w:suppressLineNumbers w:val="0"/>
              <w:shd w:val="clear"/>
              <w:tabs>
                <w:tab w:val="left" w:pos="700"/>
              </w:tabs>
              <w:topLinePunct/>
              <w:adjustRightInd w:val="0"/>
              <w:snapToGrid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具体时间从</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07EEB999">
            <w:pPr>
              <w:keepNext w:val="0"/>
              <w:keepLines w:val="0"/>
              <w:pageBreakBefore w:val="0"/>
              <w:widowControl/>
              <w:suppressLineNumbers w:val="0"/>
              <w:shd w:val="clear"/>
              <w:tabs>
                <w:tab w:val="left" w:pos="700"/>
              </w:tabs>
              <w:kinsoku/>
              <w:wordWrap/>
              <w:overflowPunct/>
              <w:topLinePunct/>
              <w:autoSpaceDE/>
              <w:autoSpaceDN/>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合同期满，如甲方要求乙方继续提供本合同服务的，顺延至新的</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供应商提供服务之日或者甲方通知停止服务之日止。顺延期间，原合同服务内容、服务费用以及甲、乙双方的责任和义务等内容不变，</w:t>
            </w:r>
            <w:r>
              <w:rPr>
                <w:rFonts w:hint="eastAsia" w:ascii="宋体" w:hAnsi="宋体" w:eastAsia="宋体" w:cs="宋体"/>
                <w:b w:val="0"/>
                <w:bCs w:val="0"/>
                <w:color w:val="auto"/>
                <w:sz w:val="21"/>
                <w:szCs w:val="21"/>
                <w:highlight w:val="none"/>
              </w:rPr>
              <w:t>但双方</w:t>
            </w:r>
            <w:r>
              <w:rPr>
                <w:rFonts w:hint="eastAsia" w:ascii="宋体" w:hAnsi="宋体" w:eastAsia="宋体" w:cs="宋体"/>
                <w:color w:val="auto"/>
                <w:sz w:val="21"/>
                <w:szCs w:val="21"/>
                <w:highlight w:val="none"/>
              </w:rPr>
              <w:t>另有约定的除外。</w:t>
            </w:r>
          </w:p>
        </w:tc>
      </w:tr>
      <w:tr w14:paraId="01C9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52E04DE9">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2</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595BBB80">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合同履约地点</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65358CCE">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rPr>
              <w:t>广西南宁市</w:t>
            </w:r>
          </w:p>
        </w:tc>
      </w:tr>
      <w:tr w14:paraId="6588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noWrap w:val="0"/>
            <w:vAlign w:val="center"/>
          </w:tcPr>
          <w:p w14:paraId="573AB372">
            <w:pPr>
              <w:keepNext w:val="0"/>
              <w:keepLines w:val="0"/>
              <w:pageBreakBefore w:val="0"/>
              <w:widowControl/>
              <w:suppressLineNumbers w:val="0"/>
              <w:shd w:val="clear"/>
              <w:tabs>
                <w:tab w:val="left" w:pos="700"/>
              </w:tabs>
              <w:kinsoku/>
              <w:wordWrap/>
              <w:overflowPunct/>
              <w:topLinePunct/>
              <w:bidi w:val="0"/>
              <w:adjustRightInd w:val="0"/>
              <w:snapToGrid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3</w:t>
            </w:r>
          </w:p>
        </w:tc>
        <w:tc>
          <w:tcPr>
            <w:tcW w:w="1909" w:type="dxa"/>
            <w:gridSpan w:val="2"/>
            <w:tcBorders>
              <w:top w:val="single" w:color="auto" w:sz="4" w:space="0"/>
              <w:left w:val="single" w:color="auto" w:sz="4" w:space="0"/>
              <w:bottom w:val="single" w:color="auto" w:sz="4" w:space="0"/>
              <w:right w:val="single" w:color="auto" w:sz="4" w:space="0"/>
            </w:tcBorders>
            <w:noWrap w:val="0"/>
            <w:vAlign w:val="center"/>
          </w:tcPr>
          <w:p w14:paraId="61A98A03">
            <w:pPr>
              <w:keepNext w:val="0"/>
              <w:keepLines w:val="0"/>
              <w:pageBreakBefore w:val="0"/>
              <w:widowControl/>
              <w:suppressLineNumbers w:val="0"/>
              <w:shd w:val="clear"/>
              <w:tabs>
                <w:tab w:val="left" w:pos="700"/>
              </w:tabs>
              <w:kinsoku/>
              <w:wordWrap/>
              <w:overflowPunct/>
              <w:topLinePunct/>
              <w:bidi w:val="0"/>
              <w:adjustRightInd w:val="0"/>
              <w:snapToGrid w:val="0"/>
              <w:spacing w:beforeAutospacing="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合同纠纷解决方式</w:t>
            </w:r>
          </w:p>
        </w:tc>
        <w:tc>
          <w:tcPr>
            <w:tcW w:w="6264" w:type="dxa"/>
            <w:tcBorders>
              <w:top w:val="single" w:color="auto" w:sz="4" w:space="0"/>
              <w:left w:val="single" w:color="auto" w:sz="4" w:space="0"/>
              <w:bottom w:val="single" w:color="auto" w:sz="4" w:space="0"/>
              <w:right w:val="single" w:color="auto" w:sz="4" w:space="0"/>
            </w:tcBorders>
            <w:noWrap w:val="0"/>
            <w:vAlign w:val="center"/>
          </w:tcPr>
          <w:p w14:paraId="515B8A30">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甲乙双方应首先通过友好协商解决在执行本合同中所发生的或与本合同有关的一切争端。如从协商开始</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lang w:eastAsia="zh-CN"/>
              </w:rPr>
              <w:t>天内仍不能解决，可以选择以下途径之一解决纠纷：</w:t>
            </w:r>
          </w:p>
          <w:p w14:paraId="492DE9FA">
            <w:pPr>
              <w:keepNext w:val="0"/>
              <w:keepLines w:val="0"/>
              <w:pageBreakBefore w:val="0"/>
              <w:widowControl/>
              <w:suppressLineNumbers w:val="0"/>
              <w:shd w:val="clear"/>
              <w:tabs>
                <w:tab w:val="left" w:pos="700"/>
              </w:tabs>
              <w:kinsoku/>
              <w:wordWrap/>
              <w:overflowPunct/>
              <w:topLinePunct/>
              <w:bidi w:val="0"/>
              <w:adjustRightInd w:val="0"/>
              <w:snapToGrid w:val="0"/>
              <w:spacing w:beforeAutospacing="0" w:afterAutospacing="0" w:line="40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□向甲方所在地仲裁委员会申请仲裁</w:t>
            </w:r>
          </w:p>
          <w:p w14:paraId="1C78773B">
            <w:pPr>
              <w:keepNext w:val="0"/>
              <w:keepLines w:val="0"/>
              <w:pageBreakBefore w:val="0"/>
              <w:widowControl/>
              <w:suppressLineNumbers w:val="0"/>
              <w:shd w:val="clear"/>
              <w:tabs>
                <w:tab w:val="left" w:pos="700"/>
              </w:tabs>
              <w:kinsoku/>
              <w:wordWrap/>
              <w:overflowPunct/>
              <w:topLinePunct/>
              <w:bidi w:val="0"/>
              <w:adjustRightInd w:val="0"/>
              <w:snapToGrid w:val="0"/>
              <w:spacing w:beforeAutospacing="0" w:afterAutospacing="0" w:line="40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☑向甲方所在地人民法院提起诉讼</w:t>
            </w:r>
          </w:p>
        </w:tc>
      </w:tr>
    </w:tbl>
    <w:p w14:paraId="57BD3764">
      <w:pPr>
        <w:shd w:val="clear"/>
        <w:tabs>
          <w:tab w:val="left" w:pos="700"/>
        </w:tabs>
        <w:topLinePunct/>
        <w:autoSpaceDE w:val="0"/>
        <w:autoSpaceDN w:val="0"/>
        <w:spacing w:before="0" w:beforeAutospacing="0" w:after="0" w:afterAutospacing="0" w:line="460" w:lineRule="exact"/>
        <w:rPr>
          <w:rFonts w:hint="eastAsia" w:ascii="宋体" w:hAnsi="宋体" w:eastAsia="宋体" w:cs="宋体"/>
          <w:b/>
          <w:color w:val="auto"/>
          <w:sz w:val="24"/>
          <w:highlight w:val="none"/>
        </w:rPr>
      </w:pPr>
      <w:r>
        <w:rPr>
          <w:rFonts w:hint="eastAsia" w:ascii="宋体" w:hAnsi="宋体" w:eastAsia="宋体" w:cs="宋体"/>
          <w:b/>
          <w:color w:val="auto"/>
          <w:sz w:val="28"/>
          <w:highlight w:val="none"/>
        </w:rPr>
        <w:br w:type="page"/>
      </w:r>
    </w:p>
    <w:p w14:paraId="0D74E217">
      <w:pPr>
        <w:shd w:val="clear"/>
        <w:tabs>
          <w:tab w:val="left" w:pos="0"/>
        </w:tabs>
        <w:topLinePunct/>
        <w:autoSpaceDE w:val="0"/>
        <w:autoSpaceDN w:val="0"/>
        <w:spacing w:before="0" w:beforeAutospacing="0" w:after="0" w:afterAutospacing="0"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   合  同 </w:t>
      </w:r>
    </w:p>
    <w:p w14:paraId="20B9D519">
      <w:pPr>
        <w:keepNext w:val="0"/>
        <w:keepLines w:val="0"/>
        <w:pageBreakBefore w:val="0"/>
        <w:widowControl/>
        <w:shd w:val="clear"/>
        <w:tabs>
          <w:tab w:val="left" w:pos="540"/>
        </w:tabs>
        <w:kinsoku/>
        <w:wordWrap w:val="0"/>
        <w:overflowPunct/>
        <w:topLinePunct/>
        <w:autoSpaceDE/>
        <w:autoSpaceDN/>
        <w:bidi w:val="0"/>
        <w:snapToGrid w:val="0"/>
        <w:spacing w:before="0" w:beforeAutospacing="0" w:after="0" w:afterAutospacing="0" w:line="400" w:lineRule="exact"/>
        <w:textAlignment w:val="auto"/>
        <w:rPr>
          <w:rFonts w:hint="eastAsia" w:ascii="宋体" w:hAnsi="宋体" w:eastAsia="宋体" w:cs="宋体"/>
          <w:b/>
          <w:color w:val="auto"/>
          <w:sz w:val="24"/>
          <w:highlight w:val="none"/>
        </w:rPr>
      </w:pPr>
    </w:p>
    <w:p w14:paraId="576C336C">
      <w:pPr>
        <w:keepNext w:val="0"/>
        <w:keepLines w:val="0"/>
        <w:pageBreakBefore w:val="0"/>
        <w:widowControl/>
        <w:shd w:val="clear"/>
        <w:tabs>
          <w:tab w:val="left" w:pos="700"/>
        </w:tabs>
        <w:kinsoku/>
        <w:wordWrap w:val="0"/>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cs="Times New Roman"/>
          <w:color w:val="auto"/>
          <w:szCs w:val="21"/>
          <w:highlight w:val="none"/>
          <w:lang w:eastAsia="zh-CN"/>
        </w:rPr>
        <w:t>国家税务总局南宁市西乡塘区税务局</w:t>
      </w:r>
      <w:r>
        <w:rPr>
          <w:rFonts w:hint="eastAsia" w:ascii="宋体" w:hAnsi="宋体" w:eastAsia="宋体" w:cs="宋体"/>
          <w:color w:val="auto"/>
          <w:sz w:val="21"/>
          <w:szCs w:val="21"/>
          <w:highlight w:val="none"/>
        </w:rPr>
        <w:t>（以下简称“甲方”）通过</w:t>
      </w:r>
      <w:r>
        <w:rPr>
          <w:rFonts w:hint="eastAsia" w:ascii="宋体" w:hAnsi="宋体" w:eastAsia="宋体" w:cs="宋体"/>
          <w:color w:val="auto"/>
          <w:sz w:val="21"/>
          <w:szCs w:val="21"/>
          <w:highlight w:val="none"/>
          <w:u w:val="single"/>
          <w:lang w:eastAsia="zh-CN"/>
        </w:rPr>
        <w:t>磋商方</w:t>
      </w:r>
      <w:r>
        <w:rPr>
          <w:rFonts w:hint="eastAsia" w:ascii="宋体" w:hAnsi="宋体" w:eastAsia="宋体" w:cs="宋体"/>
          <w:color w:val="auto"/>
          <w:sz w:val="21"/>
          <w:szCs w:val="21"/>
          <w:highlight w:val="none"/>
          <w:u w:val="single"/>
          <w:lang w:val="en-US" w:eastAsia="zh-CN"/>
        </w:rPr>
        <w:t>式</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确定</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公司（以下简称“乙方”）为《</w:t>
      </w:r>
      <w:r>
        <w:rPr>
          <w:rFonts w:hint="eastAsia" w:ascii="宋体" w:hAnsi="宋体"/>
          <w:color w:val="auto"/>
          <w:kern w:val="0"/>
          <w:sz w:val="21"/>
          <w:szCs w:val="21"/>
          <w:highlight w:val="none"/>
          <w:lang w:eastAsia="zh-CN"/>
        </w:rPr>
        <w:t>国家税务总局南宁市西乡塘区税务局2026年物业管理项目</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。甲乙双方同意按照该项目</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约定的内容，签署《</w:t>
      </w:r>
      <w:r>
        <w:rPr>
          <w:rFonts w:hint="eastAsia" w:ascii="宋体" w:hAnsi="宋体"/>
          <w:color w:val="auto"/>
          <w:kern w:val="0"/>
          <w:sz w:val="21"/>
          <w:szCs w:val="21"/>
          <w:highlight w:val="none"/>
          <w:lang w:eastAsia="zh-CN"/>
        </w:rPr>
        <w:t>国家税务总局南宁市西乡塘区税务局2026年物业管理项目</w:t>
      </w:r>
      <w:r>
        <w:rPr>
          <w:rFonts w:hint="eastAsia" w:ascii="宋体" w:hAnsi="宋体" w:eastAsia="宋体" w:cs="宋体"/>
          <w:color w:val="auto"/>
          <w:sz w:val="21"/>
          <w:szCs w:val="21"/>
          <w:highlight w:val="none"/>
        </w:rPr>
        <w:t>合同书》（合同编号：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，以下简称“合同”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DF4DEC4">
      <w:pPr>
        <w:keepNext w:val="0"/>
        <w:keepLines w:val="0"/>
        <w:pageBreakBefore w:val="0"/>
        <w:widowControl/>
        <w:shd w:val="clear"/>
        <w:kinsoku/>
        <w:wordWrap w:val="0"/>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 合同文件</w:t>
      </w:r>
    </w:p>
    <w:p w14:paraId="5923760D">
      <w:pPr>
        <w:keepNext w:val="0"/>
        <w:keepLines w:val="0"/>
        <w:pageBreakBefore w:val="0"/>
        <w:widowControl/>
        <w:shd w:val="clear"/>
        <w:tabs>
          <w:tab w:val="left" w:pos="700"/>
        </w:tabs>
        <w:kinsoku/>
        <w:wordWrap w:val="0"/>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本合同所附下列文件是构成本合同不可分割的部分：</w:t>
      </w:r>
    </w:p>
    <w:p w14:paraId="0DF0ED60">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（1）合同通用条款；</w:t>
      </w:r>
    </w:p>
    <w:p w14:paraId="764D0D57">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（2）报价表（总报价表和分项报价表）；</w:t>
      </w:r>
    </w:p>
    <w:p w14:paraId="2790D4A0">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）采购文件；</w:t>
      </w:r>
    </w:p>
    <w:p w14:paraId="030F47AB">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w:t>
      </w:r>
    </w:p>
    <w:p w14:paraId="509F945A">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 合同范围和条件</w:t>
      </w:r>
    </w:p>
    <w:p w14:paraId="15BE4B35">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本合同的范围和条件应与上述合同文件的规定相一致。</w:t>
      </w:r>
    </w:p>
    <w:p w14:paraId="6094152C">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 合同金额</w:t>
      </w:r>
    </w:p>
    <w:p w14:paraId="5D971848">
      <w:pPr>
        <w:keepNext w:val="0"/>
        <w:keepLines w:val="0"/>
        <w:pageBreakBefore w:val="0"/>
        <w:widowControl/>
        <w:suppressLineNumbers w:val="0"/>
        <w:kinsoku/>
        <w:wordWrap/>
        <w:overflowPunct/>
        <w:topLinePunct/>
        <w:autoSpaceDE/>
        <w:autoSpaceDN/>
        <w:bidi w:val="0"/>
        <w:adjustRightInd w:val="0"/>
        <w:snapToGrid w:val="0"/>
        <w:spacing w:before="0" w:beforeAutospacing="0" w:after="0" w:afterAutospacing="0"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1"/>
          <w:szCs w:val="21"/>
          <w:highlight w:val="none"/>
          <w:lang w:val="en-US" w:eastAsia="zh-CN" w:bidi="ar"/>
        </w:rPr>
        <w:t>合同总金额为人民币______元</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______</w:t>
      </w:r>
      <w:r>
        <w:rPr>
          <w:rFonts w:hint="eastAsia" w:ascii="宋体" w:hAnsi="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，本合同项下所有服务的全部税费均已包含于合同价中，甲方不再另行支付。</w:t>
      </w:r>
    </w:p>
    <w:p w14:paraId="069048DE">
      <w:pPr>
        <w:keepNext w:val="0"/>
        <w:keepLines w:val="0"/>
        <w:pageBreakBefore w:val="0"/>
        <w:widowControl/>
        <w:numPr>
          <w:ilvl w:val="0"/>
          <w:numId w:val="0"/>
        </w:numPr>
        <w:shd w:val="clear"/>
        <w:tabs>
          <w:tab w:val="left" w:pos="700"/>
        </w:tabs>
        <w:kinsoku/>
        <w:wordWrap/>
        <w:overflowPunct/>
        <w:topLinePunct/>
        <w:autoSpaceDE/>
        <w:autoSpaceDN/>
        <w:bidi w:val="0"/>
        <w:adjustRightInd w:val="0"/>
        <w:snapToGrid w:val="0"/>
        <w:spacing w:before="0" w:beforeAutospacing="0" w:after="0" w:afterAutospacing="0"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
        </w:rPr>
        <w:t>4.</w:t>
      </w:r>
      <w:r>
        <w:rPr>
          <w:rFonts w:hint="eastAsia" w:ascii="宋体" w:hAnsi="宋体" w:eastAsia="宋体" w:cs="宋体"/>
          <w:b/>
          <w:color w:val="auto"/>
          <w:sz w:val="21"/>
          <w:szCs w:val="21"/>
          <w:highlight w:val="none"/>
        </w:rPr>
        <w:t>付款条件</w:t>
      </w:r>
    </w:p>
    <w:p w14:paraId="46244429">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采取先服务再付款、按</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rPr>
        <w:t>考核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按季度</w:t>
      </w:r>
      <w:r>
        <w:rPr>
          <w:rFonts w:hint="eastAsia" w:ascii="宋体" w:hAnsi="宋体" w:eastAsia="宋体" w:cs="宋体"/>
          <w:color w:val="auto"/>
          <w:sz w:val="21"/>
          <w:szCs w:val="21"/>
          <w:highlight w:val="none"/>
        </w:rPr>
        <w:t>结算的方式。每</w:t>
      </w:r>
      <w:r>
        <w:rPr>
          <w:rFonts w:hint="eastAsia" w:ascii="宋体" w:hAnsi="宋体" w:eastAsia="宋体" w:cs="宋体"/>
          <w:color w:val="auto"/>
          <w:sz w:val="21"/>
          <w:szCs w:val="21"/>
          <w:highlight w:val="none"/>
          <w:lang w:val="en-US" w:eastAsia="zh-CN"/>
        </w:rPr>
        <w:t>季度首</w:t>
      </w:r>
      <w:r>
        <w:rPr>
          <w:rFonts w:hint="eastAsia" w:ascii="宋体" w:hAnsi="宋体" w:eastAsia="宋体" w:cs="宋体"/>
          <w:color w:val="auto"/>
          <w:sz w:val="21"/>
          <w:szCs w:val="21"/>
          <w:highlight w:val="none"/>
        </w:rPr>
        <w:t>月10日前，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按经双方确认的考核结果对合同服务费进行汇总扣款后支付剩余款项。服务费从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开始实施物业管理服务工作之日起开始计算，足月的月份服务费为：月服务费=年度合同金额/12-月考核汇总扣款；不足月的月份服务费为：年度合同金额/12÷当月日历天数×当月实际工作天数-月考核汇总扣款。</w:t>
      </w:r>
    </w:p>
    <w:p w14:paraId="6AA082BD">
      <w:pPr>
        <w:keepNext w:val="0"/>
        <w:keepLines w:val="0"/>
        <w:pageBreakBefore w:val="0"/>
        <w:widowControl/>
        <w:suppressLineNumbers w:val="0"/>
        <w:shd w:val="clear"/>
        <w:tabs>
          <w:tab w:val="left" w:pos="700"/>
        </w:tabs>
        <w:kinsoku/>
        <w:wordWrap/>
        <w:overflowPunct/>
        <w:topLinePunct/>
        <w:bidi w:val="0"/>
        <w:adjustRightInd w:val="0"/>
        <w:snapToGrid w:val="0"/>
        <w:spacing w:before="0" w:beforeAutospacing="0" w:after="0" w:afterAutospacing="0" w:line="400" w:lineRule="exact"/>
        <w:ind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付款前，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应向合同甲方开具等额有效的增值税发票，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收到</w:t>
      </w:r>
      <w:r>
        <w:rPr>
          <w:rFonts w:hint="eastAsia" w:ascii="宋体" w:hAnsi="宋体" w:eastAsia="宋体" w:cs="宋体"/>
          <w:color w:val="auto"/>
          <w:sz w:val="21"/>
          <w:szCs w:val="21"/>
          <w:highlight w:val="none"/>
          <w:lang w:eastAsia="zh-CN"/>
        </w:rPr>
        <w:t>合格</w:t>
      </w:r>
      <w:r>
        <w:rPr>
          <w:rFonts w:hint="eastAsia" w:ascii="宋体" w:hAnsi="宋体" w:eastAsia="宋体" w:cs="宋体"/>
          <w:color w:val="auto"/>
          <w:sz w:val="21"/>
          <w:szCs w:val="21"/>
          <w:highlight w:val="none"/>
        </w:rPr>
        <w:t>发票后10个工作日内将相应款项支付到合同约定的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账户。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未收到发票的，有权不予支付直至</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提供合格发票，并不承担延迟付款责任。</w:t>
      </w:r>
    </w:p>
    <w:p w14:paraId="6850F8AE">
      <w:pPr>
        <w:keepNext w:val="0"/>
        <w:keepLines w:val="0"/>
        <w:pageBreakBefore w:val="0"/>
        <w:widowControl/>
        <w:shd w:val="clear"/>
        <w:kinsoku/>
        <w:wordWrap/>
        <w:overflowPunct/>
        <w:topLinePunct/>
        <w:autoSpaceDE/>
        <w:autoSpaceDN/>
        <w:bidi w:val="0"/>
        <w:adjustRightInd w:val="0"/>
        <w:snapToGrid w:val="0"/>
        <w:spacing w:before="0" w:beforeAutospacing="0" w:after="0" w:afterAutospacing="0" w:line="360" w:lineRule="auto"/>
        <w:ind w:left="0"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5. 合同签订</w:t>
      </w:r>
      <w:r>
        <w:rPr>
          <w:rFonts w:hint="eastAsia" w:ascii="宋体" w:hAnsi="宋体" w:eastAsia="宋体" w:cs="宋体"/>
          <w:b/>
          <w:color w:val="auto"/>
          <w:sz w:val="21"/>
          <w:szCs w:val="21"/>
          <w:highlight w:val="none"/>
          <w:lang w:eastAsia="zh-CN"/>
        </w:rPr>
        <w:t>及生效</w:t>
      </w:r>
    </w:p>
    <w:p w14:paraId="552369CB">
      <w:pPr>
        <w:pStyle w:val="66"/>
        <w:keepNext w:val="0"/>
        <w:keepLines w:val="0"/>
        <w:pageBreakBefore w:val="0"/>
        <w:widowControl/>
        <w:numPr>
          <w:ilvl w:val="0"/>
          <w:numId w:val="0"/>
        </w:numPr>
        <w:shd w:val="clear"/>
        <w:tabs>
          <w:tab w:val="left" w:pos="840"/>
        </w:tabs>
        <w:kinsoku/>
        <w:wordWrap/>
        <w:overflowPunct/>
        <w:topLinePunct/>
        <w:autoSpaceDE/>
        <w:autoSpaceDN/>
        <w:bidi w:val="0"/>
        <w:adjustRightInd w:val="0"/>
        <w:snapToGrid w:val="0"/>
        <w:spacing w:before="0" w:after="0" w:line="360" w:lineRule="auto"/>
        <w:ind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本合同一式七份，由甲乙双方法定代表人或被授权人签字并盖章后生效。</w:t>
      </w:r>
    </w:p>
    <w:p w14:paraId="307945C2">
      <w:pPr>
        <w:pStyle w:val="66"/>
        <w:keepNext w:val="0"/>
        <w:keepLines w:val="0"/>
        <w:pageBreakBefore w:val="0"/>
        <w:widowControl/>
        <w:numPr>
          <w:ilvl w:val="0"/>
          <w:numId w:val="0"/>
        </w:numPr>
        <w:shd w:val="clear"/>
        <w:tabs>
          <w:tab w:val="left" w:pos="840"/>
        </w:tabs>
        <w:kinsoku/>
        <w:wordWrap/>
        <w:overflowPunct/>
        <w:topLinePunct/>
        <w:autoSpaceDE/>
        <w:autoSpaceDN/>
        <w:bidi w:val="0"/>
        <w:adjustRightInd w:val="0"/>
        <w:snapToGrid w:val="0"/>
        <w:spacing w:before="0" w:after="0" w:line="360" w:lineRule="auto"/>
        <w:ind w:firstLine="420" w:firstLineChars="20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乙方由法定代表人签订合同的，应提供法定代表人身份证复印件；乙方由被授权人签订合同的，应提供授权委托书和被授权人身份证复印件。</w:t>
      </w:r>
    </w:p>
    <w:p w14:paraId="11588012">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cs="Times New Roman"/>
          <w:color w:val="auto"/>
          <w:szCs w:val="21"/>
          <w:highlight w:val="none"/>
          <w:lang w:eastAsia="zh-CN"/>
        </w:rPr>
        <w:t>国家税务总局南宁市西乡塘区税务局</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w:t>
      </w:r>
    </w:p>
    <w:p w14:paraId="5C531C87">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签字：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签字：</w:t>
      </w:r>
    </w:p>
    <w:p w14:paraId="5EAF23A6">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盖章：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盖章： </w:t>
      </w:r>
    </w:p>
    <w:p w14:paraId="41C4D8CF">
      <w:pPr>
        <w:keepNext w:val="0"/>
        <w:keepLines w:val="0"/>
        <w:pageBreakBefore w:val="0"/>
        <w:widowControl/>
        <w:shd w:val="clear"/>
        <w:tabs>
          <w:tab w:val="left" w:pos="700"/>
        </w:tabs>
        <w:kinsoku/>
        <w:wordWrap/>
        <w:overflowPunct/>
        <w:topLinePunct/>
        <w:autoSpaceDE/>
        <w:autoSpaceDN/>
        <w:bidi w:val="0"/>
        <w:adjustRightInd w:val="0"/>
        <w:snapToGrid w:val="0"/>
        <w:spacing w:before="0" w:beforeAutospacing="0" w:after="0" w:afterAutospacing="0" w:line="360" w:lineRule="auto"/>
        <w:ind w:lef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xml:space="preserve">日期：    年    月    日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日期：     年   月   日</w:t>
      </w:r>
    </w:p>
    <w:p w14:paraId="7C3C2754">
      <w:pPr>
        <w:widowControl/>
        <w:shd w:val="clear"/>
        <w:topLinePunct/>
        <w:autoSpaceDE/>
        <w:autoSpaceDN/>
        <w:snapToGrid w:val="0"/>
        <w:spacing w:before="0" w:beforeAutospacing="0" w:after="0" w:afterAutospacing="0"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24"/>
          <w:highlight w:val="none"/>
        </w:rPr>
        <w:t>二  合 同 通 用 条 款</w:t>
      </w:r>
    </w:p>
    <w:p w14:paraId="29687B33">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1.定义</w:t>
      </w:r>
    </w:p>
    <w:p w14:paraId="275EC8FA">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本合同下列术语应解释为：</w:t>
      </w:r>
    </w:p>
    <w:p w14:paraId="4C47CBD8">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“甲方”是指</w:t>
      </w:r>
      <w:r>
        <w:rPr>
          <w:rFonts w:hint="eastAsia" w:cs="Times New Roman"/>
          <w:color w:val="auto"/>
          <w:szCs w:val="21"/>
          <w:highlight w:val="none"/>
          <w:lang w:eastAsia="zh-CN"/>
        </w:rPr>
        <w:t>国家税务总局南宁市西乡塘区税务局</w:t>
      </w:r>
      <w:r>
        <w:rPr>
          <w:rFonts w:hint="eastAsia" w:ascii="宋体" w:hAnsi="宋体" w:eastAsia="宋体" w:cs="宋体"/>
          <w:color w:val="auto"/>
          <w:szCs w:val="21"/>
          <w:highlight w:val="none"/>
        </w:rPr>
        <w:t>。</w:t>
      </w:r>
    </w:p>
    <w:p w14:paraId="3E9569FD">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“甲方采购部门”见“合同条款前附表”第5项“甲方采购部门”。</w:t>
      </w:r>
    </w:p>
    <w:p w14:paraId="4F45C3D8">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“甲方需求部门”见“合同条款前附表”第5项“甲方需求部门”。</w:t>
      </w:r>
    </w:p>
    <w:p w14:paraId="1855C448">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“乙方”见“合同条款前附表”第6项“乙方名称”。</w:t>
      </w:r>
    </w:p>
    <w:p w14:paraId="590215CD">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“合同”系指甲乙双方签订的、合同格式中载明的甲乙双方所达成的协议，包括所有的附件、附录和上述文件所提到的构成合同的所有文件。</w:t>
      </w:r>
    </w:p>
    <w:p w14:paraId="67AB0D4E">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“天”除非特别指出，“天”均为自然天。</w:t>
      </w:r>
    </w:p>
    <w:p w14:paraId="0AB3BF78">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2.标准</w:t>
      </w:r>
    </w:p>
    <w:p w14:paraId="6F0FE457">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 乙方为甲方交付或提供的服务应符合采购文件所述的标准，如果没有提及适用标准，则应符合相应的国家标准。这些标准必须是有关机构发布的最新版本的标准。</w:t>
      </w:r>
    </w:p>
    <w:p w14:paraId="22CFF328">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 除非技术要求中另有规定，计量单位均采用中华人民共和国法定计量单位。</w:t>
      </w:r>
    </w:p>
    <w:p w14:paraId="59E70F1D">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 服务</w:t>
      </w:r>
    </w:p>
    <w:p w14:paraId="52A904E9">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3.1 本项目的“服务”见“合同条款前附表”第8项“服务内容”。</w:t>
      </w:r>
    </w:p>
    <w:p w14:paraId="375C48BF">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乙方应保证所提供的服务符合合同规定的技术要求。如不符时，乙方应负全责并尽快处理解决，由此造成的损失和相关费用由乙方负责，甲方保留终止合同及索赔的权利。</w:t>
      </w:r>
    </w:p>
    <w:p w14:paraId="55E4AF8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乙方应保证通过执行合同中全部方案后，可以取得本合同约定的结果，达到本合同约定的预期目标。对任何情况下出现的问题，应尽快提出解决方案。</w:t>
      </w:r>
    </w:p>
    <w:p w14:paraId="0A0830AB">
      <w:pPr>
        <w:widowControl/>
        <w:shd w:val="clear"/>
        <w:tabs>
          <w:tab w:val="left" w:pos="0"/>
          <w:tab w:val="left" w:pos="54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如果乙方提供的服务和解决方案不符合甲方要求，或在规定的时间内没有弥补缺陷，甲方有权采取一切必要的补救措施，由此产生的费用全部由乙方负责。</w:t>
      </w:r>
    </w:p>
    <w:p w14:paraId="20A264F8">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除合同条款另行规定外，伴随服务的费用应含在合同价中，不单独进行支付。</w:t>
      </w:r>
    </w:p>
    <w:p w14:paraId="1303C305">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 知识产权</w:t>
      </w:r>
    </w:p>
    <w:p w14:paraId="43D7D88C">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乙方应保证所提供的服务免受第三方提出侵犯其知识产权（专利权、商标权、软件著作权、版权等）的起诉。</w:t>
      </w:r>
    </w:p>
    <w:p w14:paraId="3908D494">
      <w:pPr>
        <w:widowControl/>
        <w:shd w:val="clear"/>
        <w:tabs>
          <w:tab w:val="left" w:pos="0"/>
          <w:tab w:val="left" w:pos="540"/>
        </w:tabs>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14:paraId="34FB239F">
      <w:pPr>
        <w:widowControl/>
        <w:shd w:val="clear"/>
        <w:tabs>
          <w:tab w:val="left" w:pos="0"/>
          <w:tab w:val="left" w:pos="540"/>
        </w:tabs>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 乙方不得利用本项目实施过程中所产生的成果（包括发明、发现、可运行系统、源代码及相关技术资料、文档等），另行自行开发本合同业务范围内供纳税人缴费人使用的软件或产品，不得利用开发便利变相收费或搭车收费。</w:t>
      </w:r>
    </w:p>
    <w:p w14:paraId="599C0F56">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 保密条款</w:t>
      </w:r>
    </w:p>
    <w:p w14:paraId="689F2B7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 甲乙双方应对在本合同签订或履行过程中所接触的对方信息，包括但不限于知识产权、技术资料、技术诀窍、内部管理及其他相关信息，负有保密义务。</w:t>
      </w:r>
    </w:p>
    <w:p w14:paraId="27D18774">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14:paraId="2E3F8F7F">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（1）应以审慎态度避免泄漏、公开或传播甲方的信息；</w:t>
      </w:r>
    </w:p>
    <w:p w14:paraId="4F5B0940">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（2）在开发过程中对数据的处理方式应事先得到甲方的许可；</w:t>
      </w:r>
    </w:p>
    <w:p w14:paraId="3CEED0B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（3）未经甲方书面许可，不得对有关信息进行修改、补充、复制；</w:t>
      </w:r>
    </w:p>
    <w:p w14:paraId="66DFF1D6">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（4）未经甲方书面许可，不得将信息以任何方式（如E-mail）携带出甲方场所；</w:t>
      </w:r>
    </w:p>
    <w:p w14:paraId="00BB937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（5）未经甲方书面许可，不得将信息透露给任何其他人； </w:t>
      </w:r>
    </w:p>
    <w:p w14:paraId="7D4DA7B7">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（6）严禁在提交的软件产品中设置远程维护接口和后门程序；</w:t>
      </w:r>
    </w:p>
    <w:p w14:paraId="2470D20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（7）不得进行系统软硬件设备的远程维护；</w:t>
      </w:r>
    </w:p>
    <w:p w14:paraId="4659A859">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（8）甲方以书面形式提出的其他保密措施。</w:t>
      </w:r>
    </w:p>
    <w:p w14:paraId="00107C0D">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保密期限不受合同有效期的限制，在合同有效期结束后，信息</w:t>
      </w:r>
      <w:r>
        <w:rPr>
          <w:rFonts w:hint="eastAsia" w:ascii="宋体" w:hAnsi="宋体" w:eastAsia="宋体" w:cs="宋体"/>
          <w:color w:val="auto"/>
          <w:szCs w:val="21"/>
          <w:highlight w:val="none"/>
          <w:lang w:eastAsia="zh-CN"/>
        </w:rPr>
        <w:t>接收</w:t>
      </w:r>
      <w:r>
        <w:rPr>
          <w:rFonts w:hint="eastAsia" w:ascii="宋体" w:hAnsi="宋体" w:eastAsia="宋体" w:cs="宋体"/>
          <w:color w:val="auto"/>
          <w:szCs w:val="21"/>
          <w:highlight w:val="none"/>
        </w:rPr>
        <w:t>方仍应承担保密义务，直至该等信息成为公开信息。</w:t>
      </w:r>
    </w:p>
    <w:p w14:paraId="58DB1081">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 甲乙双方如出现泄密行为，泄密方应承担相关的法律责任，包括</w:t>
      </w:r>
      <w:r>
        <w:rPr>
          <w:rFonts w:hint="eastAsia" w:ascii="宋体" w:hAnsi="宋体" w:eastAsia="宋体" w:cs="宋体"/>
          <w:color w:val="auto"/>
          <w:szCs w:val="21"/>
          <w:highlight w:val="none"/>
          <w:lang w:eastAsia="zh-CN"/>
        </w:rPr>
        <w:t>但</w:t>
      </w:r>
      <w:r>
        <w:rPr>
          <w:rFonts w:hint="eastAsia" w:ascii="宋体" w:hAnsi="宋体" w:eastAsia="宋体" w:cs="宋体"/>
          <w:color w:val="auto"/>
          <w:szCs w:val="21"/>
          <w:highlight w:val="none"/>
        </w:rPr>
        <w:t>不限于对由此给对方造成的经济损失进行赔偿。</w:t>
      </w:r>
    </w:p>
    <w:p w14:paraId="16054A13">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履约验收要求</w:t>
      </w:r>
    </w:p>
    <w:p w14:paraId="1244B879">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 甲方需求部门严格按照采购合同开展履约验收。验收时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14:paraId="2B562D31">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具体履约验收要求详见采购文件。</w:t>
      </w:r>
    </w:p>
    <w:p w14:paraId="35BEF35C">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履约保证金</w:t>
      </w:r>
    </w:p>
    <w:p w14:paraId="5321266F">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需提交履约保证金的项目，乙方应按照“合同条款前附表”第 10 项“履约保证金及返还”提交履约保证金。</w:t>
      </w:r>
    </w:p>
    <w:p w14:paraId="3BCEFEC5">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履约保证金的金额可用于补偿甲方因乙方不能完成其合同义务而蒙受的损失。</w:t>
      </w:r>
    </w:p>
    <w:p w14:paraId="5FE413FA">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14:paraId="1491759F">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 乙方不履行合同</w:t>
      </w:r>
      <w:r>
        <w:rPr>
          <w:rFonts w:hint="eastAsia" w:ascii="宋体" w:hAnsi="宋体" w:eastAsia="宋体" w:cs="宋体"/>
          <w:color w:val="auto"/>
          <w:szCs w:val="21"/>
          <w:highlight w:val="none"/>
          <w:lang w:eastAsia="zh-CN"/>
        </w:rPr>
        <w:t>，或者</w:t>
      </w:r>
      <w:r>
        <w:rPr>
          <w:rFonts w:hint="eastAsia" w:ascii="宋体" w:hAnsi="宋体" w:eastAsia="宋体" w:cs="宋体"/>
          <w:color w:val="auto"/>
          <w:szCs w:val="21"/>
          <w:highlight w:val="none"/>
        </w:rPr>
        <w:t>履行合同义务不符合约定使得合同目的不能实现，履约保证金不予退还，给甲方造成的损失超过履约保证金数额的，还应当对超过部分予以赔偿。</w:t>
      </w:r>
    </w:p>
    <w:p w14:paraId="62C3B65F">
      <w:pPr>
        <w:widowControl/>
        <w:shd w:val="clear"/>
        <w:tabs>
          <w:tab w:val="left" w:pos="700"/>
        </w:tabs>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 履约保证金在合同履行期满后，扣除相应款项（如有）且双方无争议后，凭返还申请等资料一次性无息返还，详见“合同条款前附表”第10项“履约保证金及返还”。</w:t>
      </w:r>
    </w:p>
    <w:p w14:paraId="37E8FC0F">
      <w:pPr>
        <w:widowControl/>
        <w:shd w:val="clear"/>
        <w:tabs>
          <w:tab w:val="left" w:pos="0"/>
          <w:tab w:val="left" w:pos="54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w:t>
      </w:r>
      <w:r>
        <w:rPr>
          <w:rFonts w:hint="eastAsia" w:ascii="宋体" w:hAnsi="宋体" w:eastAsia="宋体" w:cs="宋体"/>
          <w:b/>
          <w:color w:val="auto"/>
          <w:szCs w:val="21"/>
          <w:highlight w:val="none"/>
          <w:lang w:val="en-US" w:eastAsia="zh-CN"/>
        </w:rPr>
        <w:t xml:space="preserve">. </w:t>
      </w:r>
      <w:r>
        <w:rPr>
          <w:rFonts w:hint="eastAsia" w:ascii="宋体" w:hAnsi="宋体" w:eastAsia="宋体" w:cs="宋体"/>
          <w:b/>
          <w:color w:val="auto"/>
          <w:szCs w:val="21"/>
          <w:highlight w:val="none"/>
        </w:rPr>
        <w:t>履约延误</w:t>
      </w:r>
    </w:p>
    <w:p w14:paraId="6AAD6154">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乙方应按照本合同的规定提供服务。</w:t>
      </w:r>
    </w:p>
    <w:p w14:paraId="186A67C4">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 如乙方迟延履行合同义务，甲方将从应付合同金额中扣除误期违约金，每延误一天误期违约金按合同总金额的万分之三（0.03%）计收。乙方支付的</w:t>
      </w:r>
      <w:r>
        <w:rPr>
          <w:rFonts w:hint="eastAsia" w:ascii="宋体" w:hAnsi="宋体" w:eastAsia="宋体" w:cs="宋体"/>
          <w:color w:val="auto"/>
          <w:szCs w:val="21"/>
          <w:highlight w:val="none"/>
          <w:lang w:eastAsia="zh-CN"/>
        </w:rPr>
        <w:t>逾</w:t>
      </w:r>
      <w:r>
        <w:rPr>
          <w:rFonts w:hint="eastAsia" w:ascii="宋体" w:hAnsi="宋体" w:eastAsia="宋体" w:cs="宋体"/>
          <w:color w:val="auto"/>
          <w:szCs w:val="21"/>
          <w:highlight w:val="none"/>
        </w:rPr>
        <w:t>期违约金不足以弥补甲方损失的，应继续承担赔偿责任。本合同约定的损失，包括但不限于：直接损失、调查取证费、诉讼费、律师费等。</w:t>
      </w:r>
    </w:p>
    <w:p w14:paraId="32CA0BC5">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14:paraId="09C47BD9">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 除不可抗力和根据合同规定延期取得甲方同意而不收取误期赔偿费之外，乙方延误工期，将按合同规定被收取误期赔偿费。</w:t>
      </w:r>
    </w:p>
    <w:p w14:paraId="1F842AD0">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14:paraId="4F776EB4">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 违约责任</w:t>
      </w:r>
    </w:p>
    <w:p w14:paraId="3DEA1FB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14:paraId="41D3D37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支付。</w:t>
      </w:r>
    </w:p>
    <w:p w14:paraId="6F38FB0A">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9.3 除应支付甲方违约金等外，甲方有权根据合同或有关部门出具的检验证书向乙方提出索赔。</w:t>
      </w:r>
    </w:p>
    <w:p w14:paraId="7797A47D">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9.4 如果乙方对差异负有责任而</w:t>
      </w:r>
      <w:r>
        <w:rPr>
          <w:rFonts w:hint="eastAsia" w:ascii="宋体" w:hAnsi="宋体" w:cs="宋体"/>
          <w:color w:val="auto"/>
          <w:szCs w:val="21"/>
          <w:highlight w:val="none"/>
          <w:lang w:val="en-US" w:eastAsia="zh-CN"/>
        </w:rPr>
        <w:t>向</w:t>
      </w:r>
      <w:r>
        <w:rPr>
          <w:rFonts w:hint="eastAsia" w:ascii="宋体" w:hAnsi="宋体" w:eastAsia="宋体" w:cs="宋体"/>
          <w:color w:val="auto"/>
          <w:szCs w:val="21"/>
          <w:highlight w:val="none"/>
        </w:rPr>
        <w:t>甲方提出索赔，乙方同意按照下列方式解决索赔事宜：</w:t>
      </w:r>
    </w:p>
    <w:p w14:paraId="75AC91CA">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14:paraId="45CEF48E">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9.5 乙方利用本项目实施过程中所产生的成果（包括发明、发现、可运行系统、源代码及相关技术资料、文档等），另行自行开发本合同业务范围内供纳税人缴费人使用的软件或产品，或利用为税务机关提供信息化服务的便利，向纳税人缴费人搭车收费或变相收费的，或有其他失信行为的，纳入国家税务总局失信名单。</w:t>
      </w:r>
    </w:p>
    <w:p w14:paraId="4235F777">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对于影响恶劣的严重违法失信行为，推送财政部纳入政府采购严重违法失信行为记录名单。</w:t>
      </w:r>
    </w:p>
    <w:p w14:paraId="6B66017C">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9.6 如果乙方在本项目实施过程中发生违反网络安全规定行为造成不良后果的，自甲方</w:t>
      </w:r>
      <w:r>
        <w:rPr>
          <w:rFonts w:hint="eastAsia" w:ascii="宋体" w:hAnsi="宋体" w:eastAsia="宋体" w:cs="宋体"/>
          <w:color w:val="auto"/>
          <w:szCs w:val="21"/>
          <w:highlight w:val="none"/>
          <w:lang w:eastAsia="zh-CN"/>
        </w:rPr>
        <w:t>作出</w:t>
      </w:r>
      <w:r>
        <w:rPr>
          <w:rFonts w:hint="eastAsia" w:ascii="宋体" w:hAnsi="宋体" w:eastAsia="宋体" w:cs="宋体"/>
          <w:color w:val="auto"/>
          <w:szCs w:val="21"/>
          <w:highlight w:val="none"/>
        </w:rPr>
        <w:t>认定之日起三年内，税务系统各单位可以拒绝乙方参与税务系统采购活动。</w:t>
      </w:r>
    </w:p>
    <w:p w14:paraId="44213852">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不良后果指造成数据失窃或丢失、敏感信息泄露、主要业务系统瘫痪等网络安全事件。</w:t>
      </w:r>
    </w:p>
    <w:p w14:paraId="34A4F314">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9.7 对于本协议未约定的、采购文件（技术部分）中约定的违约处理条款，按采购文件（技术部分）相关约定执行；对本协议与采购文件（技术部分）约定不同的违约处理条款，以本协议约定为准。</w:t>
      </w:r>
    </w:p>
    <w:p w14:paraId="1E4704A0">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 不可抗力</w:t>
      </w:r>
    </w:p>
    <w:p w14:paraId="57AC4CE0">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 本条所述的“不可抗力”系指双方不可预见、不可避免、不可克服的客观情况，但不包括双方的违约或疏忽。这些事件包括但不限于：战争、严重火灾、洪水、台风、地震等。</w:t>
      </w:r>
    </w:p>
    <w:p w14:paraId="2EF7790B">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 如果乙方因不可抗力而导致合同实施延误或不能履行合同义务，不应承担误期赔偿或终止合同的责任。</w:t>
      </w:r>
    </w:p>
    <w:p w14:paraId="018FD63E">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14:paraId="13A5BDA3">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14:paraId="5AAC9EB3">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 争端的解决</w:t>
      </w:r>
    </w:p>
    <w:p w14:paraId="61BD7ADF">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 甲乙双方应首先通过友好协商解决在执行本合同中所发生的或与本合同有关的一切争端。如从协商开始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天内仍不能解决，可以按合同约定的方式提起仲裁或诉讼。</w:t>
      </w:r>
    </w:p>
    <w:p w14:paraId="6F6B5D8C">
      <w:pPr>
        <w:widowControl/>
        <w:shd w:val="clear"/>
        <w:topLinePunct/>
        <w:adjustRightInd w:val="0"/>
        <w:snapToGrid w:val="0"/>
        <w:spacing w:before="0" w:beforeAutospacing="0" w:after="0" w:afterAutospacing="0" w:line="400" w:lineRule="exact"/>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11.2.1仲裁应向甲方所在地仲裁委员会申请仲裁。</w:t>
      </w:r>
    </w:p>
    <w:p w14:paraId="5FB25767">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11.2.2 仲裁裁决应为最终裁决，对双方均具有约束力。</w:t>
      </w:r>
    </w:p>
    <w:p w14:paraId="69858641">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11.2.3 仲裁费除仲裁机关另有裁决外应由败诉方负担。</w:t>
      </w:r>
    </w:p>
    <w:p w14:paraId="32ABECF7">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11.2.4在仲裁期间，除正在进行仲裁部分外，本合同</w:t>
      </w:r>
      <w:r>
        <w:rPr>
          <w:rFonts w:hint="eastAsia" w:ascii="宋体" w:hAnsi="宋体" w:eastAsia="宋体" w:cs="宋体"/>
          <w:color w:val="auto"/>
          <w:szCs w:val="21"/>
          <w:highlight w:val="none"/>
          <w:lang w:eastAsia="zh-CN"/>
        </w:rPr>
        <w:t>的其他部分</w:t>
      </w:r>
      <w:r>
        <w:rPr>
          <w:rFonts w:hint="eastAsia" w:ascii="宋体" w:hAnsi="宋体" w:eastAsia="宋体" w:cs="宋体"/>
          <w:color w:val="auto"/>
          <w:szCs w:val="21"/>
          <w:highlight w:val="none"/>
        </w:rPr>
        <w:t>应继续执行。</w:t>
      </w:r>
    </w:p>
    <w:p w14:paraId="506733D3">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11.3.1诉讼应向甲方所在地人民法院提起诉讼。</w:t>
      </w:r>
    </w:p>
    <w:p w14:paraId="37FBD5F9">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11.3.2诉讼费除人民法院另有判决外，应由败诉方负担。</w:t>
      </w:r>
    </w:p>
    <w:p w14:paraId="1B942A53">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11.3.3在诉讼期间，除正在进行诉讼部分外，本合同</w:t>
      </w:r>
      <w:r>
        <w:rPr>
          <w:rFonts w:hint="eastAsia" w:ascii="宋体" w:hAnsi="宋体" w:eastAsia="宋体" w:cs="宋体"/>
          <w:color w:val="auto"/>
          <w:szCs w:val="21"/>
          <w:highlight w:val="none"/>
          <w:lang w:eastAsia="zh-CN"/>
        </w:rPr>
        <w:t>的其他部分</w:t>
      </w:r>
      <w:r>
        <w:rPr>
          <w:rFonts w:hint="eastAsia" w:ascii="宋体" w:hAnsi="宋体" w:eastAsia="宋体" w:cs="宋体"/>
          <w:color w:val="auto"/>
          <w:szCs w:val="21"/>
          <w:highlight w:val="none"/>
        </w:rPr>
        <w:t>应继续执行。</w:t>
      </w:r>
    </w:p>
    <w:p w14:paraId="664E44D0">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p>
    <w:p w14:paraId="2956F67F">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 违约终止合同</w:t>
      </w:r>
    </w:p>
    <w:p w14:paraId="1F63ED73">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14:paraId="7FE6A72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 乙方不履行合同</w:t>
      </w:r>
      <w:r>
        <w:rPr>
          <w:rFonts w:hint="eastAsia" w:ascii="宋体" w:hAnsi="宋体" w:eastAsia="宋体" w:cs="宋体"/>
          <w:color w:val="auto"/>
          <w:szCs w:val="21"/>
          <w:highlight w:val="none"/>
          <w:lang w:eastAsia="zh-CN"/>
        </w:rPr>
        <w:t>义务</w:t>
      </w:r>
      <w:r>
        <w:rPr>
          <w:rFonts w:hint="eastAsia" w:ascii="宋体" w:hAnsi="宋体" w:eastAsia="宋体" w:cs="宋体"/>
          <w:color w:val="auto"/>
          <w:szCs w:val="21"/>
          <w:highlight w:val="none"/>
        </w:rPr>
        <w:t>或者履行合同义务不符合合同约定；</w:t>
      </w:r>
    </w:p>
    <w:p w14:paraId="00BD78BD">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 如果乙方未能在合同规定的期限或甲方同意延长的期限内提供服务；</w:t>
      </w:r>
    </w:p>
    <w:p w14:paraId="0E352E8F">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 因乙方人员自身技术能力、经验不足等问题造成甲方发生重大紧急故障，带来重大影响和损失的；</w:t>
      </w:r>
    </w:p>
    <w:p w14:paraId="0766C5B9">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12.1.4 乙方对重大紧急故障没有及时响应，或不能在规定时间内解决处理故障、恢复正常运行的；</w:t>
      </w:r>
    </w:p>
    <w:p w14:paraId="2DD3EC8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12.1.5 不能满足本项目技术需求的管理要求和规范，且经多次整改无明显改进的；</w:t>
      </w:r>
    </w:p>
    <w:p w14:paraId="0375597D">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 在合同服务期内，同一个应用系统在升级完善、运行维护支持服务过程中，出现5次经甲乙双方确认的用户投诉的；</w:t>
      </w:r>
    </w:p>
    <w:p w14:paraId="207335C4">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12.1.7 乙方利用本项目实施过程中所产生的成果（包括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14:paraId="0285279D">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12.1.8 乙方在本项目实施过程中发生违反网络安全规定行为造成不良后果的。</w:t>
      </w:r>
    </w:p>
    <w:p w14:paraId="0D602A6C">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12.1.9 乙方提供的服务侵犯甲方、第三方知识产权等合法权益的；</w:t>
      </w:r>
    </w:p>
    <w:p w14:paraId="242F0080">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12.1.10 乙方或乙方人员造成甲方或第三方经济损失而拒不赔偿的；</w:t>
      </w:r>
    </w:p>
    <w:p w14:paraId="4F5AC0AD">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12.1.11 乙方转让其应履行的合同义务，或未经甲方同意采取分包方式履行合同</w:t>
      </w:r>
    </w:p>
    <w:p w14:paraId="1747A326">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的；</w:t>
      </w:r>
    </w:p>
    <w:p w14:paraId="04BF6FA6">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12.1.12 乙方有其他严重违约行为的。</w:t>
      </w:r>
    </w:p>
    <w:p w14:paraId="286331AE">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如果甲方根据上述第12.1条的规定，终止了全部或部分合同，甲方可以适当的条件和方法购买乙方未能提供的服务，乙方应对甲方购买类似服务所超出的费用负责。同时，乙方应继续执行合同中未终止的部分。</w:t>
      </w:r>
    </w:p>
    <w:p w14:paraId="47D583F3">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 破产终止合同</w:t>
      </w:r>
    </w:p>
    <w:p w14:paraId="0CE2E6D8">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 如果乙方破产或无清偿能力，甲方可在任何时候以书面形式通知乙方终止合同而不给乙方补偿。</w:t>
      </w:r>
    </w:p>
    <w:p w14:paraId="0DAC1AD1">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13.2该终止合同将不损害或影响甲方已经采取或将要采取的任何行动或补救措施的权力。</w:t>
      </w:r>
    </w:p>
    <w:p w14:paraId="11066990">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14. 其他情况的终止合同</w:t>
      </w:r>
    </w:p>
    <w:p w14:paraId="5010BACB">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 乙方在执行合同的过程中发生重大事故或变故，对履行合同有直接影响的，甲方可以提出终止合同而不给予乙方任何补偿。</w:t>
      </w:r>
    </w:p>
    <w:p w14:paraId="4DD68D0F">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 在服务期内，由于甲方工作计划调整，推广使用新应用系统导致本项目相关服务停止的，甲方可以提出终止合同而不给予乙方任何补偿。</w:t>
      </w:r>
    </w:p>
    <w:p w14:paraId="162ED340">
      <w:pPr>
        <w:widowControl/>
        <w:shd w:val="clear"/>
        <w:tabs>
          <w:tab w:val="left" w:pos="70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15. 合同修改或变更</w:t>
      </w:r>
    </w:p>
    <w:p w14:paraId="5671E947">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 合同如有未尽事宜，</w:t>
      </w:r>
      <w:r>
        <w:rPr>
          <w:rFonts w:hint="eastAsia" w:ascii="宋体" w:hAnsi="宋体" w:eastAsia="宋体" w:cs="宋体"/>
          <w:color w:val="auto"/>
          <w:szCs w:val="21"/>
          <w:highlight w:val="none"/>
          <w:lang w:eastAsia="zh-CN"/>
        </w:rPr>
        <w:t>需</w:t>
      </w:r>
      <w:r>
        <w:rPr>
          <w:rFonts w:hint="eastAsia" w:ascii="宋体" w:hAnsi="宋体" w:eastAsia="宋体" w:cs="宋体"/>
          <w:color w:val="auto"/>
          <w:szCs w:val="21"/>
          <w:highlight w:val="none"/>
        </w:rPr>
        <w:t>经甲乙双方</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作出</w:t>
      </w:r>
      <w:r>
        <w:rPr>
          <w:rFonts w:hint="eastAsia" w:ascii="宋体" w:hAnsi="宋体" w:eastAsia="宋体" w:cs="宋体"/>
          <w:color w:val="auto"/>
          <w:szCs w:val="21"/>
          <w:highlight w:val="none"/>
        </w:rPr>
        <w:t>补充约定，并签订书面补充合同或变更协议。补充合同或变更协议作为本合同的一部分，与本合同具有同等效力。</w:t>
      </w:r>
    </w:p>
    <w:p w14:paraId="1B12956E">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15.2 除了双方签署书面修改或变更协议，并成为本合同不可分割的一部分的情况之外，本合同的条款不得有任何变化或修改。</w:t>
      </w:r>
    </w:p>
    <w:p w14:paraId="209422B0">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 由于采购人项目统一规划等原因导致本项目停止部分服务的，甲方将启动合同变更程序，与乙方协商变更相关合同条款。</w:t>
      </w:r>
    </w:p>
    <w:p w14:paraId="2F1DB6C1">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16. 转让和分包</w:t>
      </w:r>
    </w:p>
    <w:p w14:paraId="0744381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 除甲方事先书面同意外，乙方不得部分转让或全部转让其应履行的合同义务。</w:t>
      </w:r>
    </w:p>
    <w:p w14:paraId="3FCA3658">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未经甲方同意，乙方不得采取分包方式履行合同。经甲方同意分包履行合同的，乙方就采购项目及分包项目向甲方负责，分包供应商就分包项目承担责任。</w:t>
      </w:r>
    </w:p>
    <w:p w14:paraId="03EBC559">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 合同语言</w:t>
      </w:r>
    </w:p>
    <w:p w14:paraId="712F59F3">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本合同语言为中文。</w:t>
      </w:r>
    </w:p>
    <w:p w14:paraId="57CBFBA1">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双方交换的与合同有关的信件和其他文件应用合同语言书写。</w:t>
      </w:r>
    </w:p>
    <w:p w14:paraId="0FF3A6A5">
      <w:pPr>
        <w:widowControl/>
        <w:shd w:val="clear"/>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 适用法律</w:t>
      </w:r>
    </w:p>
    <w:p w14:paraId="7247D22A">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本合同按照中华人民共和国现行法律进行解释。</w:t>
      </w:r>
    </w:p>
    <w:p w14:paraId="7E9A97FC">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 本合同的履行、违约责任和解决争议的方法等适用《中华人民共和国民法典（合同编）》。</w:t>
      </w:r>
    </w:p>
    <w:p w14:paraId="679CADF7">
      <w:pPr>
        <w:widowControl/>
        <w:shd w:val="clear"/>
        <w:topLinePunct/>
        <w:autoSpaceDE/>
        <w:autoSpaceDN/>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19. 税费</w:t>
      </w:r>
    </w:p>
    <w:p w14:paraId="3BDB1E34">
      <w:pPr>
        <w:widowControl/>
        <w:shd w:val="clear"/>
        <w:topLinePunct/>
        <w:autoSpaceDE/>
        <w:autoSpaceDN/>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 合同服务的所有税费均已包含于合同价中，甲方不再另行支付。</w:t>
      </w:r>
    </w:p>
    <w:p w14:paraId="12A15F7E">
      <w:pPr>
        <w:widowControl/>
        <w:shd w:val="clear"/>
        <w:tabs>
          <w:tab w:val="left" w:pos="700"/>
        </w:tabs>
        <w:topLinePunct/>
        <w:adjustRightInd w:val="0"/>
        <w:snapToGrid w:val="0"/>
        <w:spacing w:before="0" w:beforeAutospacing="0" w:after="0" w:afterAutospacing="0"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 合同生效</w:t>
      </w:r>
    </w:p>
    <w:p w14:paraId="05880A6D">
      <w:pPr>
        <w:widowControl/>
        <w:shd w:val="clear"/>
        <w:topLinePunct/>
        <w:adjustRightInd w:val="0"/>
        <w:snapToGrid w:val="0"/>
        <w:spacing w:before="0" w:beforeAutospacing="0" w:after="0" w:afterAutospacing="0"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 本合同一式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份，由甲乙双方法定代表人或被授权人签字并盖章后生效。</w:t>
      </w:r>
    </w:p>
    <w:p w14:paraId="52E2687E">
      <w:pPr>
        <w:shd w:val="clear"/>
        <w:spacing w:before="0" w:beforeAutospacing="0" w:after="0" w:afterAutospacing="0" w:line="360" w:lineRule="auto"/>
        <w:rPr>
          <w:rFonts w:hint="eastAsia" w:ascii="宋体" w:hAnsi="宋体" w:eastAsia="宋体" w:cs="宋体"/>
          <w:color w:val="auto"/>
          <w:szCs w:val="21"/>
          <w:highlight w:val="none"/>
        </w:rPr>
        <w:sectPr>
          <w:pgSz w:w="11907" w:h="16839"/>
          <w:pgMar w:top="1440" w:right="1746" w:bottom="1440" w:left="1746" w:header="1148" w:footer="709" w:gutter="0"/>
          <w:pgNumType w:fmt="decimal"/>
          <w:cols w:space="720" w:num="1"/>
          <w:docGrid w:linePitch="360" w:charSpace="0"/>
        </w:sectPr>
      </w:pPr>
    </w:p>
    <w:p w14:paraId="544250E7">
      <w:pPr>
        <w:shd w:val="clear"/>
        <w:topLinePunct/>
        <w:autoSpaceDE w:val="0"/>
        <w:autoSpaceDN w:val="0"/>
        <w:spacing w:before="0" w:beforeAutospacing="0" w:after="0" w:afterAutospacing="0" w:line="360" w:lineRule="auto"/>
        <w:ind w:firstLine="723" w:firstLineChars="300"/>
        <w:jc w:val="both"/>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  采购文件及响应文件（如有必要，可另附）</w:t>
      </w:r>
    </w:p>
    <w:p w14:paraId="02177547">
      <w:pPr>
        <w:shd w:val="clear"/>
        <w:topLinePunct/>
        <w:autoSpaceDE w:val="0"/>
        <w:autoSpaceDN w:val="0"/>
        <w:spacing w:before="0" w:beforeAutospacing="0" w:after="0" w:afterAutospacing="0" w:line="360" w:lineRule="auto"/>
        <w:ind w:firstLine="723" w:firstLineChars="300"/>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  报价表（</w:t>
      </w:r>
      <w:r>
        <w:rPr>
          <w:rFonts w:hint="eastAsia" w:ascii="宋体" w:hAnsi="宋体" w:eastAsia="宋体" w:cs="宋体"/>
          <w:b/>
          <w:color w:val="auto"/>
          <w:sz w:val="24"/>
          <w:szCs w:val="24"/>
          <w:highlight w:val="none"/>
          <w:lang w:val="en-US" w:eastAsia="zh-CN"/>
        </w:rPr>
        <w:t>最终报价</w:t>
      </w:r>
      <w:r>
        <w:rPr>
          <w:rFonts w:hint="eastAsia" w:ascii="宋体" w:hAnsi="宋体" w:eastAsia="宋体" w:cs="宋体"/>
          <w:b/>
          <w:color w:val="auto"/>
          <w:sz w:val="24"/>
          <w:szCs w:val="24"/>
          <w:highlight w:val="none"/>
        </w:rPr>
        <w:t>）</w:t>
      </w:r>
    </w:p>
    <w:p w14:paraId="793B7C93">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28EC2A8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bookmarkStart w:id="30" w:name="_Toc2991"/>
      <w:bookmarkStart w:id="31" w:name="_Toc26344"/>
      <w:r>
        <w:rPr>
          <w:rFonts w:hint="eastAsia" w:ascii="宋体" w:hAnsi="宋体" w:eastAsia="宋体" w:cs="宋体"/>
          <w:b/>
          <w:bCs/>
          <w:color w:val="auto"/>
          <w:sz w:val="28"/>
          <w:szCs w:val="28"/>
          <w:highlight w:val="none"/>
        </w:rPr>
        <w:t>第五章</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响应文件格式</w:t>
      </w:r>
      <w:bookmarkEnd w:id="30"/>
      <w:bookmarkEnd w:id="31"/>
    </w:p>
    <w:p w14:paraId="5813A4CA">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供应商必须按下列文本格式，如实提供具有法律效力的资格证明文件和真实有效的其他文件资料，任何不按下列文本格式提供或有实质性变更将由供应商承担风险。</w:t>
      </w:r>
    </w:p>
    <w:p w14:paraId="5B44BAF8">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1.供应商应严格按照本章规定填写和提交全部格式文件以及其他有关资料，混乱的编排导致响应文件被误读或查找不到，后果由供应商承担。</w:t>
      </w:r>
    </w:p>
    <w:p w14:paraId="44E78AAA">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2.所附表格中要求回答的全部问题和信息都必须正面回答。</w:t>
      </w:r>
    </w:p>
    <w:p w14:paraId="291F8912">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3.资格声明文件的签字人应保证全部声明和问题的回答是真实的和准确的。</w:t>
      </w:r>
    </w:p>
    <w:p w14:paraId="327BB11D">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4.磋商小组将应用供应商提交的资料并根据自己的判断，决定供应商履行合同的合格性及能力。</w:t>
      </w:r>
    </w:p>
    <w:p w14:paraId="080E91F6">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5.全部文件应按供应商须知中规定的语言提交。</w:t>
      </w:r>
    </w:p>
    <w:p w14:paraId="0A81E91B">
      <w:pPr>
        <w:keepNext w:val="0"/>
        <w:keepLines w:val="0"/>
        <w:pageBreakBefore w:val="0"/>
        <w:widowControl w:val="0"/>
        <w:shd w:val="clear"/>
        <w:kinsoku/>
        <w:wordWrap/>
        <w:overflowPunct/>
        <w:topLinePunct/>
        <w:autoSpaceDE w:val="0"/>
        <w:autoSpaceDN w:val="0"/>
        <w:bidi w:val="0"/>
        <w:adjustRightInd w:val="0"/>
        <w:snapToGrid w:val="0"/>
        <w:spacing w:before="0" w:beforeAutospacing="0" w:after="0" w:afterAutospacing="0"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6.以下格式文件为要求填写内容的固定格式，供应商不得擅自修改格式，其他未提供格式的文件和资料由供应商自行设计编制格式填写。</w:t>
      </w:r>
    </w:p>
    <w:p w14:paraId="53CC90AF">
      <w:pPr>
        <w:shd w:val="clear"/>
        <w:adjustRightInd w:val="0"/>
        <w:snapToGrid w:val="0"/>
        <w:spacing w:before="62" w:beforeLines="20" w:beforeAutospacing="0" w:after="4" w:afterAutospacing="0" w:line="360" w:lineRule="auto"/>
        <w:ind w:firstLine="422" w:firstLineChars="200"/>
        <w:jc w:val="center"/>
        <w:rPr>
          <w:rFonts w:hint="eastAsia" w:ascii="宋体" w:hAnsi="宋体" w:eastAsia="宋体" w:cs="宋体"/>
          <w:b/>
          <w:bCs/>
          <w:color w:val="auto"/>
          <w:highlight w:val="none"/>
        </w:rPr>
      </w:pPr>
    </w:p>
    <w:p w14:paraId="7BF87324">
      <w:pPr>
        <w:shd w:val="clear"/>
        <w:spacing w:before="0" w:beforeAutospacing="0" w:after="0" w:afterAutospacing="0" w:line="240" w:lineRule="auto"/>
        <w:ind w:firstLine="422" w:firstLineChars="200"/>
        <w:jc w:val="center"/>
        <w:rPr>
          <w:rFonts w:hint="eastAsia" w:ascii="宋体" w:hAnsi="宋体" w:eastAsia="宋体" w:cs="宋体"/>
          <w:b/>
          <w:bCs/>
          <w:color w:val="auto"/>
          <w:highlight w:val="none"/>
        </w:rPr>
      </w:pPr>
    </w:p>
    <w:p w14:paraId="3D240009">
      <w:pPr>
        <w:shd w:val="clear"/>
        <w:spacing w:before="0" w:beforeAutospacing="0" w:after="0" w:afterAutospacing="0" w:line="240" w:lineRule="auto"/>
        <w:rPr>
          <w:rFonts w:hint="eastAsia" w:ascii="宋体" w:hAnsi="宋体" w:eastAsia="宋体" w:cs="宋体"/>
          <w:color w:val="auto"/>
          <w:highlight w:val="none"/>
        </w:rPr>
      </w:pPr>
    </w:p>
    <w:p w14:paraId="061A0BDC">
      <w:pPr>
        <w:shd w:val="clear"/>
        <w:spacing w:before="0" w:beforeAutospacing="0" w:after="0" w:afterAutospacing="0" w:line="240" w:lineRule="auto"/>
        <w:rPr>
          <w:rFonts w:hint="eastAsia" w:ascii="宋体" w:hAnsi="宋体" w:eastAsia="宋体" w:cs="宋体"/>
          <w:b/>
          <w:bCs/>
          <w:color w:val="auto"/>
          <w:highlight w:val="none"/>
        </w:rPr>
      </w:pPr>
    </w:p>
    <w:p w14:paraId="11180321">
      <w:pPr>
        <w:shd w:val="clear"/>
        <w:adjustRightInd w:val="0"/>
        <w:snapToGrid w:val="0"/>
        <w:spacing w:before="0" w:beforeAutospacing="0" w:after="0" w:afterAutospacing="0"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20D681D0">
      <w:pPr>
        <w:shd w:val="clear"/>
        <w:spacing w:before="0" w:beforeAutospacing="0" w:after="0" w:afterAutospacing="0" w:line="600" w:lineRule="auto"/>
        <w:jc w:val="center"/>
        <w:rPr>
          <w:rFonts w:hint="eastAsia" w:ascii="宋体" w:hAnsi="宋体" w:eastAsia="宋体" w:cs="宋体"/>
          <w:b/>
          <w:color w:val="auto"/>
          <w:kern w:val="0"/>
          <w:sz w:val="44"/>
          <w:szCs w:val="44"/>
          <w:highlight w:val="none"/>
        </w:rPr>
      </w:pPr>
    </w:p>
    <w:p w14:paraId="454E9E5D">
      <w:pPr>
        <w:shd w:val="clear"/>
        <w:spacing w:before="0" w:beforeAutospacing="0" w:after="0" w:afterAutospacing="0" w:line="240" w:lineRule="auto"/>
        <w:rPr>
          <w:rFonts w:hint="eastAsia" w:ascii="宋体" w:hAnsi="宋体" w:eastAsia="宋体" w:cs="宋体"/>
          <w:b/>
          <w:color w:val="auto"/>
          <w:kern w:val="0"/>
          <w:sz w:val="44"/>
          <w:szCs w:val="44"/>
          <w:highlight w:val="none"/>
        </w:rPr>
      </w:pPr>
    </w:p>
    <w:p w14:paraId="4BA8B9E3">
      <w:pPr>
        <w:shd w:val="clear"/>
        <w:spacing w:before="0" w:beforeAutospacing="0" w:after="0" w:afterAutospacing="0" w:line="240" w:lineRule="auto"/>
        <w:rPr>
          <w:rFonts w:hint="eastAsia" w:ascii="宋体" w:hAnsi="宋体" w:eastAsia="宋体" w:cs="宋体"/>
          <w:color w:val="auto"/>
          <w:highlight w:val="none"/>
        </w:rPr>
      </w:pPr>
    </w:p>
    <w:p w14:paraId="593E03DA">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响  应  文  件</w:t>
      </w:r>
    </w:p>
    <w:p w14:paraId="7AA1A804">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商务部分</w:t>
      </w:r>
    </w:p>
    <w:p w14:paraId="46DC7546">
      <w:pPr>
        <w:shd w:val="clear"/>
        <w:spacing w:before="0" w:beforeAutospacing="0" w:after="0" w:afterAutospacing="0" w:line="360" w:lineRule="auto"/>
        <w:jc w:val="center"/>
        <w:rPr>
          <w:rFonts w:hint="eastAsia" w:ascii="宋体" w:hAnsi="宋体" w:eastAsia="宋体" w:cs="宋体"/>
          <w:color w:val="auto"/>
          <w:kern w:val="0"/>
          <w:sz w:val="32"/>
          <w:szCs w:val="32"/>
          <w:highlight w:val="none"/>
        </w:rPr>
      </w:pPr>
    </w:p>
    <w:p w14:paraId="3C44FD32">
      <w:pPr>
        <w:shd w:val="clear"/>
        <w:spacing w:before="0" w:beforeAutospacing="0" w:after="0" w:afterAutospacing="0"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（填写正本或副本）</w:t>
      </w:r>
    </w:p>
    <w:p w14:paraId="5E468D6F">
      <w:pPr>
        <w:shd w:val="clear"/>
        <w:spacing w:before="0" w:beforeAutospacing="0" w:after="0" w:afterAutospacing="0" w:line="360" w:lineRule="auto"/>
        <w:ind w:firstLine="480" w:firstLineChars="200"/>
        <w:jc w:val="center"/>
        <w:rPr>
          <w:rFonts w:hint="eastAsia" w:ascii="宋体" w:hAnsi="宋体" w:eastAsia="宋体" w:cs="宋体"/>
          <w:bCs/>
          <w:color w:val="auto"/>
          <w:kern w:val="0"/>
          <w:sz w:val="24"/>
          <w:szCs w:val="24"/>
          <w:highlight w:val="none"/>
        </w:rPr>
      </w:pPr>
    </w:p>
    <w:p w14:paraId="439C3435">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0FBE3DC7">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3B159C09">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4AC8CDB7">
      <w:pPr>
        <w:shd w:val="clear"/>
        <w:spacing w:before="0" w:beforeAutospacing="0" w:after="0" w:afterAutospacing="0" w:line="240" w:lineRule="auto"/>
        <w:rPr>
          <w:rFonts w:hint="eastAsia" w:ascii="宋体" w:hAnsi="宋体" w:eastAsia="宋体" w:cs="宋体"/>
          <w:color w:val="auto"/>
          <w:highlight w:val="none"/>
        </w:rPr>
      </w:pPr>
    </w:p>
    <w:p w14:paraId="394AF6F5">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r>
        <w:rPr>
          <w:rFonts w:hint="eastAsia" w:ascii="宋体" w:hAnsi="宋体" w:eastAsia="宋体" w:cs="宋体"/>
          <w:bCs/>
          <w:color w:val="auto"/>
          <w:kern w:val="0"/>
          <w:sz w:val="24"/>
          <w:szCs w:val="24"/>
          <w:highlight w:val="none"/>
          <w:u w:val="single"/>
        </w:rPr>
        <w:t xml:space="preserve">               </w:t>
      </w:r>
    </w:p>
    <w:p w14:paraId="392F44EE">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rPr>
        <w:t xml:space="preserve">               </w:t>
      </w:r>
    </w:p>
    <w:p w14:paraId="6DA07FD3">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所投采购包：</w:t>
      </w:r>
      <w:r>
        <w:rPr>
          <w:rFonts w:hint="eastAsia" w:ascii="宋体" w:hAnsi="宋体" w:eastAsia="宋体" w:cs="宋体"/>
          <w:bCs/>
          <w:color w:val="auto"/>
          <w:kern w:val="0"/>
          <w:sz w:val="24"/>
          <w:szCs w:val="24"/>
          <w:highlight w:val="none"/>
          <w:u w:val="single"/>
        </w:rPr>
        <w:t xml:space="preserve">      </w:t>
      </w:r>
      <w:r>
        <w:rPr>
          <w:rFonts w:hint="eastAsia" w:ascii="宋体" w:hAnsi="宋体" w:eastAsia="宋体" w:cs="宋体"/>
          <w:bCs/>
          <w:color w:val="auto"/>
          <w:kern w:val="0"/>
          <w:sz w:val="24"/>
          <w:szCs w:val="24"/>
          <w:highlight w:val="none"/>
          <w:u w:val="single"/>
          <w:lang w:val="en-US" w:eastAsia="zh-CN"/>
        </w:rPr>
        <w:t>/</w:t>
      </w:r>
      <w:r>
        <w:rPr>
          <w:rFonts w:hint="eastAsia" w:ascii="宋体" w:hAnsi="宋体" w:eastAsia="宋体" w:cs="宋体"/>
          <w:bCs/>
          <w:color w:val="auto"/>
          <w:kern w:val="0"/>
          <w:sz w:val="24"/>
          <w:szCs w:val="24"/>
          <w:highlight w:val="none"/>
          <w:u w:val="single"/>
        </w:rPr>
        <w:t xml:space="preserve">       </w:t>
      </w:r>
    </w:p>
    <w:p w14:paraId="43BBE74B">
      <w:pPr>
        <w:shd w:val="clear"/>
        <w:spacing w:before="0" w:beforeAutospacing="0" w:after="0" w:afterAutospacing="0" w:line="360" w:lineRule="auto"/>
        <w:ind w:left="1470" w:leftChars="700" w:firstLine="480" w:firstLineChars="200"/>
        <w:jc w:val="center"/>
        <w:rPr>
          <w:rFonts w:hint="eastAsia" w:ascii="宋体" w:hAnsi="宋体" w:eastAsia="宋体" w:cs="宋体"/>
          <w:bCs/>
          <w:color w:val="auto"/>
          <w:kern w:val="0"/>
          <w:sz w:val="24"/>
          <w:szCs w:val="24"/>
          <w:highlight w:val="none"/>
        </w:rPr>
      </w:pPr>
    </w:p>
    <w:p w14:paraId="2782A47A">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供应商：</w:t>
      </w:r>
      <w:r>
        <w:rPr>
          <w:rFonts w:hint="eastAsia" w:ascii="宋体" w:hAnsi="宋体" w:eastAsia="宋体" w:cs="宋体"/>
          <w:bCs/>
          <w:color w:val="auto"/>
          <w:kern w:val="0"/>
          <w:sz w:val="24"/>
          <w:szCs w:val="24"/>
          <w:highlight w:val="none"/>
          <w:u w:val="single"/>
        </w:rPr>
        <w:t xml:space="preserve">                 </w:t>
      </w:r>
    </w:p>
    <w:p w14:paraId="35C8795B">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r>
        <w:rPr>
          <w:rFonts w:hint="eastAsia" w:ascii="宋体" w:hAnsi="宋体" w:eastAsia="宋体" w:cs="宋体"/>
          <w:bCs/>
          <w:color w:val="auto"/>
          <w:kern w:val="0"/>
          <w:sz w:val="24"/>
          <w:szCs w:val="24"/>
          <w:highlight w:val="none"/>
          <w:u w:val="single"/>
        </w:rPr>
        <w:t xml:space="preserve">                 </w:t>
      </w:r>
    </w:p>
    <w:p w14:paraId="7E8A787D">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32" w:name="_Toc18836"/>
      <w:bookmarkStart w:id="33" w:name="_Toc23777"/>
      <w:r>
        <w:rPr>
          <w:rFonts w:hint="eastAsia" w:ascii="宋体" w:hAnsi="宋体" w:eastAsia="宋体" w:cs="宋体"/>
          <w:b/>
          <w:bCs/>
          <w:color w:val="auto"/>
          <w:sz w:val="28"/>
          <w:szCs w:val="28"/>
          <w:highlight w:val="none"/>
        </w:rPr>
        <w:t>格式1  授权委托书</w:t>
      </w:r>
      <w:bookmarkEnd w:id="32"/>
      <w:bookmarkEnd w:id="33"/>
    </w:p>
    <w:p w14:paraId="0804FAB8">
      <w:pPr>
        <w:shd w:val="clear"/>
        <w:adjustRightInd w:val="0"/>
        <w:snapToGrid w:val="0"/>
        <w:spacing w:before="0" w:beforeAutospacing="0" w:after="0" w:afterAutospacing="0" w:line="360" w:lineRule="auto"/>
        <w:jc w:val="center"/>
        <w:outlineLvl w:val="2"/>
        <w:rPr>
          <w:rFonts w:hint="eastAsia" w:ascii="宋体" w:hAnsi="宋体" w:eastAsia="宋体" w:cs="宋体"/>
          <w:b/>
          <w:bCs/>
          <w:color w:val="auto"/>
          <w:sz w:val="28"/>
          <w:szCs w:val="28"/>
          <w:highlight w:val="none"/>
        </w:rPr>
      </w:pPr>
      <w:bookmarkStart w:id="34" w:name="_Toc11736"/>
      <w:bookmarkStart w:id="35" w:name="_Toc9070"/>
      <w:r>
        <w:rPr>
          <w:rFonts w:hint="eastAsia" w:ascii="宋体" w:hAnsi="宋体" w:eastAsia="宋体" w:cs="宋体"/>
          <w:b/>
          <w:bCs/>
          <w:color w:val="auto"/>
          <w:sz w:val="28"/>
          <w:szCs w:val="28"/>
          <w:highlight w:val="none"/>
        </w:rPr>
        <w:t>1-1法定代表人授权委托书</w:t>
      </w:r>
      <w:bookmarkEnd w:id="34"/>
      <w:bookmarkEnd w:id="35"/>
    </w:p>
    <w:p w14:paraId="100E4051">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适用于授权代表参加磋商</w:t>
      </w:r>
      <w:r>
        <w:rPr>
          <w:rFonts w:hint="eastAsia" w:ascii="宋体" w:hAnsi="宋体" w:eastAsia="宋体" w:cs="宋体"/>
          <w:color w:val="auto"/>
          <w:szCs w:val="21"/>
          <w:highlight w:val="none"/>
          <w:lang w:eastAsia="zh-CN"/>
        </w:rPr>
        <w:t>）</w:t>
      </w:r>
    </w:p>
    <w:p w14:paraId="6D3C1932">
      <w:pPr>
        <w:shd w:val="clear"/>
        <w:spacing w:before="0" w:beforeAutospacing="0" w:after="0" w:afterAutospacing="0" w:line="240" w:lineRule="auto"/>
        <w:rPr>
          <w:rFonts w:hint="eastAsia" w:ascii="宋体" w:hAnsi="宋体" w:eastAsia="宋体" w:cs="宋体"/>
          <w:color w:val="auto"/>
          <w:szCs w:val="21"/>
          <w:highlight w:val="none"/>
        </w:rPr>
      </w:pPr>
    </w:p>
    <w:p w14:paraId="097F2DC7">
      <w:pPr>
        <w:shd w:val="clear"/>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3E472655">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Cs w:val="21"/>
          <w:highlight w:val="none"/>
          <w:u w:val="single"/>
        </w:rPr>
        <w:t xml:space="preserve">          项目</w:t>
      </w:r>
      <w:r>
        <w:rPr>
          <w:rFonts w:hint="eastAsia" w:ascii="宋体" w:hAnsi="宋体" w:eastAsia="宋体" w:cs="宋体"/>
          <w:color w:val="auto"/>
          <w:szCs w:val="21"/>
          <w:highlight w:val="none"/>
        </w:rPr>
        <w:t>》（项目编号：_______）</w:t>
      </w:r>
      <w:r>
        <w:rPr>
          <w:rFonts w:hint="eastAsia" w:ascii="宋体" w:hAnsi="宋体" w:eastAsia="宋体" w:cs="宋体"/>
          <w:color w:val="auto"/>
          <w:kern w:val="0"/>
          <w:szCs w:val="21"/>
          <w:highlight w:val="none"/>
        </w:rPr>
        <w:t>磋商、澄清、</w:t>
      </w:r>
      <w:r>
        <w:rPr>
          <w:rFonts w:hint="eastAsia" w:ascii="宋体" w:hAnsi="宋体" w:eastAsia="宋体" w:cs="宋体"/>
          <w:color w:val="auto"/>
          <w:szCs w:val="21"/>
          <w:highlight w:val="none"/>
        </w:rPr>
        <w:t>合同的执行，以本公司名义处理一切与之有关的事务。</w:t>
      </w:r>
    </w:p>
    <w:p w14:paraId="29C5DF64">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本授权书于______年______月_____日生效，特此声明。</w:t>
      </w:r>
    </w:p>
    <w:p w14:paraId="68EB2D5B">
      <w:pPr>
        <w:shd w:val="clear"/>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授权代表无转委托权。</w:t>
      </w:r>
    </w:p>
    <w:p w14:paraId="4958D724">
      <w:pPr>
        <w:shd w:val="clear"/>
        <w:adjustRightInd w:val="0"/>
        <w:snapToGrid w:val="0"/>
        <w:spacing w:before="0" w:beforeAutospacing="0" w:after="0" w:afterAutospacing="0" w:line="360" w:lineRule="auto"/>
        <w:rPr>
          <w:rFonts w:hint="eastAsia" w:ascii="宋体" w:hAnsi="宋体" w:eastAsia="宋体" w:cs="宋体"/>
          <w:color w:val="auto"/>
          <w:szCs w:val="21"/>
          <w:highlight w:val="none"/>
        </w:rPr>
      </w:pPr>
    </w:p>
    <w:tbl>
      <w:tblPr>
        <w:tblStyle w:val="35"/>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4D5B1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35D1B281">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6BD336CF">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652E84FF">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71AA6F12">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授权代表</w:t>
            </w:r>
            <w:r>
              <w:rPr>
                <w:rFonts w:hint="eastAsia" w:ascii="宋体" w:hAnsi="宋体" w:eastAsia="宋体" w:cs="宋体"/>
                <w:color w:val="auto"/>
                <w:szCs w:val="21"/>
                <w:highlight w:val="none"/>
              </w:rPr>
              <w:t>身份证复印件</w:t>
            </w:r>
          </w:p>
          <w:p w14:paraId="0C8EB5EF">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4F356F1B">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3871171D">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2B690FD8">
      <w:pPr>
        <w:shd w:val="clear"/>
        <w:adjustRightInd w:val="0"/>
        <w:snapToGrid w:val="0"/>
        <w:spacing w:before="0" w:beforeAutospacing="0" w:after="0" w:afterAutospacing="0" w:line="360" w:lineRule="auto"/>
        <w:jc w:val="left"/>
        <w:rPr>
          <w:rFonts w:hint="eastAsia" w:ascii="宋体" w:hAnsi="宋体" w:eastAsia="宋体" w:cs="宋体"/>
          <w:color w:val="auto"/>
          <w:szCs w:val="21"/>
          <w:highlight w:val="none"/>
        </w:rPr>
      </w:pPr>
    </w:p>
    <w:p w14:paraId="453A0103">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供应商名称（公章）：________________</w:t>
      </w:r>
    </w:p>
    <w:p w14:paraId="4B12C31D">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法定代表人（签字）：________________</w:t>
      </w:r>
    </w:p>
    <w:p w14:paraId="5C56B2E6">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授权代表（签字）：________________</w:t>
      </w:r>
    </w:p>
    <w:p w14:paraId="519E8715">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授权代表联系电话：____________</w:t>
      </w:r>
    </w:p>
    <w:p w14:paraId="26F08075">
      <w:pPr>
        <w:shd w:val="clear"/>
        <w:tabs>
          <w:tab w:val="left" w:pos="1230"/>
        </w:tabs>
        <w:topLinePunct/>
        <w:autoSpaceDE w:val="0"/>
        <w:autoSpaceDN w:val="0"/>
        <w:adjustRightInd w:val="0"/>
        <w:snapToGrid w:val="0"/>
        <w:spacing w:before="0" w:beforeAutospacing="0" w:after="0" w:afterAutospacing="0" w:line="360" w:lineRule="auto"/>
        <w:ind w:left="36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日期：____________</w:t>
      </w:r>
    </w:p>
    <w:p w14:paraId="021AE094">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p>
    <w:p w14:paraId="4F1B5D63">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2E4685CA">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w:t>
      </w:r>
      <w:r>
        <w:rPr>
          <w:rFonts w:hint="eastAsia" w:ascii="宋体" w:hAnsi="宋体" w:eastAsia="宋体" w:cs="宋体"/>
          <w:color w:val="auto"/>
          <w:highlight w:val="none"/>
          <w:lang w:eastAsia="zh-CN"/>
        </w:rPr>
        <w:t>表人</w:t>
      </w:r>
      <w:r>
        <w:rPr>
          <w:rFonts w:hint="eastAsia" w:ascii="宋体" w:hAnsi="宋体" w:eastAsia="宋体" w:cs="宋体"/>
          <w:color w:val="auto"/>
          <w:highlight w:val="none"/>
        </w:rPr>
        <w:t>的全名</w:t>
      </w:r>
      <w:r>
        <w:rPr>
          <w:rFonts w:hint="eastAsia" w:ascii="宋体" w:hAnsi="宋体" w:eastAsia="宋体" w:cs="宋体"/>
          <w:color w:val="auto"/>
          <w:szCs w:val="21"/>
          <w:highlight w:val="none"/>
        </w:rPr>
        <w:t>。</w:t>
      </w:r>
    </w:p>
    <w:p w14:paraId="3CD4C106">
      <w:pPr>
        <w:shd w:val="clear"/>
        <w:adjustRightInd w:val="0"/>
        <w:snapToGrid w:val="0"/>
        <w:spacing w:before="0" w:beforeAutospacing="0" w:after="0" w:afterAutospacing="0"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36" w:name="_Toc24653"/>
      <w:bookmarkStart w:id="37" w:name="_Toc27808"/>
      <w:r>
        <w:rPr>
          <w:rFonts w:hint="eastAsia" w:ascii="宋体" w:hAnsi="宋体" w:eastAsia="宋体" w:cs="宋体"/>
          <w:b/>
          <w:bCs/>
          <w:color w:val="auto"/>
          <w:sz w:val="28"/>
          <w:szCs w:val="28"/>
          <w:highlight w:val="none"/>
        </w:rPr>
        <w:t>1-2法定代表人身份证明复印件</w:t>
      </w:r>
      <w:bookmarkEnd w:id="36"/>
      <w:bookmarkEnd w:id="37"/>
    </w:p>
    <w:p w14:paraId="6AA14A21">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适用于法定代表人参加磋商</w:t>
      </w:r>
      <w:r>
        <w:rPr>
          <w:rFonts w:hint="eastAsia" w:ascii="宋体" w:hAnsi="宋体" w:eastAsia="宋体" w:cs="宋体"/>
          <w:color w:val="auto"/>
          <w:szCs w:val="21"/>
          <w:highlight w:val="none"/>
          <w:lang w:eastAsia="zh-CN"/>
        </w:rPr>
        <w:t>）</w:t>
      </w:r>
    </w:p>
    <w:p w14:paraId="43E56610">
      <w:pPr>
        <w:shd w:val="clear"/>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p>
    <w:tbl>
      <w:tblPr>
        <w:tblStyle w:val="35"/>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14:paraId="1A05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14:paraId="1BA17716">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1E32A197">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69DC5C41">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7F8F6D92">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218DF6E7">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法定代表人身份证明复印件</w:t>
            </w:r>
          </w:p>
          <w:p w14:paraId="2ABC94D8">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066965EE">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6EABDCEB">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p w14:paraId="30CC012A">
            <w:pPr>
              <w:keepNext w:val="0"/>
              <w:keepLines w:val="0"/>
              <w:suppressLineNumbers w:val="0"/>
              <w:shd w:val="clear"/>
              <w:adjustRightInd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p>
        </w:tc>
      </w:tr>
    </w:tbl>
    <w:p w14:paraId="092D049E">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p>
    <w:p w14:paraId="1D5FA8BA">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2F688838">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法定代表人作为磋商代表参与磋商活动的，仅</w:t>
      </w:r>
      <w:r>
        <w:rPr>
          <w:rFonts w:hint="eastAsia" w:ascii="宋体" w:hAnsi="宋体" w:cs="宋体"/>
          <w:b/>
          <w:bCs/>
          <w:color w:val="auto"/>
          <w:highlight w:val="none"/>
          <w:lang w:eastAsia="zh-CN"/>
        </w:rPr>
        <w:t>需</w:t>
      </w:r>
      <w:r>
        <w:rPr>
          <w:rFonts w:hint="eastAsia" w:ascii="宋体" w:hAnsi="宋体" w:eastAsia="宋体" w:cs="宋体"/>
          <w:b/>
          <w:bCs/>
          <w:color w:val="auto"/>
          <w:highlight w:val="none"/>
        </w:rPr>
        <w:t>提供法定代表人身份证复印件</w:t>
      </w:r>
      <w:r>
        <w:rPr>
          <w:rFonts w:hint="eastAsia" w:ascii="宋体" w:hAnsi="宋体" w:eastAsia="宋体" w:cs="宋体"/>
          <w:color w:val="auto"/>
          <w:highlight w:val="none"/>
        </w:rPr>
        <w:t>。</w:t>
      </w:r>
    </w:p>
    <w:p w14:paraId="47B05C2A">
      <w:pPr>
        <w:shd w:val="clear"/>
        <w:spacing w:before="0" w:beforeAutospacing="0" w:after="0" w:afterAutospacing="0" w:line="240" w:lineRule="auto"/>
        <w:ind w:firstLine="420" w:firstLineChars="200"/>
        <w:rPr>
          <w:rFonts w:hint="eastAsia" w:ascii="宋体" w:hAnsi="宋体" w:eastAsia="宋体" w:cs="宋体"/>
          <w:color w:val="auto"/>
          <w:szCs w:val="21"/>
          <w:highlight w:val="none"/>
        </w:rPr>
      </w:pPr>
    </w:p>
    <w:p w14:paraId="03B3A474">
      <w:pPr>
        <w:widowControl/>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38" w:name="_Toc31805"/>
      <w:bookmarkStart w:id="39" w:name="_Toc31564"/>
      <w:r>
        <w:rPr>
          <w:rFonts w:hint="eastAsia" w:ascii="宋体" w:hAnsi="宋体" w:eastAsia="宋体" w:cs="宋体"/>
          <w:b/>
          <w:bCs/>
          <w:color w:val="auto"/>
          <w:sz w:val="28"/>
          <w:szCs w:val="28"/>
          <w:highlight w:val="none"/>
        </w:rPr>
        <w:t>1-3自然人授权委托书</w:t>
      </w:r>
      <w:bookmarkEnd w:id="38"/>
      <w:bookmarkEnd w:id="39"/>
    </w:p>
    <w:p w14:paraId="6B33BB79">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适用于自然人参加磋商</w:t>
      </w:r>
      <w:r>
        <w:rPr>
          <w:rFonts w:hint="eastAsia" w:ascii="宋体" w:hAnsi="宋体" w:eastAsia="宋体" w:cs="宋体"/>
          <w:color w:val="auto"/>
          <w:szCs w:val="21"/>
          <w:highlight w:val="none"/>
          <w:lang w:eastAsia="zh-CN"/>
        </w:rPr>
        <w:t>）</w:t>
      </w:r>
    </w:p>
    <w:p w14:paraId="6B82FFA1">
      <w:pPr>
        <w:shd w:val="clear"/>
        <w:spacing w:before="0" w:beforeAutospacing="0" w:after="0" w:afterAutospacing="0" w:line="240" w:lineRule="auto"/>
        <w:rPr>
          <w:rFonts w:hint="eastAsia" w:ascii="宋体" w:hAnsi="宋体" w:eastAsia="宋体" w:cs="宋体"/>
          <w:color w:val="auto"/>
          <w:szCs w:val="21"/>
          <w:highlight w:val="none"/>
        </w:rPr>
      </w:pPr>
    </w:p>
    <w:p w14:paraId="2341871F">
      <w:pPr>
        <w:shd w:val="clear"/>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采购人或采购代理机构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00AC4623">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本授权书声明：我________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姓名、身份证号码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系自然人，现授权委托____________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姓名、身份证号码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以本人名义参加《</w:t>
      </w:r>
      <w:r>
        <w:rPr>
          <w:rFonts w:hint="eastAsia" w:ascii="宋体" w:hAnsi="宋体" w:eastAsia="宋体" w:cs="宋体"/>
          <w:color w:val="auto"/>
          <w:szCs w:val="21"/>
          <w:highlight w:val="none"/>
          <w:u w:val="single"/>
        </w:rPr>
        <w:t xml:space="preserve">          项目</w:t>
      </w:r>
      <w:r>
        <w:rPr>
          <w:rFonts w:hint="eastAsia" w:ascii="宋体" w:hAnsi="宋体" w:eastAsia="宋体" w:cs="宋体"/>
          <w:color w:val="auto"/>
          <w:szCs w:val="21"/>
          <w:highlight w:val="none"/>
        </w:rPr>
        <w:t>》（项目编号：    ）的磋商活动，并代表本人全权办理针对上述项目的磋商、签约等具体事务和签署相关文件。</w:t>
      </w:r>
    </w:p>
    <w:p w14:paraId="3443A78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本人对被授权人的签字事项负全部责任。</w:t>
      </w:r>
    </w:p>
    <w:p w14:paraId="4D5FFFFE">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授权委托代理期限：从　　年　　月　　日起至　　年　　月　　日止。</w:t>
      </w:r>
    </w:p>
    <w:p w14:paraId="12DCF6D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39D450E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7B62EE95">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39D285BB">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我已在下面签字，以资证明。</w:t>
      </w:r>
    </w:p>
    <w:p w14:paraId="30276587">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4990B7E7">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自然人签字并在签名处加盖食指指印：　　　　年　　月　　日</w:t>
      </w:r>
    </w:p>
    <w:p w14:paraId="3B4A28B3">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6E9F0AC1">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szCs w:val="21"/>
          <w:highlight w:val="none"/>
        </w:rPr>
      </w:pPr>
    </w:p>
    <w:p w14:paraId="4103B64B">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i/>
          <w:iCs/>
          <w:color w:val="auto"/>
          <w:highlight w:val="none"/>
        </w:rPr>
      </w:pPr>
      <w:r>
        <w:rPr>
          <w:rFonts w:hint="eastAsia" w:ascii="宋体" w:hAnsi="宋体" w:eastAsia="宋体" w:cs="宋体"/>
          <w:color w:val="auto"/>
          <w:highlight w:val="none"/>
        </w:rPr>
        <w:t>特别说明：</w:t>
      </w:r>
    </w:p>
    <w:p w14:paraId="55E2E256">
      <w:pPr>
        <w:shd w:val="clear"/>
        <w:tabs>
          <w:tab w:val="left" w:pos="312"/>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供应商如由</w:t>
      </w:r>
      <w:r>
        <w:rPr>
          <w:rFonts w:hint="eastAsia" w:ascii="宋体" w:hAnsi="宋体" w:eastAsia="宋体" w:cs="宋体"/>
          <w:b/>
          <w:bCs/>
          <w:color w:val="auto"/>
          <w:highlight w:val="none"/>
        </w:rPr>
        <w:t>被授权人参与磋商活动的，</w:t>
      </w:r>
      <w:r>
        <w:rPr>
          <w:rFonts w:hint="eastAsia" w:ascii="宋体" w:hAnsi="宋体" w:eastAsia="宋体" w:cs="宋体"/>
          <w:color w:val="auto"/>
          <w:highlight w:val="none"/>
        </w:rPr>
        <w:t>须提供《自然人授权委托书》，《自然人授权委托书》应当按本格式要求签字并由自然人在签名处加盖食指指印</w:t>
      </w:r>
      <w:r>
        <w:rPr>
          <w:rFonts w:hint="eastAsia" w:ascii="宋体" w:hAnsi="宋体" w:eastAsia="宋体" w:cs="宋体"/>
          <w:color w:val="auto"/>
          <w:szCs w:val="21"/>
          <w:highlight w:val="none"/>
        </w:rPr>
        <w:t>。</w:t>
      </w:r>
    </w:p>
    <w:p w14:paraId="06CE7723">
      <w:pPr>
        <w:shd w:val="clear"/>
        <w:spacing w:before="0" w:beforeAutospacing="0" w:after="0" w:afterAutospacing="0" w:line="360" w:lineRule="auto"/>
        <w:ind w:firstLine="480" w:firstLineChars="200"/>
        <w:rPr>
          <w:rFonts w:hint="eastAsia" w:ascii="宋体" w:hAnsi="宋体" w:eastAsia="宋体" w:cs="宋体"/>
          <w:color w:val="auto"/>
          <w:sz w:val="24"/>
          <w:szCs w:val="24"/>
          <w:highlight w:val="none"/>
        </w:rPr>
      </w:pPr>
    </w:p>
    <w:p w14:paraId="10B89283">
      <w:pPr>
        <w:shd w:val="clear"/>
        <w:spacing w:before="0" w:beforeAutospacing="0" w:after="0" w:afterAutospacing="0" w:line="240" w:lineRule="auto"/>
        <w:jc w:val="center"/>
        <w:outlineLvl w:val="1"/>
        <w:rPr>
          <w:rFonts w:hint="eastAsia" w:ascii="宋体" w:hAnsi="宋体" w:eastAsia="宋体" w:cs="宋体"/>
          <w:b/>
          <w:bCs/>
          <w:color w:val="auto"/>
          <w:sz w:val="36"/>
          <w:szCs w:val="36"/>
          <w:highlight w:val="none"/>
        </w:rPr>
      </w:pPr>
      <w:r>
        <w:rPr>
          <w:rFonts w:hint="eastAsia" w:ascii="宋体" w:hAnsi="宋体" w:eastAsia="宋体" w:cs="宋体"/>
          <w:color w:val="auto"/>
          <w:szCs w:val="21"/>
          <w:highlight w:val="none"/>
        </w:rPr>
        <w:br w:type="page"/>
      </w:r>
      <w:bookmarkStart w:id="40" w:name="_Toc27630"/>
      <w:bookmarkStart w:id="41" w:name="_Toc32120"/>
      <w:r>
        <w:rPr>
          <w:rFonts w:hint="eastAsia" w:ascii="宋体" w:hAnsi="宋体" w:eastAsia="宋体" w:cs="宋体"/>
          <w:b/>
          <w:bCs/>
          <w:color w:val="auto"/>
          <w:sz w:val="28"/>
          <w:szCs w:val="28"/>
          <w:highlight w:val="none"/>
        </w:rPr>
        <w:t>格式2  磋商响应函</w:t>
      </w:r>
      <w:bookmarkEnd w:id="40"/>
      <w:bookmarkEnd w:id="41"/>
    </w:p>
    <w:p w14:paraId="022F9D01">
      <w:pPr>
        <w:shd w:val="clear"/>
        <w:topLinePunct/>
        <w:autoSpaceDE w:val="0"/>
        <w:autoSpaceDN w:val="0"/>
        <w:adjustRightInd w:val="0"/>
        <w:snapToGrid w:val="0"/>
        <w:spacing w:before="0" w:beforeAutospacing="0" w:after="0" w:afterAutospacing="0" w:line="360" w:lineRule="auto"/>
        <w:rPr>
          <w:rFonts w:hint="eastAsia" w:ascii="宋体" w:hAnsi="宋体" w:eastAsia="宋体" w:cs="宋体"/>
          <w:color w:val="auto"/>
          <w:sz w:val="24"/>
          <w:szCs w:val="21"/>
          <w:highlight w:val="none"/>
        </w:rPr>
      </w:pPr>
    </w:p>
    <w:p w14:paraId="0E2D9746">
      <w:pPr>
        <w:shd w:val="clear"/>
        <w:topLinePunct/>
        <w:autoSpaceDE w:val="0"/>
        <w:autoSpaceDN w:val="0"/>
        <w:adjustRightInd w:val="0"/>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14:paraId="3E1A327A">
      <w:pPr>
        <w:shd w:val="clear"/>
        <w:topLinePunct/>
        <w:autoSpaceDE w:val="0"/>
        <w:autoSpaceDN w:val="0"/>
        <w:adjustRightInd w:val="0"/>
        <w:snapToGrid w:val="0"/>
        <w:spacing w:before="0" w:beforeAutospacing="0" w:after="0" w:afterAutospacing="0" w:line="360" w:lineRule="auto"/>
        <w:ind w:firstLine="428" w:firstLineChars="204"/>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根据______（项目名称）（项目编号：______）的磋商邀请，______（姓名、职务）代表供应商______（供应商名称、地址）参加项目磋商的有关活动。据此函，作如下承诺：</w:t>
      </w:r>
    </w:p>
    <w:p w14:paraId="17FF8A11">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1.同意在本项目采购文件中规定的开标日起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天遵</w:t>
      </w:r>
      <w:r>
        <w:rPr>
          <w:rFonts w:hint="eastAsia" w:ascii="宋体" w:hAnsi="宋体" w:eastAsia="宋体" w:cs="宋体"/>
          <w:color w:val="auto"/>
          <w:szCs w:val="21"/>
          <w:highlight w:val="none"/>
        </w:rPr>
        <w:t>守本响应文件中的承诺，且在期满之前均具有约束力。</w:t>
      </w:r>
    </w:p>
    <w:p w14:paraId="1B1ABF96">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2.参加采购活动的供应商应当具备的条件：</w:t>
      </w:r>
    </w:p>
    <w:p w14:paraId="16D67D2A">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w:t>
      </w:r>
    </w:p>
    <w:p w14:paraId="5789D739">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w:t>
      </w:r>
    </w:p>
    <w:p w14:paraId="5818AEFC">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w:t>
      </w:r>
    </w:p>
    <w:p w14:paraId="49B32ECC">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w:t>
      </w:r>
    </w:p>
    <w:p w14:paraId="76521CC4">
      <w:pPr>
        <w:shd w:val="clear"/>
        <w:tabs>
          <w:tab w:val="left" w:pos="700"/>
        </w:tabs>
        <w:topLinePunct/>
        <w:autoSpaceDE w:val="0"/>
        <w:autoSpaceDN w:val="0"/>
        <w:adjustRightInd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（5）参加此项采购活动前三年内，在经营活动中没有重大违法记录。</w:t>
      </w:r>
    </w:p>
    <w:p w14:paraId="39938BB4">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3.具备本项目采购文件中规定的其他要求和资质条件。</w:t>
      </w:r>
    </w:p>
    <w:p w14:paraId="6D73C41E">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4.提供供应商须知规定的全部响应文件。</w:t>
      </w:r>
    </w:p>
    <w:p w14:paraId="30780D26">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5.已详细审阅全部采购文件（包括采购文件澄清函），理解供应商须知的所有条款。</w:t>
      </w:r>
    </w:p>
    <w:p w14:paraId="25C3A982">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6.完全理解贵方“最低报价不能作为成交的保证”的规定。</w:t>
      </w:r>
    </w:p>
    <w:p w14:paraId="2257B2E1">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7.接受采购文件中全部合同条款，且无任何异议；保证忠实地执行双方所签订的合同，并承担合同规定的责任和义务。</w:t>
      </w:r>
    </w:p>
    <w:p w14:paraId="0D765E74">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8.完全满足和响应采购文件中的各项商务和技术要求，若有偏差，已在响应文件中明确说明。</w:t>
      </w:r>
    </w:p>
    <w:p w14:paraId="291E1B8B">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9.愿意提供任何与磋商有关的数据、情况和技术资料等。若贵方需要，愿意提供一切证明材料。</w:t>
      </w:r>
    </w:p>
    <w:p w14:paraId="24534E9E">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10.我方已详细审核全部响应文件、参考资料及有关附件，确认无误。</w:t>
      </w:r>
    </w:p>
    <w:p w14:paraId="0848580C">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11.对本次采购内容及与本项目有关的知识产权、技术资料、商业秘密及相关信息保密。</w:t>
      </w:r>
    </w:p>
    <w:p w14:paraId="7A1880D1">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12.已知悉并承诺遵守《税务系统信息化服务商失信行为记录名单制度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试行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关于失信行为进行记录和结果应用的相关规定，及对于违反网络安全规定行为造成不良后果、“围猎”税务人员、违法违规聘用离职税务人员、国家税务总局发票电子化改革领导小组办公室认定的失信行为，3年内限制参加税务系统</w:t>
      </w:r>
      <w:r>
        <w:rPr>
          <w:rFonts w:hint="eastAsia" w:ascii="宋体" w:hAnsi="宋体" w:cs="宋体"/>
          <w:color w:val="auto"/>
          <w:szCs w:val="21"/>
          <w:highlight w:val="none"/>
          <w:lang w:eastAsia="zh-CN"/>
        </w:rPr>
        <w:t>采购</w:t>
      </w:r>
      <w:r>
        <w:rPr>
          <w:rFonts w:hint="eastAsia" w:ascii="宋体" w:hAnsi="宋体" w:eastAsia="宋体" w:cs="宋体"/>
          <w:color w:val="auto"/>
          <w:szCs w:val="21"/>
          <w:highlight w:val="none"/>
        </w:rPr>
        <w:t>活动的相关规定。</w:t>
      </w:r>
    </w:p>
    <w:p w14:paraId="47FFC221">
      <w:pPr>
        <w:shd w:val="clear"/>
        <w:tabs>
          <w:tab w:val="left" w:pos="420"/>
        </w:tabs>
        <w:topLinePunct/>
        <w:autoSpaceDE w:val="0"/>
        <w:autoSpaceDN w:val="0"/>
        <w:snapToGrid w:val="0"/>
        <w:spacing w:before="0" w:beforeAutospacing="0" w:after="0" w:afterAutospacing="0" w:line="360" w:lineRule="auto"/>
        <w:ind w:firstLine="428" w:firstLineChars="20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13.已知悉并承诺遵守采购文件中关于供应链安全管理的全部要求。</w:t>
      </w:r>
    </w:p>
    <w:p w14:paraId="3EC08107">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14:paraId="458249C4">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14:paraId="1AB66280">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14:paraId="0E07C4D4">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14:paraId="27A14E3B">
      <w:pPr>
        <w:shd w:val="clear"/>
        <w:tabs>
          <w:tab w:val="left" w:pos="420"/>
        </w:tabs>
        <w:topLinePunct/>
        <w:autoSpaceDE w:val="0"/>
        <w:autoSpaceDN w:val="0"/>
        <w:snapToGrid w:val="0"/>
        <w:spacing w:before="0" w:beforeAutospacing="0" w:after="0" w:afterAutospacing="0" w:line="360" w:lineRule="auto"/>
        <w:ind w:firstLine="428" w:firstLineChars="204"/>
        <w:jc w:val="center"/>
        <w:rPr>
          <w:rFonts w:hint="eastAsia" w:ascii="宋体" w:hAnsi="宋体" w:eastAsia="宋体" w:cs="宋体"/>
          <w:color w:val="auto"/>
          <w:szCs w:val="21"/>
          <w:highlight w:val="none"/>
        </w:rPr>
      </w:pPr>
    </w:p>
    <w:p w14:paraId="5439890A">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供应商名称（公章）：____________</w:t>
      </w:r>
    </w:p>
    <w:p w14:paraId="59CA667E">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法定代表人（签字）/授权代表（签字）：____________</w:t>
      </w:r>
    </w:p>
    <w:p w14:paraId="2C816160">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供应商地址：____________</w:t>
      </w:r>
    </w:p>
    <w:p w14:paraId="1518A731">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邮编：____________</w:t>
      </w:r>
    </w:p>
    <w:p w14:paraId="47F6B700">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电话：____________</w:t>
      </w:r>
    </w:p>
    <w:p w14:paraId="501FCA8C">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传真：____________</w:t>
      </w:r>
    </w:p>
    <w:p w14:paraId="76CFC2E4">
      <w:pPr>
        <w:shd w:val="clear"/>
        <w:tabs>
          <w:tab w:val="left" w:pos="420"/>
        </w:tabs>
        <w:topLinePunct/>
        <w:autoSpaceDE w:val="0"/>
        <w:autoSpaceDN w:val="0"/>
        <w:snapToGrid w:val="0"/>
        <w:spacing w:before="0" w:beforeAutospacing="0" w:after="0" w:afterAutospacing="0" w:line="360" w:lineRule="auto"/>
        <w:ind w:left="0" w:leftChars="0" w:firstLine="3360" w:firstLineChars="1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期：____________          </w:t>
      </w:r>
    </w:p>
    <w:p w14:paraId="17F737A9">
      <w:pPr>
        <w:shd w:val="clear"/>
        <w:tabs>
          <w:tab w:val="left" w:pos="1230"/>
        </w:tabs>
        <w:topLinePunct/>
        <w:autoSpaceDE w:val="0"/>
        <w:autoSpaceDN w:val="0"/>
        <w:snapToGrid w:val="0"/>
        <w:spacing w:before="0" w:beforeAutospacing="0" w:after="0" w:afterAutospacing="0" w:line="400" w:lineRule="exact"/>
        <w:ind w:left="360"/>
        <w:rPr>
          <w:rFonts w:hint="eastAsia" w:ascii="宋体" w:hAnsi="宋体" w:eastAsia="宋体" w:cs="宋体"/>
          <w:color w:val="auto"/>
          <w:szCs w:val="21"/>
          <w:highlight w:val="none"/>
        </w:rPr>
      </w:pPr>
    </w:p>
    <w:p w14:paraId="0AC3A7F6">
      <w:pPr>
        <w:shd w:val="clear"/>
        <w:spacing w:before="0" w:beforeAutospacing="0" w:after="0" w:afterAutospacing="0" w:line="240" w:lineRule="auto"/>
        <w:ind w:firstLine="480" w:firstLineChars="200"/>
        <w:rPr>
          <w:rFonts w:hint="eastAsia" w:ascii="宋体" w:hAnsi="宋体" w:eastAsia="宋体" w:cs="宋体"/>
          <w:color w:val="auto"/>
          <w:sz w:val="24"/>
          <w:highlight w:val="none"/>
        </w:rPr>
      </w:pPr>
    </w:p>
    <w:p w14:paraId="2860C8F6">
      <w:pPr>
        <w:shd w:val="clear"/>
        <w:adjustRightInd w:val="0"/>
        <w:snapToGrid w:val="0"/>
        <w:spacing w:before="0" w:beforeAutospacing="0" w:after="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t>特别说明：</w:t>
      </w:r>
    </w:p>
    <w:p w14:paraId="51B49E13">
      <w:pPr>
        <w:shd w:val="clear"/>
        <w:adjustRightInd w:val="0"/>
        <w:snapToGrid w:val="0"/>
        <w:spacing w:before="0" w:beforeAutospacing="0" w:after="0" w:afterAutospacing="0"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供应商应当按上述格式要求加盖与供应商名称全称一致的标准公章，并签署法定代表人或</w:t>
      </w:r>
      <w:r>
        <w:rPr>
          <w:rFonts w:hint="eastAsia" w:ascii="宋体" w:hAnsi="宋体" w:eastAsia="宋体" w:cs="宋体"/>
          <w:bCs/>
          <w:color w:val="auto"/>
          <w:szCs w:val="21"/>
          <w:highlight w:val="none"/>
        </w:rPr>
        <w:t>授权代表</w:t>
      </w:r>
      <w:r>
        <w:rPr>
          <w:rFonts w:hint="eastAsia" w:ascii="宋体" w:hAnsi="宋体" w:eastAsia="宋体" w:cs="宋体"/>
          <w:color w:val="auto"/>
          <w:szCs w:val="21"/>
          <w:highlight w:val="none"/>
        </w:rPr>
        <w:t>的全名或加盖名章。</w:t>
      </w:r>
    </w:p>
    <w:p w14:paraId="42285EE7">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42" w:name="_Toc28094"/>
      <w:bookmarkStart w:id="43" w:name="_Toc29146"/>
      <w:r>
        <w:rPr>
          <w:rFonts w:hint="eastAsia" w:ascii="宋体" w:hAnsi="宋体" w:eastAsia="宋体" w:cs="宋体"/>
          <w:b/>
          <w:bCs/>
          <w:color w:val="auto"/>
          <w:sz w:val="28"/>
          <w:szCs w:val="28"/>
          <w:highlight w:val="none"/>
        </w:rPr>
        <w:t>格式3  磋商报价表</w:t>
      </w:r>
      <w:bookmarkEnd w:id="42"/>
      <w:bookmarkEnd w:id="43"/>
    </w:p>
    <w:p w14:paraId="1D4326E4">
      <w:pPr>
        <w:widowControl/>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44" w:name="_Toc17041"/>
      <w:bookmarkStart w:id="45" w:name="_Toc29819"/>
      <w:r>
        <w:rPr>
          <w:rFonts w:hint="eastAsia" w:ascii="宋体" w:hAnsi="宋体" w:eastAsia="宋体" w:cs="宋体"/>
          <w:b/>
          <w:bCs/>
          <w:color w:val="auto"/>
          <w:sz w:val="28"/>
          <w:szCs w:val="28"/>
          <w:highlight w:val="none"/>
        </w:rPr>
        <w:t>1.报价一览表（总报价表）</w:t>
      </w:r>
      <w:bookmarkEnd w:id="44"/>
      <w:bookmarkEnd w:id="45"/>
    </w:p>
    <w:p w14:paraId="770172BA">
      <w:pPr>
        <w:shd w:val="clear"/>
        <w:topLinePunct/>
        <w:autoSpaceDE w:val="0"/>
        <w:autoSpaceDN w:val="0"/>
        <w:adjustRightInd w:val="0"/>
        <w:snapToGrid w:val="0"/>
        <w:spacing w:before="0" w:beforeAutospacing="0" w:after="0" w:afterAutospacing="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9280BD3">
      <w:pPr>
        <w:shd w:val="clear"/>
        <w:tabs>
          <w:tab w:val="left" w:pos="8620"/>
        </w:tabs>
        <w:adjustRightInd w:val="0"/>
        <w:snapToGrid w:val="0"/>
        <w:spacing w:before="0" w:beforeAutospacing="0" w:after="0" w:afterAutospacing="0" w:line="360" w:lineRule="auto"/>
        <w:ind w:right="-218" w:rightChars="0"/>
        <w:rPr>
          <w:rFonts w:hint="eastAsia" w:ascii="宋体" w:hAnsi="宋体" w:eastAsia="宋体" w:cs="宋体"/>
          <w:bCs/>
          <w:color w:val="auto"/>
          <w:w w:val="150"/>
          <w:szCs w:val="21"/>
          <w:highlight w:val="none"/>
          <w:lang w:val="en-US"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w:t>
      </w:r>
      <w:r>
        <w:rPr>
          <w:rFonts w:hint="eastAsia" w:ascii="宋体" w:hAnsi="宋体" w:cs="宋体"/>
          <w:b/>
          <w:color w:val="auto"/>
          <w:sz w:val="21"/>
          <w:szCs w:val="21"/>
          <w:highlight w:val="none"/>
          <w:lang w:val="en-US" w:eastAsia="zh-CN"/>
        </w:rPr>
        <w:t>元</w:t>
      </w:r>
    </w:p>
    <w:tbl>
      <w:tblPr>
        <w:tblStyle w:val="35"/>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3677"/>
        <w:gridCol w:w="3936"/>
      </w:tblGrid>
      <w:tr w14:paraId="74A7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719" w:type="dxa"/>
            <w:noWrap/>
            <w:vAlign w:val="center"/>
          </w:tcPr>
          <w:p w14:paraId="4CDC378C">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3677" w:type="dxa"/>
            <w:noWrap/>
            <w:vAlign w:val="center"/>
          </w:tcPr>
          <w:p w14:paraId="2DEDC690">
            <w:pPr>
              <w:keepNext w:val="0"/>
              <w:keepLines w:val="0"/>
              <w:suppressLineNumbers w:val="0"/>
              <w:adjustRightInd w:val="0"/>
              <w:snapToGrid w:val="0"/>
              <w:spacing w:before="62" w:beforeLines="20" w:after="62" w:afterLines="20"/>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Cs w:val="21"/>
                <w:highlight w:val="none"/>
              </w:rPr>
              <w:t>内容</w:t>
            </w:r>
          </w:p>
        </w:tc>
        <w:tc>
          <w:tcPr>
            <w:tcW w:w="3936" w:type="dxa"/>
            <w:noWrap/>
            <w:vAlign w:val="center"/>
          </w:tcPr>
          <w:p w14:paraId="69832EE6">
            <w:pPr>
              <w:keepNext w:val="0"/>
              <w:keepLines w:val="0"/>
              <w:suppressLineNumbers w:val="0"/>
              <w:adjustRightInd w:val="0"/>
              <w:snapToGrid w:val="0"/>
              <w:spacing w:before="62" w:beforeLines="20" w:after="62" w:afterLines="20"/>
              <w:ind w:left="0" w:right="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Cs w:val="21"/>
                <w:highlight w:val="none"/>
              </w:rPr>
              <w:t>价格小计</w:t>
            </w:r>
          </w:p>
        </w:tc>
      </w:tr>
      <w:tr w14:paraId="3D39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719" w:type="dxa"/>
            <w:noWrap/>
            <w:vAlign w:val="center"/>
          </w:tcPr>
          <w:p w14:paraId="25C63B6E">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1</w:t>
            </w:r>
          </w:p>
        </w:tc>
        <w:tc>
          <w:tcPr>
            <w:tcW w:w="3677" w:type="dxa"/>
            <w:noWrap/>
            <w:vAlign w:val="center"/>
          </w:tcPr>
          <w:p w14:paraId="0B766920">
            <w:pPr>
              <w:keepNext w:val="0"/>
              <w:keepLines w:val="0"/>
              <w:suppressLineNumbers w:val="0"/>
              <w:shd w:val="clear"/>
              <w:adjustRightInd w:val="0"/>
              <w:snapToGrid w:val="0"/>
              <w:spacing w:after="0" w:line="360" w:lineRule="auto"/>
              <w:ind w:left="0" w:right="0"/>
              <w:jc w:val="center"/>
              <w:rPr>
                <w:rFonts w:hint="eastAsia" w:ascii="宋体" w:hAnsi="宋体" w:eastAsia="宋体" w:cs="宋体"/>
                <w:color w:val="auto"/>
                <w:sz w:val="21"/>
                <w:szCs w:val="21"/>
                <w:highlight w:val="none"/>
              </w:rPr>
            </w:pPr>
          </w:p>
        </w:tc>
        <w:tc>
          <w:tcPr>
            <w:tcW w:w="3936" w:type="dxa"/>
            <w:noWrap/>
            <w:vAlign w:val="center"/>
          </w:tcPr>
          <w:p w14:paraId="3693A420">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b/>
                <w:color w:val="auto"/>
                <w:sz w:val="21"/>
                <w:szCs w:val="21"/>
                <w:highlight w:val="none"/>
                <w:lang w:eastAsia="zh-CN"/>
              </w:rPr>
            </w:pPr>
          </w:p>
        </w:tc>
      </w:tr>
      <w:tr w14:paraId="3176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96" w:type="dxa"/>
            <w:gridSpan w:val="2"/>
            <w:noWrap/>
            <w:vAlign w:val="center"/>
          </w:tcPr>
          <w:p w14:paraId="41A3FB65">
            <w:pPr>
              <w:keepNext w:val="0"/>
              <w:keepLines w:val="0"/>
              <w:suppressLineNumbers w:val="0"/>
              <w:shd w:val="clear"/>
              <w:adjustRightInd w:val="0"/>
              <w:snapToGrid w:val="0"/>
              <w:spacing w:beforeLines="20" w:afterLines="2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3936" w:type="dxa"/>
            <w:noWrap/>
            <w:vAlign w:val="center"/>
          </w:tcPr>
          <w:p w14:paraId="19B434C9">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color w:val="auto"/>
                <w:sz w:val="21"/>
                <w:szCs w:val="21"/>
                <w:highlight w:val="none"/>
              </w:rPr>
            </w:pPr>
          </w:p>
        </w:tc>
      </w:tr>
      <w:tr w14:paraId="3CF2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5396" w:type="dxa"/>
            <w:gridSpan w:val="2"/>
            <w:noWrap/>
            <w:vAlign w:val="center"/>
          </w:tcPr>
          <w:p w14:paraId="0644B20F">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936" w:type="dxa"/>
            <w:noWrap/>
            <w:vAlign w:val="center"/>
          </w:tcPr>
          <w:p w14:paraId="0BFCA7E3">
            <w:pPr>
              <w:keepNext w:val="0"/>
              <w:keepLines w:val="0"/>
              <w:suppressLineNumbers w:val="0"/>
              <w:shd w:val="clear"/>
              <w:adjustRightInd w:val="0"/>
              <w:snapToGrid w:val="0"/>
              <w:spacing w:beforeLines="20" w:afterLines="20" w:line="240" w:lineRule="auto"/>
              <w:ind w:left="0" w:right="0"/>
              <w:jc w:val="center"/>
              <w:rPr>
                <w:rFonts w:hint="eastAsia" w:ascii="宋体" w:hAnsi="宋体" w:eastAsia="宋体" w:cs="宋体"/>
                <w:color w:val="auto"/>
                <w:sz w:val="21"/>
                <w:szCs w:val="21"/>
                <w:highlight w:val="none"/>
              </w:rPr>
            </w:pPr>
          </w:p>
        </w:tc>
      </w:tr>
    </w:tbl>
    <w:p w14:paraId="09B566C4">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p>
    <w:p w14:paraId="524D6BF0">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2ADA64C5">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1.本项目总价及分项报价均不接受任何形式的赠送、“零”</w:t>
      </w:r>
      <w:r>
        <w:rPr>
          <w:rFonts w:hint="eastAsia" w:ascii="宋体" w:hAnsi="宋体" w:cs="宋体"/>
          <w:color w:val="auto"/>
          <w:szCs w:val="21"/>
          <w:highlight w:val="none"/>
          <w:lang w:eastAsia="zh-CN"/>
        </w:rPr>
        <w:t>报价</w:t>
      </w:r>
      <w:r>
        <w:rPr>
          <w:rFonts w:hint="eastAsia" w:ascii="宋体" w:hAnsi="宋体" w:eastAsia="宋体" w:cs="宋体"/>
          <w:color w:val="auto"/>
          <w:szCs w:val="21"/>
          <w:highlight w:val="none"/>
        </w:rPr>
        <w:t>。</w:t>
      </w:r>
    </w:p>
    <w:p w14:paraId="7608906F">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2.本项目执行中所发生的所有费用均计入总报价中，采购人不再另行支付其他任何费用。</w:t>
      </w:r>
    </w:p>
    <w:p w14:paraId="2569A541">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3.供应商应根据《采购文件-技术部分》相关要求填报。</w:t>
      </w:r>
    </w:p>
    <w:p w14:paraId="1C0DB24F">
      <w:pPr>
        <w:shd w:val="clear"/>
        <w:topLinePunct/>
        <w:autoSpaceDE w:val="0"/>
        <w:autoSpaceDN w:val="0"/>
        <w:spacing w:before="0" w:beforeAutospacing="0" w:after="0" w:afterAutospacing="0" w:line="360" w:lineRule="auto"/>
        <w:ind w:firstLine="422" w:firstLineChars="200"/>
        <w:rPr>
          <w:rFonts w:hint="eastAsia" w:ascii="宋体" w:hAnsi="宋体" w:eastAsia="宋体" w:cs="宋体"/>
          <w:b/>
          <w:bCs/>
          <w:color w:val="auto"/>
          <w:sz w:val="21"/>
          <w:szCs w:val="21"/>
          <w:highlight w:val="none"/>
          <w:lang w:eastAsia="zh-CN"/>
        </w:rPr>
      </w:pPr>
    </w:p>
    <w:p w14:paraId="0A883B2A">
      <w:pPr>
        <w:pStyle w:val="32"/>
        <w:outlineLvl w:val="9"/>
        <w:rPr>
          <w:rFonts w:hint="eastAsia" w:ascii="宋体" w:hAnsi="宋体" w:eastAsia="宋体" w:cs="宋体"/>
          <w:color w:val="auto"/>
          <w:highlight w:val="none"/>
          <w:lang w:val="en-US" w:eastAsia="zh-CN"/>
        </w:rPr>
      </w:pPr>
    </w:p>
    <w:p w14:paraId="23BD1350">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045AE4D">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23EBB8D">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391ED56E">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bookmarkStart w:id="46" w:name="_Toc11051"/>
      <w:bookmarkStart w:id="47" w:name="_Toc32585"/>
      <w:r>
        <w:rPr>
          <w:rFonts w:hint="eastAsia" w:ascii="宋体" w:hAnsi="宋体" w:eastAsia="宋体" w:cs="宋体"/>
          <w:b/>
          <w:bCs/>
          <w:color w:val="auto"/>
          <w:sz w:val="28"/>
          <w:szCs w:val="28"/>
          <w:highlight w:val="none"/>
        </w:rPr>
        <w:t>2.分项报价表</w:t>
      </w:r>
      <w:bookmarkEnd w:id="46"/>
      <w:bookmarkEnd w:id="47"/>
    </w:p>
    <w:p w14:paraId="0243E6DF">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48" w:name="_Toc6797"/>
      <w:bookmarkStart w:id="49" w:name="_Toc20667"/>
      <w:r>
        <w:rPr>
          <w:rFonts w:hint="eastAsia" w:ascii="宋体" w:hAnsi="宋体" w:eastAsia="宋体" w:cs="宋体"/>
          <w:b/>
          <w:bCs/>
          <w:color w:val="auto"/>
          <w:sz w:val="28"/>
          <w:szCs w:val="28"/>
          <w:highlight w:val="none"/>
        </w:rPr>
        <w:t>2.1 分项报价表</w:t>
      </w:r>
      <w:bookmarkEnd w:id="48"/>
      <w:bookmarkEnd w:id="49"/>
    </w:p>
    <w:p w14:paraId="1640B1AD">
      <w:pPr>
        <w:shd w:val="clear"/>
        <w:topLinePunct/>
        <w:autoSpaceDE w:val="0"/>
        <w:autoSpaceDN w:val="0"/>
        <w:adjustRightInd w:val="0"/>
        <w:snapToGrid w:val="0"/>
        <w:spacing w:before="0" w:beforeAutospacing="0" w:after="0" w:afterAutospacing="0" w:line="360" w:lineRule="auto"/>
        <w:ind w:lef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（服务类项目适用</w:t>
      </w:r>
      <w:r>
        <w:rPr>
          <w:rFonts w:hint="eastAsia" w:ascii="宋体" w:hAnsi="宋体" w:eastAsia="宋体" w:cs="宋体"/>
          <w:color w:val="auto"/>
          <w:szCs w:val="21"/>
          <w:highlight w:val="none"/>
          <w:lang w:eastAsia="zh-CN"/>
        </w:rPr>
        <w:t>）</w:t>
      </w:r>
    </w:p>
    <w:p w14:paraId="6A3CD84E">
      <w:pPr>
        <w:keepNext w:val="0"/>
        <w:keepLines w:val="0"/>
        <w:pageBreakBefore w:val="0"/>
        <w:widowControl w:val="0"/>
        <w:kinsoku/>
        <w:wordWrap/>
        <w:overflowPunct/>
        <w:topLinePunct/>
        <w:autoSpaceDE w:val="0"/>
        <w:autoSpaceDN w:val="0"/>
        <w:bidi w:val="0"/>
        <w:adjustRightInd w:val="0"/>
        <w:snapToGrid w:val="0"/>
        <w:spacing w:before="0" w:beforeAutospacing="0" w:after="0" w:afterAutospacing="0"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C0E36E6">
      <w:pPr>
        <w:keepNext w:val="0"/>
        <w:keepLines w:val="0"/>
        <w:pageBreakBefore w:val="0"/>
        <w:widowControl w:val="0"/>
        <w:kinsoku/>
        <w:wordWrap/>
        <w:overflowPunct/>
        <w:bidi w:val="0"/>
        <w:adjustRightInd w:val="0"/>
        <w:snapToGrid w:val="0"/>
        <w:spacing w:before="0" w:beforeAutospacing="0" w:after="0" w:afterAutospacing="0" w:line="360" w:lineRule="auto"/>
        <w:ind w:right="840"/>
        <w:textAlignment w:val="auto"/>
        <w:rPr>
          <w:rFonts w:hint="eastAsia" w:ascii="宋体" w:hAnsi="宋体" w:eastAsia="宋体" w:cs="宋体"/>
          <w:bCs/>
          <w:color w:val="auto"/>
          <w:w w:val="150"/>
          <w:szCs w:val="21"/>
          <w:highlight w:val="none"/>
          <w:lang w:eastAsia="zh-CN"/>
        </w:rPr>
      </w:pPr>
      <w:r>
        <w:rPr>
          <w:rFonts w:hint="eastAsia" w:ascii="宋体" w:hAnsi="宋体" w:eastAsia="宋体" w:cs="宋体"/>
          <w:color w:val="auto"/>
          <w:highlight w:val="none"/>
        </w:rPr>
        <w:t>采购包号：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价格单位：  </w:t>
      </w:r>
      <w:r>
        <w:rPr>
          <w:rFonts w:hint="eastAsia" w:ascii="宋体" w:hAnsi="宋体" w:cs="宋体"/>
          <w:color w:val="auto"/>
          <w:highlight w:val="none"/>
          <w:lang w:val="en-US" w:eastAsia="zh-CN"/>
        </w:rPr>
        <w:t>元</w:t>
      </w:r>
    </w:p>
    <w:tbl>
      <w:tblPr>
        <w:tblStyle w:val="35"/>
        <w:tblW w:w="7111" w:type="dxa"/>
        <w:jc w:val="center"/>
        <w:tblLayout w:type="fixed"/>
        <w:tblCellMar>
          <w:top w:w="0" w:type="dxa"/>
          <w:left w:w="108" w:type="dxa"/>
          <w:bottom w:w="0" w:type="dxa"/>
          <w:right w:w="108" w:type="dxa"/>
        </w:tblCellMar>
      </w:tblPr>
      <w:tblGrid>
        <w:gridCol w:w="644"/>
        <w:gridCol w:w="3040"/>
        <w:gridCol w:w="982"/>
        <w:gridCol w:w="2445"/>
      </w:tblGrid>
      <w:tr w14:paraId="7D6AAAD6">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40370B50">
            <w:pPr>
              <w:keepNext w:val="0"/>
              <w:keepLines w:val="0"/>
              <w:widowControl/>
              <w:suppressLineNumbers w:val="0"/>
              <w:spacing w:after="0" w:line="240" w:lineRule="auto"/>
              <w:ind w:left="0" w:right="0"/>
              <w:jc w:val="center"/>
              <w:rPr>
                <w:rFonts w:hint="default"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序号</w:t>
            </w:r>
          </w:p>
        </w:tc>
        <w:tc>
          <w:tcPr>
            <w:tcW w:w="3040" w:type="dxa"/>
            <w:tcBorders>
              <w:top w:val="single" w:color="auto" w:sz="4" w:space="0"/>
              <w:left w:val="nil"/>
              <w:bottom w:val="single" w:color="auto" w:sz="4" w:space="0"/>
              <w:right w:val="single" w:color="auto" w:sz="4" w:space="0"/>
            </w:tcBorders>
            <w:noWrap w:val="0"/>
            <w:vAlign w:val="center"/>
          </w:tcPr>
          <w:p w14:paraId="19A67523">
            <w:pPr>
              <w:keepNext w:val="0"/>
              <w:keepLines w:val="0"/>
              <w:widowControl/>
              <w:suppressLineNumbers w:val="0"/>
              <w:spacing w:after="0" w:line="240" w:lineRule="auto"/>
              <w:ind w:left="-84" w:leftChars="-40" w:right="0" w:firstLine="81" w:firstLineChars="39"/>
              <w:jc w:val="center"/>
              <w:rPr>
                <w:rFonts w:hint="default" w:ascii="宋体" w:hAnsi="宋体" w:eastAsia="宋体" w:cs="宋体"/>
                <w:b/>
                <w:color w:val="auto"/>
                <w:sz w:val="21"/>
                <w:szCs w:val="21"/>
                <w:highlight w:val="none"/>
                <w:lang w:val="en-US" w:eastAsia="zh-CN"/>
              </w:rPr>
            </w:pPr>
            <w:r>
              <w:rPr>
                <w:rFonts w:hint="eastAsia"/>
                <w:color w:val="auto"/>
                <w:highlight w:val="none"/>
              </w:rPr>
              <w:t xml:space="preserve">服务名称 </w:t>
            </w:r>
          </w:p>
        </w:tc>
        <w:tc>
          <w:tcPr>
            <w:tcW w:w="982" w:type="dxa"/>
            <w:tcBorders>
              <w:top w:val="single" w:color="auto" w:sz="4" w:space="0"/>
              <w:left w:val="nil"/>
              <w:bottom w:val="single" w:color="auto" w:sz="4" w:space="0"/>
              <w:right w:val="single" w:color="auto" w:sz="4" w:space="0"/>
            </w:tcBorders>
            <w:noWrap w:val="0"/>
            <w:vAlign w:val="center"/>
          </w:tcPr>
          <w:p w14:paraId="315C3CA5">
            <w:pPr>
              <w:keepNext w:val="0"/>
              <w:keepLines w:val="0"/>
              <w:widowControl/>
              <w:suppressLineNumbers w:val="0"/>
              <w:spacing w:after="0" w:line="240" w:lineRule="auto"/>
              <w:ind w:left="0" w:right="0"/>
              <w:jc w:val="center"/>
              <w:rPr>
                <w:rFonts w:hint="eastAsia" w:ascii="宋体" w:hAnsi="宋体" w:eastAsia="宋体" w:cs="宋体"/>
                <w:b/>
                <w:color w:val="auto"/>
                <w:sz w:val="21"/>
                <w:szCs w:val="21"/>
                <w:highlight w:val="none"/>
                <w:lang w:val="en-US" w:eastAsia="zh-CN"/>
              </w:rPr>
            </w:pPr>
            <w:r>
              <w:rPr>
                <w:rFonts w:hint="eastAsia"/>
                <w:color w:val="auto"/>
                <w:highlight w:val="none"/>
              </w:rPr>
              <w:t>单位</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F7C6D79">
            <w:pPr>
              <w:keepNext w:val="0"/>
              <w:keepLines w:val="0"/>
              <w:widowControl/>
              <w:suppressLineNumbers w:val="0"/>
              <w:topLinePunct/>
              <w:adjustRightInd w:val="0"/>
              <w:snapToGrid w:val="0"/>
              <w:spacing w:after="0" w:line="240" w:lineRule="auto"/>
              <w:ind w:left="0" w:right="0"/>
              <w:jc w:val="center"/>
              <w:rPr>
                <w:rFonts w:hint="eastAsia" w:ascii="宋体" w:hAnsi="宋体" w:eastAsia="宋体" w:cs="宋体"/>
                <w:b/>
                <w:color w:val="auto"/>
                <w:sz w:val="21"/>
                <w:szCs w:val="21"/>
                <w:highlight w:val="none"/>
              </w:rPr>
            </w:pPr>
            <w:r>
              <w:rPr>
                <w:rFonts w:hint="eastAsia"/>
                <w:color w:val="auto"/>
                <w:highlight w:val="none"/>
              </w:rPr>
              <w:t>单价</w:t>
            </w:r>
          </w:p>
        </w:tc>
      </w:tr>
      <w:tr w14:paraId="1CD794FD">
        <w:tblPrEx>
          <w:tblCellMar>
            <w:top w:w="0" w:type="dxa"/>
            <w:left w:w="108" w:type="dxa"/>
            <w:bottom w:w="0" w:type="dxa"/>
            <w:right w:w="108" w:type="dxa"/>
          </w:tblCellMar>
        </w:tblPrEx>
        <w:trPr>
          <w:trHeight w:val="477"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14:paraId="688550EB">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bidi="ar"/>
              </w:rPr>
              <w:t>1</w:t>
            </w:r>
          </w:p>
        </w:tc>
        <w:tc>
          <w:tcPr>
            <w:tcW w:w="3040" w:type="dxa"/>
            <w:tcBorders>
              <w:top w:val="single" w:color="auto" w:sz="4" w:space="0"/>
              <w:left w:val="nil"/>
              <w:bottom w:val="single" w:color="auto" w:sz="4" w:space="0"/>
              <w:right w:val="single" w:color="auto" w:sz="4" w:space="0"/>
            </w:tcBorders>
            <w:noWrap w:val="0"/>
            <w:vAlign w:val="center"/>
          </w:tcPr>
          <w:p w14:paraId="4D17F164">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lang w:eastAsia="zh-CN"/>
              </w:rPr>
            </w:pPr>
          </w:p>
        </w:tc>
        <w:tc>
          <w:tcPr>
            <w:tcW w:w="982" w:type="dxa"/>
            <w:tcBorders>
              <w:top w:val="single" w:color="auto" w:sz="4" w:space="0"/>
              <w:left w:val="nil"/>
              <w:bottom w:val="single" w:color="auto" w:sz="4" w:space="0"/>
              <w:right w:val="single" w:color="auto" w:sz="4" w:space="0"/>
            </w:tcBorders>
            <w:noWrap w:val="0"/>
            <w:vAlign w:val="center"/>
          </w:tcPr>
          <w:p w14:paraId="2C7A38F9">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bidi="ar"/>
              </w:rPr>
              <w:t>项</w:t>
            </w:r>
          </w:p>
        </w:tc>
        <w:tc>
          <w:tcPr>
            <w:tcW w:w="2445" w:type="dxa"/>
            <w:tcBorders>
              <w:top w:val="single" w:color="auto" w:sz="4" w:space="0"/>
              <w:left w:val="single" w:color="auto" w:sz="4" w:space="0"/>
              <w:bottom w:val="single" w:color="auto" w:sz="4" w:space="0"/>
              <w:right w:val="single" w:color="auto" w:sz="4" w:space="0"/>
            </w:tcBorders>
            <w:noWrap w:val="0"/>
            <w:vAlign w:val="center"/>
          </w:tcPr>
          <w:p w14:paraId="4F253D62">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u w:val="none"/>
                <w:lang w:val="en-US" w:eastAsia="zh-CN" w:bidi="ar"/>
              </w:rPr>
              <w:t xml:space="preserve"> </w:t>
            </w:r>
          </w:p>
        </w:tc>
      </w:tr>
      <w:tr w14:paraId="464B671E">
        <w:tblPrEx>
          <w:tblCellMar>
            <w:top w:w="0" w:type="dxa"/>
            <w:left w:w="108" w:type="dxa"/>
            <w:bottom w:w="0" w:type="dxa"/>
            <w:right w:w="108" w:type="dxa"/>
          </w:tblCellMar>
        </w:tblPrEx>
        <w:trPr>
          <w:trHeight w:val="595" w:hRule="atLeast"/>
          <w:tblHeader/>
          <w:jc w:val="center"/>
        </w:trPr>
        <w:tc>
          <w:tcPr>
            <w:tcW w:w="7111" w:type="dxa"/>
            <w:gridSpan w:val="4"/>
            <w:tcBorders>
              <w:top w:val="single" w:color="auto" w:sz="4" w:space="0"/>
              <w:left w:val="single" w:color="auto" w:sz="4" w:space="0"/>
              <w:bottom w:val="single" w:color="auto" w:sz="4" w:space="0"/>
              <w:right w:val="single" w:color="auto" w:sz="4" w:space="0"/>
            </w:tcBorders>
            <w:noWrap w:val="0"/>
            <w:vAlign w:val="center"/>
          </w:tcPr>
          <w:p w14:paraId="32690A02">
            <w:pPr>
              <w:keepNext w:val="0"/>
              <w:keepLines w:val="0"/>
              <w:widowControl/>
              <w:suppressLineNumbers w:val="0"/>
              <w:tabs>
                <w:tab w:val="left" w:pos="425"/>
              </w:tabs>
              <w:topLinePunct/>
              <w:adjustRightInd w:val="0"/>
              <w:snapToGrid w:val="0"/>
              <w:spacing w:after="0" w:line="240" w:lineRule="auto"/>
              <w:ind w:left="0" w:right="0"/>
              <w:jc w:val="both"/>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总报价</w:t>
            </w:r>
            <w:r>
              <w:rPr>
                <w:rFonts w:hint="eastAsia" w:ascii="宋体" w:hAnsi="宋体" w:eastAsia="宋体" w:cs="宋体"/>
                <w:b/>
                <w:color w:val="auto"/>
                <w:sz w:val="21"/>
                <w:szCs w:val="21"/>
                <w:highlight w:val="none"/>
              </w:rPr>
              <w:t xml:space="preserve">：人民币（大写） </w:t>
            </w:r>
            <w:r>
              <w:rPr>
                <w:rFonts w:hint="eastAsia" w:ascii="宋体" w:hAnsi="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 ）</w:t>
            </w:r>
          </w:p>
        </w:tc>
      </w:tr>
    </w:tbl>
    <w:p w14:paraId="1F9061C2">
      <w:pPr>
        <w:keepNext w:val="0"/>
        <w:keepLines w:val="0"/>
        <w:pageBreakBefore w:val="0"/>
        <w:widowControl w:val="0"/>
        <w:kinsoku/>
        <w:wordWrap/>
        <w:overflowPunct/>
        <w:topLinePunct/>
        <w:autoSpaceDE w:val="0"/>
        <w:autoSpaceDN w:val="0"/>
        <w:bidi w:val="0"/>
        <w:adjustRightInd/>
        <w:snapToGrid/>
        <w:spacing w:before="0" w:beforeAutospacing="0" w:after="0" w:afterAutospacing="0"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59DF8343">
      <w:pPr>
        <w:keepNext w:val="0"/>
        <w:keepLines w:val="0"/>
        <w:pageBreakBefore w:val="0"/>
        <w:widowControl w:val="0"/>
        <w:numPr>
          <w:ilvl w:val="0"/>
          <w:numId w:val="0"/>
        </w:numPr>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Cs w:val="21"/>
          <w:highlight w:val="none"/>
        </w:rPr>
        <w:t>本项目分项报价均不接受任何形式的赠送、“零”报价和折扣报价。</w:t>
      </w:r>
    </w:p>
    <w:p w14:paraId="67BA1DA7">
      <w:pPr>
        <w:keepNext w:val="0"/>
        <w:keepLines w:val="0"/>
        <w:pageBreakBefore w:val="0"/>
        <w:widowControl w:val="0"/>
        <w:numPr>
          <w:ilvl w:val="0"/>
          <w:numId w:val="0"/>
        </w:numPr>
        <w:tabs>
          <w:tab w:val="left" w:pos="1230"/>
        </w:tabs>
        <w:kinsoku/>
        <w:wordWrap/>
        <w:overflowPunct/>
        <w:topLinePunct/>
        <w:autoSpaceDE w:val="0"/>
        <w:autoSpaceDN w:val="0"/>
        <w:bidi w:val="0"/>
        <w:adjustRightInd w:val="0"/>
        <w:snapToGrid w:val="0"/>
        <w:spacing w:before="0" w:beforeAutospacing="0" w:after="0" w:afterAutospacing="0" w:line="360" w:lineRule="auto"/>
        <w:ind w:left="0"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Cs w:val="21"/>
          <w:highlight w:val="none"/>
        </w:rPr>
        <w:t>本项目执行中所发生的所有费用均计入报价中，采购人不再另行支付其他任何费用。</w:t>
      </w:r>
    </w:p>
    <w:p w14:paraId="795FB776">
      <w:pPr>
        <w:keepNext w:val="0"/>
        <w:keepLines w:val="0"/>
        <w:pageBreakBefore w:val="0"/>
        <w:widowControl w:val="0"/>
        <w:numPr>
          <w:ilvl w:val="0"/>
          <w:numId w:val="0"/>
        </w:numPr>
        <w:tabs>
          <w:tab w:val="left" w:pos="1230"/>
        </w:tabs>
        <w:kinsoku/>
        <w:wordWrap/>
        <w:overflowPunct/>
        <w:topLinePunct/>
        <w:autoSpaceDE w:val="0"/>
        <w:autoSpaceDN w:val="0"/>
        <w:bidi w:val="0"/>
        <w:adjustRightInd w:val="0"/>
        <w:snapToGrid w:val="0"/>
        <w:spacing w:before="0" w:beforeAutospacing="0" w:after="0" w:afterAutospacing="0" w:line="360" w:lineRule="auto"/>
        <w:ind w:left="0" w:leftChars="0"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Cs w:val="21"/>
          <w:highlight w:val="none"/>
        </w:rPr>
        <w:t>3.供应商须对每项服务进行逐项报价，每项服务的单价不得超过分项最高单价，否则按无效响应处理。</w:t>
      </w:r>
    </w:p>
    <w:p w14:paraId="56F3BDFD">
      <w:pPr>
        <w:pStyle w:val="32"/>
        <w:outlineLvl w:val="9"/>
        <w:rPr>
          <w:rFonts w:hint="eastAsia" w:ascii="宋体" w:hAnsi="宋体" w:eastAsia="宋体" w:cs="宋体"/>
          <w:color w:val="auto"/>
          <w:highlight w:val="none"/>
        </w:rPr>
      </w:pPr>
    </w:p>
    <w:p w14:paraId="2D25B27F">
      <w:pPr>
        <w:keepNext w:val="0"/>
        <w:keepLines w:val="0"/>
        <w:pageBreakBefore w:val="0"/>
        <w:widowControl w:val="0"/>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kern w:val="0"/>
          <w:sz w:val="21"/>
          <w:szCs w:val="21"/>
          <w:highlight w:val="none"/>
        </w:rPr>
        <w:t>（全称并加盖公章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36B2A5BE">
      <w:pPr>
        <w:keepNext w:val="0"/>
        <w:keepLines w:val="0"/>
        <w:pageBreakBefore w:val="0"/>
        <w:widowControl w:val="0"/>
        <w:tabs>
          <w:tab w:val="left" w:pos="1230"/>
        </w:tabs>
        <w:kinsoku/>
        <w:wordWrap/>
        <w:overflowPunct/>
        <w:topLinePunct/>
        <w:autoSpaceDE w:val="0"/>
        <w:autoSpaceDN w:val="0"/>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授权代表（签字或盖章）</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p>
    <w:p w14:paraId="1CD609CC">
      <w:pPr>
        <w:shd w:val="clear"/>
        <w:spacing w:before="0" w:beforeAutospacing="0" w:after="0" w:afterAutospacing="0" w:line="240" w:lineRule="auto"/>
        <w:ind w:firstLine="420" w:firstLineChars="200"/>
        <w:jc w:val="both"/>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303E2978">
      <w:pPr>
        <w:shd w:val="clear"/>
        <w:spacing w:before="0" w:beforeAutospacing="0" w:after="0" w:afterAutospacing="0" w:line="240" w:lineRule="auto"/>
        <w:ind w:firstLine="422" w:firstLineChars="200"/>
        <w:jc w:val="both"/>
        <w:outlineLvl w:val="9"/>
        <w:rPr>
          <w:rFonts w:hint="eastAsia" w:ascii="宋体" w:hAnsi="宋体" w:eastAsia="宋体" w:cs="宋体"/>
          <w:b/>
          <w:bCs/>
          <w:color w:val="auto"/>
          <w:szCs w:val="21"/>
          <w:highlight w:val="none"/>
        </w:rPr>
      </w:pPr>
    </w:p>
    <w:p w14:paraId="26EA1551">
      <w:pPr>
        <w:shd w:val="clear"/>
        <w:spacing w:before="0" w:beforeAutospacing="0" w:after="0" w:afterAutospacing="0" w:line="240" w:lineRule="auto"/>
        <w:ind w:firstLine="422" w:firstLineChars="200"/>
        <w:jc w:val="both"/>
        <w:outlineLvl w:val="9"/>
        <w:rPr>
          <w:rFonts w:hint="eastAsia" w:ascii="宋体" w:hAnsi="宋体" w:eastAsia="宋体" w:cs="宋体"/>
          <w:b/>
          <w:bCs/>
          <w:color w:val="auto"/>
          <w:szCs w:val="21"/>
          <w:highlight w:val="none"/>
        </w:rPr>
      </w:pPr>
    </w:p>
    <w:p w14:paraId="5560BC8A">
      <w:pPr>
        <w:shd w:val="clear"/>
        <w:spacing w:before="0" w:beforeAutospacing="0" w:after="0" w:afterAutospacing="0" w:line="240" w:lineRule="auto"/>
        <w:ind w:firstLine="422" w:firstLineChars="200"/>
        <w:jc w:val="both"/>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Cs w:val="21"/>
          <w:highlight w:val="none"/>
        </w:rPr>
        <w:br w:type="page"/>
      </w:r>
      <w:bookmarkStart w:id="50" w:name="_Toc25732"/>
      <w:r>
        <w:rPr>
          <w:rFonts w:hint="eastAsia" w:ascii="宋体" w:hAnsi="宋体" w:eastAsia="宋体" w:cs="宋体"/>
          <w:b/>
          <w:bCs/>
          <w:color w:val="auto"/>
          <w:sz w:val="28"/>
          <w:szCs w:val="28"/>
          <w:highlight w:val="none"/>
        </w:rPr>
        <w:t>格式4  商务条款偏离表</w:t>
      </w:r>
      <w:bookmarkEnd w:id="50"/>
    </w:p>
    <w:p w14:paraId="406A2EFF">
      <w:pPr>
        <w:bidi w:val="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 xml:space="preserve">4-1  </w:t>
      </w:r>
      <w:r>
        <w:rPr>
          <w:rFonts w:hint="eastAsia" w:ascii="宋体" w:hAnsi="宋体" w:eastAsia="宋体" w:cs="宋体"/>
          <w:b/>
          <w:bCs/>
          <w:color w:val="auto"/>
          <w:sz w:val="28"/>
          <w:szCs w:val="28"/>
          <w:highlight w:val="none"/>
        </w:rPr>
        <w:t>商务条款偏离表</w:t>
      </w:r>
    </w:p>
    <w:tbl>
      <w:tblPr>
        <w:tblStyle w:val="35"/>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14:paraId="2751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3D32A9B7">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14:paraId="7CF53826">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14:paraId="4F79E930">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14:paraId="4CBAD32A">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14:paraId="138E52CB">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w:t>
            </w:r>
          </w:p>
          <w:p w14:paraId="260AB742">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14:paraId="0ADBBCCB">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w:t>
            </w:r>
          </w:p>
          <w:p w14:paraId="72AB6E54">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14:paraId="6E85F5B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w:t>
            </w:r>
          </w:p>
        </w:tc>
      </w:tr>
      <w:tr w14:paraId="44D9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FF72EFD">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14:paraId="2CF7CE25">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02968DE">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F8AA2A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7BA6BF3F">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32199F66">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14:paraId="53CC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7243A3E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14:paraId="5496E96C">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E4885D6">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714211A2">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3E991A2">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6BDD60B0">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14:paraId="1E35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0F2850D6">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14:paraId="15FC9A35">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44F49B4">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0D63449A">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6DA0368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080347E9">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14:paraId="22A6C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24A6EDFB">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14:paraId="6797E63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4F5F5ED3">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2DF03352">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45BB880B">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085FB2D1">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r w14:paraId="5661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14:paraId="59241F8E">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14:paraId="66199A96">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5F25C43A">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14:paraId="1D1818AC">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14:paraId="09D61E45">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14:paraId="2418D1B8">
            <w:pPr>
              <w:keepNext w:val="0"/>
              <w:keepLines w:val="0"/>
              <w:suppressLineNumbers w:val="0"/>
              <w:shd w:val="clear"/>
              <w:topLinePunct/>
              <w:autoSpaceDE w:val="0"/>
              <w:autoSpaceDN w:val="0"/>
              <w:spacing w:before="62" w:beforeLines="20" w:beforeAutospacing="0" w:after="4" w:afterAutospacing="0" w:line="240" w:lineRule="auto"/>
              <w:ind w:left="0" w:right="0"/>
              <w:jc w:val="center"/>
              <w:rPr>
                <w:rFonts w:hint="eastAsia" w:ascii="宋体" w:hAnsi="宋体" w:eastAsia="宋体" w:cs="宋体"/>
                <w:b/>
                <w:bCs/>
                <w:color w:val="auto"/>
                <w:szCs w:val="21"/>
                <w:highlight w:val="none"/>
              </w:rPr>
            </w:pPr>
          </w:p>
        </w:tc>
      </w:tr>
    </w:tbl>
    <w:p w14:paraId="124ADB79">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4D4D6B6B">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1.商务条款无需条对条应答，如无偏离，请在此表中填写“无偏离”；如有偏离，请在此表中应答为“正/负偏离”并说明偏离情况。</w:t>
      </w:r>
    </w:p>
    <w:p w14:paraId="04C453C9">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2.如《采购文件-商务部分》中有标注★号的，则为实质性要求，必须满足，如应答为“负偏离”，将导致响应无效。</w:t>
      </w:r>
    </w:p>
    <w:p w14:paraId="66832317">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3.本表可扩展。</w:t>
      </w:r>
    </w:p>
    <w:p w14:paraId="7785D793">
      <w:pPr>
        <w:shd w:val="clear"/>
        <w:topLinePunct/>
        <w:autoSpaceDE w:val="0"/>
        <w:autoSpaceDN w:val="0"/>
        <w:spacing w:before="0" w:beforeAutospacing="0" w:after="0" w:afterAutospacing="0" w:line="500" w:lineRule="exact"/>
        <w:rPr>
          <w:rFonts w:hint="eastAsia" w:ascii="宋体" w:hAnsi="宋体" w:eastAsia="宋体" w:cs="宋体"/>
          <w:color w:val="auto"/>
          <w:szCs w:val="21"/>
          <w:highlight w:val="none"/>
        </w:rPr>
      </w:pPr>
    </w:p>
    <w:p w14:paraId="5B1F8489">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BFA17AC">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5D3CF6A">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F4386F4">
      <w:pPr>
        <w:shd w:val="clear"/>
        <w:spacing w:before="0" w:beforeAutospacing="0" w:after="0" w:afterAutospacing="0" w:line="240" w:lineRule="auto"/>
        <w:rPr>
          <w:rFonts w:hint="eastAsia" w:ascii="宋体" w:hAnsi="宋体" w:eastAsia="宋体" w:cs="宋体"/>
          <w:b/>
          <w:bCs/>
          <w:color w:val="auto"/>
          <w:szCs w:val="21"/>
          <w:highlight w:val="none"/>
        </w:rPr>
      </w:pPr>
    </w:p>
    <w:p w14:paraId="012D1915">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B5B6353">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51" w:name="_Toc17211"/>
      <w:bookmarkStart w:id="52" w:name="_Toc3003"/>
      <w:r>
        <w:rPr>
          <w:rFonts w:hint="eastAsia" w:ascii="宋体" w:hAnsi="宋体" w:eastAsia="宋体" w:cs="宋体"/>
          <w:b/>
          <w:bCs/>
          <w:color w:val="auto"/>
          <w:sz w:val="28"/>
          <w:szCs w:val="28"/>
          <w:highlight w:val="none"/>
        </w:rPr>
        <w:t>格式5  供应商具备资格证明文件</w:t>
      </w:r>
      <w:bookmarkEnd w:id="51"/>
      <w:bookmarkEnd w:id="52"/>
    </w:p>
    <w:p w14:paraId="1613AE9E">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53" w:name="_Toc31373"/>
      <w:bookmarkStart w:id="54" w:name="_Toc8821"/>
      <w:r>
        <w:rPr>
          <w:rFonts w:hint="eastAsia" w:ascii="宋体" w:hAnsi="宋体" w:eastAsia="宋体" w:cs="宋体"/>
          <w:b/>
          <w:bCs/>
          <w:color w:val="auto"/>
          <w:sz w:val="28"/>
          <w:szCs w:val="28"/>
          <w:highlight w:val="none"/>
        </w:rPr>
        <w:t>5-1</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供应商基本情况</w:t>
      </w:r>
      <w:bookmarkEnd w:id="53"/>
      <w:bookmarkEnd w:id="54"/>
    </w:p>
    <w:tbl>
      <w:tblPr>
        <w:tblStyle w:val="35"/>
        <w:tblW w:w="9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6"/>
        <w:gridCol w:w="457"/>
        <w:gridCol w:w="1678"/>
        <w:gridCol w:w="2311"/>
        <w:gridCol w:w="1640"/>
      </w:tblGrid>
      <w:tr w14:paraId="120B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5D580E9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661505D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322AE5A6">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tc>
        <w:tc>
          <w:tcPr>
            <w:tcW w:w="1640" w:type="dxa"/>
            <w:tcBorders>
              <w:top w:val="single" w:color="auto" w:sz="4" w:space="0"/>
              <w:left w:val="single" w:color="auto" w:sz="4" w:space="0"/>
              <w:bottom w:val="single" w:color="auto" w:sz="4" w:space="0"/>
              <w:right w:val="single" w:color="auto" w:sz="4" w:space="0"/>
            </w:tcBorders>
            <w:vAlign w:val="center"/>
          </w:tcPr>
          <w:p w14:paraId="28E85C45">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1905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5044ED81">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统一社会信用代码</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561D05A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02AACD79">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p>
        </w:tc>
        <w:tc>
          <w:tcPr>
            <w:tcW w:w="1640" w:type="dxa"/>
            <w:tcBorders>
              <w:top w:val="single" w:color="auto" w:sz="4" w:space="0"/>
              <w:left w:val="single" w:color="auto" w:sz="4" w:space="0"/>
              <w:bottom w:val="single" w:color="auto" w:sz="4" w:space="0"/>
              <w:right w:val="single" w:color="auto" w:sz="4" w:space="0"/>
            </w:tcBorders>
            <w:vAlign w:val="center"/>
          </w:tcPr>
          <w:p w14:paraId="5AB45422">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163A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34BC5A1">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授权代表</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4740679A">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3D81F94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c>
          <w:tcPr>
            <w:tcW w:w="1640" w:type="dxa"/>
            <w:tcBorders>
              <w:top w:val="single" w:color="auto" w:sz="4" w:space="0"/>
              <w:left w:val="single" w:color="auto" w:sz="4" w:space="0"/>
              <w:bottom w:val="single" w:color="auto" w:sz="4" w:space="0"/>
              <w:right w:val="single" w:color="auto" w:sz="4" w:space="0"/>
            </w:tcBorders>
            <w:vAlign w:val="center"/>
          </w:tcPr>
          <w:p w14:paraId="1D3A9D9A">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1021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1F46291">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7F18E4F6">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7BE920AD">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1640" w:type="dxa"/>
            <w:tcBorders>
              <w:top w:val="single" w:color="auto" w:sz="4" w:space="0"/>
              <w:left w:val="single" w:color="auto" w:sz="4" w:space="0"/>
              <w:bottom w:val="single" w:color="auto" w:sz="4" w:space="0"/>
              <w:right w:val="single" w:color="auto" w:sz="4" w:space="0"/>
            </w:tcBorders>
            <w:vAlign w:val="center"/>
          </w:tcPr>
          <w:p w14:paraId="2D926F5B">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210F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6B0BB2F7">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上年营业收入</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3B97D354">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4B66571B">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员工总人数</w:t>
            </w:r>
          </w:p>
        </w:tc>
        <w:tc>
          <w:tcPr>
            <w:tcW w:w="1640" w:type="dxa"/>
            <w:tcBorders>
              <w:top w:val="single" w:color="auto" w:sz="4" w:space="0"/>
              <w:left w:val="single" w:color="auto" w:sz="4" w:space="0"/>
              <w:bottom w:val="single" w:color="auto" w:sz="4" w:space="0"/>
              <w:right w:val="single" w:color="auto" w:sz="4" w:space="0"/>
            </w:tcBorders>
            <w:vAlign w:val="center"/>
          </w:tcPr>
          <w:p w14:paraId="67A85C65">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6B55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1F3C9B6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基本账户开户行及账号</w:t>
            </w:r>
          </w:p>
        </w:tc>
        <w:tc>
          <w:tcPr>
            <w:tcW w:w="5629" w:type="dxa"/>
            <w:gridSpan w:val="3"/>
            <w:tcBorders>
              <w:top w:val="single" w:color="auto" w:sz="4" w:space="0"/>
              <w:left w:val="single" w:color="auto" w:sz="4" w:space="0"/>
              <w:bottom w:val="single" w:color="auto" w:sz="4" w:space="0"/>
              <w:right w:val="single" w:color="auto" w:sz="4" w:space="0"/>
            </w:tcBorders>
            <w:vAlign w:val="center"/>
          </w:tcPr>
          <w:p w14:paraId="13F97E0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044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684E58C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税务登记机关</w:t>
            </w:r>
          </w:p>
        </w:tc>
        <w:tc>
          <w:tcPr>
            <w:tcW w:w="5629" w:type="dxa"/>
            <w:gridSpan w:val="3"/>
            <w:tcBorders>
              <w:top w:val="single" w:color="auto" w:sz="4" w:space="0"/>
              <w:left w:val="single" w:color="auto" w:sz="4" w:space="0"/>
              <w:bottom w:val="single" w:color="auto" w:sz="4" w:space="0"/>
              <w:right w:val="single" w:color="auto" w:sz="4" w:space="0"/>
            </w:tcBorders>
            <w:vAlign w:val="center"/>
          </w:tcPr>
          <w:p w14:paraId="56312B6E">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0CC9F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4419BED8">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资质名称</w:t>
            </w:r>
          </w:p>
        </w:tc>
        <w:tc>
          <w:tcPr>
            <w:tcW w:w="1678" w:type="dxa"/>
            <w:tcBorders>
              <w:top w:val="single" w:color="auto" w:sz="4" w:space="0"/>
              <w:left w:val="single" w:color="auto" w:sz="4" w:space="0"/>
              <w:bottom w:val="single" w:color="auto" w:sz="4" w:space="0"/>
              <w:right w:val="single" w:color="auto" w:sz="4" w:space="0"/>
            </w:tcBorders>
            <w:vAlign w:val="center"/>
          </w:tcPr>
          <w:p w14:paraId="4DB41A95">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等级</w:t>
            </w:r>
          </w:p>
        </w:tc>
        <w:tc>
          <w:tcPr>
            <w:tcW w:w="2311" w:type="dxa"/>
            <w:tcBorders>
              <w:top w:val="single" w:color="auto" w:sz="4" w:space="0"/>
              <w:left w:val="single" w:color="auto" w:sz="4" w:space="0"/>
              <w:bottom w:val="single" w:color="auto" w:sz="4" w:space="0"/>
              <w:right w:val="single" w:color="auto" w:sz="4" w:space="0"/>
            </w:tcBorders>
            <w:vAlign w:val="center"/>
          </w:tcPr>
          <w:p w14:paraId="29104AD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发证机关</w:t>
            </w:r>
          </w:p>
        </w:tc>
        <w:tc>
          <w:tcPr>
            <w:tcW w:w="1640" w:type="dxa"/>
            <w:tcBorders>
              <w:top w:val="single" w:color="auto" w:sz="4" w:space="0"/>
              <w:left w:val="single" w:color="auto" w:sz="4" w:space="0"/>
              <w:bottom w:val="single" w:color="auto" w:sz="4" w:space="0"/>
              <w:right w:val="single" w:color="auto" w:sz="4" w:space="0"/>
            </w:tcBorders>
            <w:vAlign w:val="center"/>
          </w:tcPr>
          <w:p w14:paraId="58788052">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有效期</w:t>
            </w:r>
          </w:p>
        </w:tc>
      </w:tr>
      <w:tr w14:paraId="14BDD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05D217B5">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14:paraId="3BE65A82">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4BC59BD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772002E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4988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479C662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14:paraId="736AD20B">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02B7A3CE">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22F8707C">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77F7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14:paraId="56EF026E">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供应商直接控股股东信息</w:t>
            </w:r>
          </w:p>
        </w:tc>
      </w:tr>
      <w:tr w14:paraId="68A6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7CC7F5E6">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直接控股股东名称</w:t>
            </w:r>
          </w:p>
        </w:tc>
        <w:tc>
          <w:tcPr>
            <w:tcW w:w="1678" w:type="dxa"/>
            <w:tcBorders>
              <w:top w:val="single" w:color="auto" w:sz="4" w:space="0"/>
              <w:left w:val="single" w:color="auto" w:sz="4" w:space="0"/>
              <w:bottom w:val="single" w:color="auto" w:sz="4" w:space="0"/>
              <w:right w:val="single" w:color="auto" w:sz="4" w:space="0"/>
            </w:tcBorders>
            <w:vAlign w:val="center"/>
          </w:tcPr>
          <w:p w14:paraId="0B8C305B">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出资比例</w:t>
            </w: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5FC5388F">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身份证号码或者统一社会信用代码</w:t>
            </w:r>
          </w:p>
        </w:tc>
      </w:tr>
      <w:tr w14:paraId="1752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3514B0B4">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14:paraId="28F6230F">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3ABEA6D4">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06C4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674A098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78" w:type="dxa"/>
            <w:tcBorders>
              <w:top w:val="single" w:color="auto" w:sz="4" w:space="0"/>
              <w:left w:val="single" w:color="auto" w:sz="4" w:space="0"/>
              <w:bottom w:val="single" w:color="auto" w:sz="4" w:space="0"/>
              <w:right w:val="single" w:color="auto" w:sz="4" w:space="0"/>
            </w:tcBorders>
            <w:vAlign w:val="center"/>
          </w:tcPr>
          <w:p w14:paraId="59B6D21D">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3951" w:type="dxa"/>
            <w:gridSpan w:val="2"/>
            <w:tcBorders>
              <w:top w:val="single" w:color="auto" w:sz="4" w:space="0"/>
              <w:left w:val="single" w:color="auto" w:sz="4" w:space="0"/>
              <w:bottom w:val="single" w:color="auto" w:sz="4" w:space="0"/>
              <w:right w:val="single" w:color="auto" w:sz="4" w:space="0"/>
            </w:tcBorders>
            <w:vAlign w:val="center"/>
          </w:tcPr>
          <w:p w14:paraId="6421505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019CA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14:paraId="20E9880C">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供应商直接管理关系信息表</w:t>
            </w:r>
          </w:p>
        </w:tc>
      </w:tr>
      <w:tr w14:paraId="28354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15F19B65">
            <w:pPr>
              <w:keepNext w:val="0"/>
              <w:keepLines w:val="0"/>
              <w:widowControl/>
              <w:suppressLineNumbers w:val="0"/>
              <w:shd w:val="clear"/>
              <w:spacing w:line="360" w:lineRule="auto"/>
              <w:ind w:left="0" w:right="0"/>
              <w:contextualSpacing/>
              <w:jc w:val="center"/>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直接管理关系单位名称</w:t>
            </w:r>
          </w:p>
        </w:tc>
        <w:tc>
          <w:tcPr>
            <w:tcW w:w="5629" w:type="dxa"/>
            <w:gridSpan w:val="3"/>
            <w:tcBorders>
              <w:top w:val="single" w:color="auto" w:sz="4" w:space="0"/>
              <w:left w:val="single" w:color="auto" w:sz="4" w:space="0"/>
              <w:bottom w:val="single" w:color="auto" w:sz="4" w:space="0"/>
              <w:right w:val="single" w:color="auto" w:sz="4" w:space="0"/>
            </w:tcBorders>
            <w:vAlign w:val="center"/>
          </w:tcPr>
          <w:p w14:paraId="71343C99">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统一社会信用代码</w:t>
            </w:r>
          </w:p>
        </w:tc>
      </w:tr>
      <w:tr w14:paraId="5BF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1BB7924C">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14:paraId="2B26F3C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269F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3" w:type="dxa"/>
            <w:gridSpan w:val="2"/>
            <w:tcBorders>
              <w:top w:val="single" w:color="auto" w:sz="4" w:space="0"/>
              <w:left w:val="single" w:color="auto" w:sz="4" w:space="0"/>
              <w:bottom w:val="single" w:color="auto" w:sz="4" w:space="0"/>
              <w:right w:val="single" w:color="auto" w:sz="4" w:space="0"/>
            </w:tcBorders>
            <w:vAlign w:val="center"/>
          </w:tcPr>
          <w:p w14:paraId="7EE24D17">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5629" w:type="dxa"/>
            <w:gridSpan w:val="3"/>
            <w:tcBorders>
              <w:top w:val="single" w:color="auto" w:sz="4" w:space="0"/>
              <w:left w:val="single" w:color="auto" w:sz="4" w:space="0"/>
              <w:bottom w:val="single" w:color="auto" w:sz="4" w:space="0"/>
              <w:right w:val="single" w:color="auto" w:sz="4" w:space="0"/>
            </w:tcBorders>
            <w:vAlign w:val="center"/>
          </w:tcPr>
          <w:p w14:paraId="00AFE83B">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r w14:paraId="604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56" w:type="dxa"/>
            <w:tcBorders>
              <w:top w:val="single" w:color="auto" w:sz="4" w:space="0"/>
              <w:left w:val="single" w:color="auto" w:sz="4" w:space="0"/>
              <w:bottom w:val="single" w:color="auto" w:sz="4" w:space="0"/>
              <w:right w:val="single" w:color="auto" w:sz="4" w:space="0"/>
            </w:tcBorders>
            <w:vAlign w:val="center"/>
          </w:tcPr>
          <w:p w14:paraId="46E60A83">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c>
          <w:tcPr>
            <w:tcW w:w="2135" w:type="dxa"/>
            <w:gridSpan w:val="2"/>
            <w:tcBorders>
              <w:top w:val="single" w:color="auto" w:sz="4" w:space="0"/>
              <w:left w:val="single" w:color="auto" w:sz="4" w:space="0"/>
              <w:bottom w:val="single" w:color="auto" w:sz="4" w:space="0"/>
              <w:right w:val="single" w:color="auto" w:sz="4" w:space="0"/>
            </w:tcBorders>
            <w:vAlign w:val="center"/>
          </w:tcPr>
          <w:p w14:paraId="74B7F960">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2311" w:type="dxa"/>
            <w:tcBorders>
              <w:top w:val="single" w:color="auto" w:sz="4" w:space="0"/>
              <w:left w:val="single" w:color="auto" w:sz="4" w:space="0"/>
              <w:bottom w:val="single" w:color="auto" w:sz="4" w:space="0"/>
              <w:right w:val="single" w:color="auto" w:sz="4" w:space="0"/>
            </w:tcBorders>
            <w:vAlign w:val="center"/>
          </w:tcPr>
          <w:p w14:paraId="4380C357">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c>
          <w:tcPr>
            <w:tcW w:w="1640" w:type="dxa"/>
            <w:tcBorders>
              <w:top w:val="single" w:color="auto" w:sz="4" w:space="0"/>
              <w:left w:val="single" w:color="auto" w:sz="4" w:space="0"/>
              <w:bottom w:val="single" w:color="auto" w:sz="4" w:space="0"/>
              <w:right w:val="single" w:color="auto" w:sz="4" w:space="0"/>
            </w:tcBorders>
            <w:vAlign w:val="center"/>
          </w:tcPr>
          <w:p w14:paraId="56AB33CB">
            <w:pPr>
              <w:pStyle w:val="20"/>
              <w:keepNext w:val="0"/>
              <w:keepLines w:val="0"/>
              <w:suppressLineNumbers w:val="0"/>
              <w:shd w:val="clear"/>
              <w:ind w:left="0" w:right="0"/>
              <w:jc w:val="center"/>
              <w:rPr>
                <w:rFonts w:hint="eastAsia" w:ascii="宋体" w:hAnsi="宋体" w:eastAsia="宋体" w:cs="宋体"/>
                <w:color w:val="auto"/>
                <w:sz w:val="21"/>
                <w:szCs w:val="21"/>
                <w:highlight w:val="none"/>
              </w:rPr>
            </w:pPr>
          </w:p>
        </w:tc>
      </w:tr>
    </w:tbl>
    <w:p w14:paraId="381625A9">
      <w:pPr>
        <w:shd w:val="clear"/>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4E54B028">
      <w:pPr>
        <w:shd w:val="clea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本表所指的控股关系仅限于直接控股关系，不包括间接的控股关系。公司实际控制人与公司之间的关系不属于本表所指的直接控股关系。</w:t>
      </w:r>
    </w:p>
    <w:p w14:paraId="02CF5B79">
      <w:pPr>
        <w:shd w:val="clear"/>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2.管理关系：是指不具有出资持股关系的其他单位之间存在的管理与被管理关系，如一些上下级关系的事业单位和团体组织。本表所指的管理关系仅限于直接管理关系，不包括间接的管理关系。</w:t>
      </w:r>
    </w:p>
    <w:p w14:paraId="21A64B56">
      <w:pPr>
        <w:shd w:val="clea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3.供应商不存在直接控股股东或管理关系的，则填“无”。</w:t>
      </w:r>
    </w:p>
    <w:p w14:paraId="3C4A7975">
      <w:pPr>
        <w:shd w:val="clear"/>
        <w:topLinePunct/>
        <w:autoSpaceDE w:val="0"/>
        <w:autoSpaceDN w:val="0"/>
        <w:spacing w:before="0" w:beforeAutospacing="0" w:after="0" w:afterAutospacing="0" w:line="500" w:lineRule="exact"/>
        <w:rPr>
          <w:rFonts w:hint="eastAsia" w:ascii="宋体" w:hAnsi="宋体" w:eastAsia="宋体" w:cs="宋体"/>
          <w:color w:val="auto"/>
          <w:sz w:val="21"/>
          <w:szCs w:val="21"/>
          <w:highlight w:val="none"/>
        </w:rPr>
      </w:pPr>
    </w:p>
    <w:p w14:paraId="2FDD74E4">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8A46C29">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BA7A5F0">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6C8BC0FF">
      <w:pPr>
        <w:widowControl/>
        <w:shd w:val="clear"/>
        <w:spacing w:before="0" w:beforeAutospacing="0" w:after="0" w:afterAutospacing="0" w:line="240" w:lineRule="auto"/>
        <w:jc w:val="center"/>
        <w:rPr>
          <w:rFonts w:hint="eastAsia" w:ascii="宋体" w:hAnsi="宋体" w:eastAsia="宋体" w:cs="宋体"/>
          <w:b/>
          <w:bCs/>
          <w:color w:val="auto"/>
          <w:sz w:val="28"/>
          <w:szCs w:val="28"/>
          <w:highlight w:val="none"/>
        </w:rPr>
      </w:pPr>
    </w:p>
    <w:p w14:paraId="5F8D44B4">
      <w:pPr>
        <w:widowControl/>
        <w:shd w:val="clear"/>
        <w:spacing w:before="0" w:beforeAutospacing="0" w:after="0" w:afterAutospacing="0" w:line="240" w:lineRule="auto"/>
        <w:jc w:val="center"/>
        <w:rPr>
          <w:rFonts w:hint="eastAsia" w:ascii="宋体" w:hAnsi="宋体" w:eastAsia="宋体" w:cs="宋体"/>
          <w:b/>
          <w:bCs/>
          <w:color w:val="auto"/>
          <w:sz w:val="28"/>
          <w:szCs w:val="28"/>
          <w:highlight w:val="none"/>
        </w:rPr>
      </w:pPr>
    </w:p>
    <w:p w14:paraId="2CBC8452">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55" w:name="_Toc16149"/>
      <w:bookmarkStart w:id="56" w:name="_Toc7206"/>
      <w:r>
        <w:rPr>
          <w:rFonts w:hint="eastAsia" w:ascii="宋体" w:hAnsi="宋体" w:eastAsia="宋体" w:cs="宋体"/>
          <w:b/>
          <w:bCs/>
          <w:color w:val="auto"/>
          <w:sz w:val="28"/>
          <w:szCs w:val="28"/>
          <w:highlight w:val="none"/>
        </w:rPr>
        <w:t>5-2 财务状况报告</w:t>
      </w:r>
      <w:bookmarkEnd w:id="55"/>
      <w:bookmarkEnd w:id="56"/>
    </w:p>
    <w:p w14:paraId="2C4F88A0">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350D6198">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21753770">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6C0E1142">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22987389">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57" w:name="_Toc16221"/>
      <w:bookmarkStart w:id="58" w:name="_Toc29946"/>
      <w:r>
        <w:rPr>
          <w:rFonts w:hint="eastAsia" w:ascii="宋体" w:hAnsi="宋体" w:eastAsia="宋体" w:cs="宋体"/>
          <w:b/>
          <w:bCs/>
          <w:color w:val="auto"/>
          <w:sz w:val="28"/>
          <w:szCs w:val="28"/>
          <w:highlight w:val="none"/>
        </w:rPr>
        <w:t>5-3依法缴纳税收的相关材料</w:t>
      </w:r>
      <w:bookmarkEnd w:id="57"/>
      <w:bookmarkEnd w:id="58"/>
    </w:p>
    <w:p w14:paraId="4F7B2306">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5FC293C3">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32633880">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7794C2B1">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69FFB56E">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59" w:name="_Toc16368"/>
      <w:bookmarkStart w:id="60" w:name="_Toc1822"/>
      <w:r>
        <w:rPr>
          <w:rFonts w:hint="eastAsia" w:ascii="宋体" w:hAnsi="宋体" w:eastAsia="宋体" w:cs="宋体"/>
          <w:b/>
          <w:bCs/>
          <w:color w:val="auto"/>
          <w:sz w:val="28"/>
          <w:szCs w:val="28"/>
          <w:highlight w:val="none"/>
        </w:rPr>
        <w:t>5-4</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依法缴纳社会保障资金的相关材料</w:t>
      </w:r>
      <w:bookmarkEnd w:id="59"/>
      <w:bookmarkEnd w:id="60"/>
    </w:p>
    <w:p w14:paraId="2BFC7838">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4622C510">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2E64C02E">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2D795881">
      <w:pPr>
        <w:shd w:val="clear"/>
        <w:spacing w:before="0" w:beforeAutospacing="0" w:after="0" w:afterAutospacing="0" w:line="360" w:lineRule="auto"/>
        <w:ind w:firstLine="480" w:firstLineChars="200"/>
        <w:jc w:val="left"/>
        <w:rPr>
          <w:rFonts w:hint="eastAsia" w:ascii="宋体" w:hAnsi="宋体" w:eastAsia="宋体" w:cs="宋体"/>
          <w:color w:val="auto"/>
          <w:kern w:val="0"/>
          <w:sz w:val="24"/>
          <w:highlight w:val="none"/>
        </w:rPr>
      </w:pPr>
    </w:p>
    <w:p w14:paraId="2F629806">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61" w:name="_Toc10572"/>
      <w:bookmarkStart w:id="62" w:name="_Toc32605"/>
      <w:r>
        <w:rPr>
          <w:rFonts w:hint="eastAsia" w:ascii="宋体" w:hAnsi="宋体" w:eastAsia="宋体" w:cs="宋体"/>
          <w:b/>
          <w:bCs/>
          <w:color w:val="auto"/>
          <w:sz w:val="28"/>
          <w:szCs w:val="28"/>
          <w:highlight w:val="none"/>
        </w:rPr>
        <w:t>5-5</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具备履行合同所必需的设备和专业技术能力的证明材料</w:t>
      </w:r>
      <w:bookmarkEnd w:id="61"/>
      <w:bookmarkEnd w:id="62"/>
    </w:p>
    <w:p w14:paraId="51BE5B84">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6885F09E">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63" w:name="_Toc15631"/>
      <w:bookmarkStart w:id="64" w:name="_Toc7665"/>
      <w:r>
        <w:rPr>
          <w:rFonts w:hint="eastAsia" w:ascii="宋体" w:hAnsi="宋体" w:eastAsia="宋体" w:cs="宋体"/>
          <w:b/>
          <w:bCs/>
          <w:color w:val="auto"/>
          <w:sz w:val="28"/>
          <w:szCs w:val="28"/>
          <w:highlight w:val="none"/>
        </w:rPr>
        <w:t>5-6</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参加本次</w:t>
      </w:r>
      <w:r>
        <w:rPr>
          <w:rFonts w:hint="eastAsia" w:ascii="宋体" w:hAnsi="宋体" w:cs="宋体"/>
          <w:b/>
          <w:bCs/>
          <w:color w:val="auto"/>
          <w:sz w:val="28"/>
          <w:szCs w:val="28"/>
          <w:highlight w:val="none"/>
          <w:lang w:eastAsia="zh-CN"/>
        </w:rPr>
        <w:t>采购</w:t>
      </w:r>
      <w:r>
        <w:rPr>
          <w:rFonts w:hint="eastAsia" w:ascii="宋体" w:hAnsi="宋体" w:eastAsia="宋体" w:cs="宋体"/>
          <w:b/>
          <w:bCs/>
          <w:color w:val="auto"/>
          <w:sz w:val="28"/>
          <w:szCs w:val="28"/>
          <w:highlight w:val="none"/>
        </w:rPr>
        <w:t>活动前三年内在经营活动中</w:t>
      </w:r>
      <w:r>
        <w:rPr>
          <w:rFonts w:hint="eastAsia" w:ascii="宋体" w:hAnsi="宋体" w:eastAsia="宋体" w:cs="宋体"/>
          <w:b/>
          <w:bCs/>
          <w:color w:val="auto"/>
          <w:sz w:val="28"/>
          <w:szCs w:val="28"/>
          <w:highlight w:val="none"/>
        </w:rPr>
        <w:br w:type="textWrapping"/>
      </w:r>
      <w:r>
        <w:rPr>
          <w:rFonts w:hint="eastAsia" w:ascii="宋体" w:hAnsi="宋体" w:eastAsia="宋体" w:cs="宋体"/>
          <w:b/>
          <w:bCs/>
          <w:color w:val="auto"/>
          <w:sz w:val="28"/>
          <w:szCs w:val="28"/>
          <w:highlight w:val="none"/>
        </w:rPr>
        <w:t>没有重大违法记录的书面声明</w:t>
      </w:r>
      <w:bookmarkEnd w:id="63"/>
      <w:bookmarkEnd w:id="64"/>
    </w:p>
    <w:p w14:paraId="5903B133">
      <w:pPr>
        <w:shd w:val="clear"/>
        <w:topLinePunct/>
        <w:autoSpaceDE w:val="0"/>
        <w:autoSpaceDN w:val="0"/>
        <w:snapToGrid w:val="0"/>
        <w:spacing w:before="0" w:beforeAutospacing="0" w:after="0" w:afterAutospacing="0" w:line="360" w:lineRule="auto"/>
        <w:jc w:val="center"/>
        <w:rPr>
          <w:rFonts w:hint="eastAsia" w:ascii="宋体" w:hAnsi="宋体" w:eastAsia="宋体" w:cs="宋体"/>
          <w:b/>
          <w:color w:val="auto"/>
          <w:w w:val="150"/>
          <w:szCs w:val="21"/>
          <w:highlight w:val="none"/>
        </w:rPr>
      </w:pPr>
    </w:p>
    <w:p w14:paraId="0DB4A2DA">
      <w:pPr>
        <w:shd w:val="clear"/>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14:paraId="37FEA1CA">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我单位在参加本次采购活动前三年内在经营活动中没有重大违法记录，包括：</w:t>
      </w:r>
    </w:p>
    <w:p w14:paraId="48A6ECFF">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我单位未因经营活动中的违法行为受到刑事处罚或者责令停产停业、吊销许可证或者执照、较大数额罚款等行政处罚。</w:t>
      </w:r>
    </w:p>
    <w:p w14:paraId="27A22A79">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特此声明！</w:t>
      </w:r>
    </w:p>
    <w:p w14:paraId="348344FC">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56A88E82">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（请供应商根据实际情况如实声明，否则视为提供虚假材料。）</w:t>
      </w:r>
    </w:p>
    <w:p w14:paraId="690ECE02">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17568686">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93B879B">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DC96752">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53C9701A">
      <w:pPr>
        <w:shd w:val="clear"/>
        <w:spacing w:before="0" w:beforeAutospacing="0" w:after="0" w:afterAutospacing="0" w:line="240" w:lineRule="auto"/>
        <w:jc w:val="center"/>
        <w:outlineLvl w:val="2"/>
        <w:rPr>
          <w:rFonts w:hint="eastAsia" w:ascii="宋体" w:hAnsi="宋体" w:eastAsia="宋体" w:cs="宋体"/>
          <w:b/>
          <w:bCs/>
          <w:color w:val="auto"/>
          <w:sz w:val="36"/>
          <w:szCs w:val="36"/>
          <w:highlight w:val="none"/>
          <w:lang w:eastAsia="zh-CN"/>
        </w:rPr>
      </w:pPr>
      <w:r>
        <w:rPr>
          <w:rFonts w:hint="eastAsia" w:ascii="宋体" w:hAnsi="宋体" w:eastAsia="宋体" w:cs="宋体"/>
          <w:color w:val="auto"/>
          <w:sz w:val="24"/>
          <w:highlight w:val="none"/>
        </w:rPr>
        <w:br w:type="page"/>
      </w:r>
      <w:bookmarkStart w:id="65" w:name="_Toc4573"/>
      <w:bookmarkStart w:id="66" w:name="_Toc16262"/>
      <w:r>
        <w:rPr>
          <w:rFonts w:hint="eastAsia" w:ascii="宋体" w:hAnsi="宋体" w:eastAsia="宋体" w:cs="宋体"/>
          <w:b/>
          <w:bCs/>
          <w:color w:val="auto"/>
          <w:sz w:val="28"/>
          <w:szCs w:val="28"/>
          <w:highlight w:val="none"/>
        </w:rPr>
        <w:t>5-7</w:t>
      </w:r>
      <w:r>
        <w:rPr>
          <w:rFonts w:hint="eastAsia" w:ascii="宋体" w:hAnsi="宋体" w:eastAsia="宋体" w:cs="宋体"/>
          <w:b/>
          <w:bCs/>
          <w:color w:val="auto"/>
          <w:sz w:val="28"/>
          <w:szCs w:val="28"/>
          <w:highlight w:val="none"/>
          <w:lang w:val="en-US" w:eastAsia="zh-CN"/>
        </w:rPr>
        <w:t xml:space="preserve"> </w:t>
      </w:r>
      <w:bookmarkEnd w:id="65"/>
      <w:r>
        <w:rPr>
          <w:rFonts w:hint="eastAsia" w:ascii="宋体" w:hAnsi="宋体" w:cs="宋体"/>
          <w:b/>
          <w:bCs/>
          <w:color w:val="auto"/>
          <w:sz w:val="28"/>
          <w:szCs w:val="28"/>
          <w:highlight w:val="none"/>
          <w:lang w:eastAsia="zh-CN"/>
        </w:rPr>
        <w:t>供应商认为需提供的其他资格证明资料</w:t>
      </w:r>
      <w:bookmarkEnd w:id="66"/>
    </w:p>
    <w:p w14:paraId="1D04CA2A">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5B387818">
      <w:pPr>
        <w:shd w:val="clear"/>
        <w:spacing w:before="0" w:beforeAutospacing="0" w:after="0" w:afterAutospacing="0" w:line="240" w:lineRule="auto"/>
        <w:jc w:val="center"/>
        <w:outlineLvl w:val="2"/>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bookmarkStart w:id="67" w:name="_Toc26406"/>
      <w:bookmarkStart w:id="68" w:name="_Toc9781"/>
      <w:r>
        <w:rPr>
          <w:rFonts w:hint="eastAsia" w:ascii="宋体" w:hAnsi="宋体" w:eastAsia="宋体" w:cs="宋体"/>
          <w:b/>
          <w:bCs/>
          <w:color w:val="auto"/>
          <w:sz w:val="28"/>
          <w:szCs w:val="28"/>
          <w:highlight w:val="none"/>
        </w:rPr>
        <w:t>5-8</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联合体协议（若有）</w:t>
      </w:r>
      <w:bookmarkEnd w:id="67"/>
      <w:bookmarkEnd w:id="68"/>
    </w:p>
    <w:p w14:paraId="6BD73E28">
      <w:pPr>
        <w:shd w:val="clear"/>
        <w:topLinePunct/>
        <w:autoSpaceDE w:val="0"/>
        <w:autoSpaceDN w:val="0"/>
        <w:snapToGrid w:val="0"/>
        <w:spacing w:before="0" w:beforeAutospacing="0" w:after="0" w:afterAutospacing="0" w:line="360" w:lineRule="auto"/>
        <w:jc w:val="center"/>
        <w:rPr>
          <w:rFonts w:hint="eastAsia" w:ascii="宋体" w:hAnsi="宋体" w:eastAsia="宋体" w:cs="宋体"/>
          <w:b/>
          <w:color w:val="auto"/>
          <w:w w:val="150"/>
          <w:sz w:val="24"/>
          <w:szCs w:val="21"/>
          <w:highlight w:val="none"/>
        </w:rPr>
      </w:pPr>
    </w:p>
    <w:p w14:paraId="5A51060F">
      <w:pPr>
        <w:shd w:val="clear"/>
        <w:snapToGrid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致________（采购人或采购代理机构）：</w:t>
      </w:r>
    </w:p>
    <w:p w14:paraId="51B1313E">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经研究，我方决定自愿组成联合体共同参加____________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项目名称、项目编号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项目的磋商。</w:t>
      </w:r>
      <w:r>
        <w:rPr>
          <w:rFonts w:hint="eastAsia" w:ascii="宋体" w:hAnsi="宋体" w:eastAsia="宋体" w:cs="宋体"/>
          <w:color w:val="auto"/>
          <w:kern w:val="0"/>
          <w:szCs w:val="21"/>
          <w:highlight w:val="none"/>
        </w:rPr>
        <w:t>现就联合体参加本项目磋商的有关</w:t>
      </w:r>
      <w:r>
        <w:rPr>
          <w:rFonts w:hint="eastAsia" w:ascii="宋体" w:hAnsi="宋体" w:eastAsia="宋体" w:cs="宋体"/>
          <w:color w:val="auto"/>
          <w:szCs w:val="21"/>
          <w:highlight w:val="none"/>
        </w:rPr>
        <w:t>事宜订立如下协议：</w:t>
      </w:r>
    </w:p>
    <w:p w14:paraId="3B338129">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一、联合体成员：</w:t>
      </w:r>
    </w:p>
    <w:p w14:paraId="3CC81B37">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1.____________________</w:t>
      </w:r>
    </w:p>
    <w:p w14:paraId="700D13A6">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2.____________________</w:t>
      </w:r>
    </w:p>
    <w:p w14:paraId="42638617">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3.____________________</w:t>
      </w:r>
    </w:p>
    <w:p w14:paraId="6F947843">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某成员单位名称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为____________</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联合体名称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牵头人。</w:t>
      </w:r>
    </w:p>
    <w:p w14:paraId="165D4DDA">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牵头人合法代表联合体各成员负责本项目响应文件编制活动，代表联合体提交和接收相关的资料、信息及指示，并处理与磋商有关的一切事务；联合体成交后，联合体牵头人负责合同订立和实施阶段的主办、组织和协调工作。</w:t>
      </w:r>
    </w:p>
    <w:p w14:paraId="72DD14CC">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四、联合体将严格按照采购文件的各项要求，递交响应文件，参加磋商，履行成交义务和成交后的合同，并向采购人承担连带责任。</w:t>
      </w:r>
    </w:p>
    <w:p w14:paraId="1E5F1F3B">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五、联合体各成员单位内部的职责分工如下：____________。按照本条上述分工，联合体成员单位各自所承担的合同工作量比例如下：____________。</w:t>
      </w:r>
    </w:p>
    <w:p w14:paraId="185979D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六、本协议书自签署之日起生效，合同履行完毕后自动失效。</w:t>
      </w:r>
    </w:p>
    <w:p w14:paraId="15B333C8">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七、本协议书一式______份，联合体成员和采购人各执一份。</w:t>
      </w:r>
    </w:p>
    <w:p w14:paraId="321FA03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36DDD98D">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14:paraId="24F12F75">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14:paraId="0A35A06C">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14:paraId="706B8606">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法定代表人或其授权代表</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：____________</w:t>
      </w:r>
    </w:p>
    <w:p w14:paraId="11D12901">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5FC49233">
      <w:pPr>
        <w:shd w:val="clear"/>
        <w:spacing w:before="0" w:beforeAutospacing="0" w:after="0" w:afterAutospacing="0" w:line="360" w:lineRule="auto"/>
        <w:ind w:firstLine="420" w:firstLineChars="200"/>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______年____月____日</w:t>
      </w:r>
    </w:p>
    <w:p w14:paraId="03BD47C2">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5047A24B">
      <w:pPr>
        <w:shd w:val="clear"/>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备注：本协议书由授权代表签字的，应附法定代表人签字的授权委托书。</w:t>
      </w:r>
    </w:p>
    <w:p w14:paraId="1783078B">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Cs w:val="21"/>
          <w:highlight w:val="none"/>
        </w:rPr>
        <w:br w:type="page"/>
      </w:r>
      <w:bookmarkStart w:id="69" w:name="_Toc15251"/>
      <w:bookmarkStart w:id="70" w:name="_Toc27227"/>
      <w:r>
        <w:rPr>
          <w:rFonts w:hint="eastAsia" w:ascii="宋体" w:hAnsi="宋体" w:eastAsia="宋体" w:cs="宋体"/>
          <w:b/>
          <w:bCs/>
          <w:color w:val="auto"/>
          <w:sz w:val="28"/>
          <w:szCs w:val="28"/>
          <w:highlight w:val="none"/>
        </w:rPr>
        <w:t>5-9</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其他资格证明文件（若有）</w:t>
      </w:r>
      <w:bookmarkEnd w:id="69"/>
      <w:bookmarkEnd w:id="70"/>
    </w:p>
    <w:p w14:paraId="0CC7AB93">
      <w:pPr>
        <w:shd w:val="clear"/>
        <w:spacing w:before="0" w:beforeAutospacing="0" w:after="0" w:afterAutospacing="0" w:line="240" w:lineRule="auto"/>
        <w:rPr>
          <w:rFonts w:hint="eastAsia" w:ascii="宋体" w:hAnsi="宋体" w:eastAsia="宋体" w:cs="宋体"/>
          <w:color w:val="auto"/>
          <w:highlight w:val="none"/>
        </w:rPr>
      </w:pPr>
    </w:p>
    <w:p w14:paraId="75CEA49D">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根据资格条件要求提供相应材料。</w:t>
      </w:r>
    </w:p>
    <w:p w14:paraId="4F1AC725">
      <w:pPr>
        <w:shd w:val="clear"/>
        <w:spacing w:before="0" w:beforeAutospacing="0" w:after="0" w:afterAutospacing="0" w:line="240" w:lineRule="auto"/>
        <w:rPr>
          <w:rFonts w:hint="eastAsia" w:ascii="宋体" w:hAnsi="宋体" w:eastAsia="宋体" w:cs="宋体"/>
          <w:color w:val="auto"/>
          <w:sz w:val="24"/>
          <w:highlight w:val="none"/>
        </w:rPr>
      </w:pPr>
    </w:p>
    <w:p w14:paraId="0F2EE9F5">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71" w:name="_Toc21740"/>
      <w:bookmarkStart w:id="72" w:name="_Toc9269"/>
      <w:r>
        <w:rPr>
          <w:rFonts w:hint="eastAsia" w:ascii="宋体" w:hAnsi="宋体" w:eastAsia="宋体" w:cs="宋体"/>
          <w:b/>
          <w:bCs/>
          <w:color w:val="auto"/>
          <w:sz w:val="28"/>
          <w:szCs w:val="28"/>
          <w:highlight w:val="none"/>
        </w:rPr>
        <w:t>格式6  中小企业声明函</w:t>
      </w:r>
      <w:bookmarkEnd w:id="71"/>
      <w:bookmarkEnd w:id="72"/>
    </w:p>
    <w:p w14:paraId="0F12BE01">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bookmarkStart w:id="73" w:name="_Toc20560"/>
      <w:bookmarkStart w:id="74" w:name="_Toc20830"/>
      <w:r>
        <w:rPr>
          <w:rFonts w:hint="eastAsia" w:ascii="宋体" w:hAnsi="宋体" w:eastAsia="宋体" w:cs="宋体"/>
          <w:b/>
          <w:bCs/>
          <w:color w:val="auto"/>
          <w:sz w:val="28"/>
          <w:szCs w:val="28"/>
          <w:highlight w:val="none"/>
        </w:rPr>
        <w:t>中小企业声明函（工程、服务）</w:t>
      </w:r>
      <w:bookmarkEnd w:id="73"/>
      <w:bookmarkEnd w:id="74"/>
    </w:p>
    <w:p w14:paraId="56BD46B1">
      <w:pPr>
        <w:widowControl/>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p>
    <w:p w14:paraId="661CC877">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本公司郑重声明，根据《政府采购促进中小企业发展管理办法》（财库﹝2020﹞46 号）的规定，本公司参加</w:t>
      </w:r>
      <w:r>
        <w:rPr>
          <w:rFonts w:hint="eastAsia" w:ascii="宋体" w:hAnsi="宋体" w:cs="宋体"/>
          <w:color w:val="auto"/>
          <w:kern w:val="2"/>
          <w:sz w:val="21"/>
          <w:szCs w:val="21"/>
          <w:highlight w:val="none"/>
          <w:u w:val="single"/>
          <w:lang w:eastAsia="zh-CN" w:bidi="ar"/>
        </w:rPr>
        <w:t>国家税务总局南宁市西乡塘区税务局</w:t>
      </w:r>
      <w:r>
        <w:rPr>
          <w:rFonts w:hint="eastAsia" w:ascii="宋体" w:hAnsi="宋体" w:eastAsia="宋体" w:cs="宋体"/>
          <w:color w:val="auto"/>
          <w:szCs w:val="21"/>
          <w:highlight w:val="none"/>
        </w:rPr>
        <w:t>的</w:t>
      </w:r>
      <w:r>
        <w:rPr>
          <w:rFonts w:hint="eastAsia" w:ascii="宋体" w:hAnsi="宋体" w:cs="宋体"/>
          <w:color w:val="auto"/>
          <w:szCs w:val="21"/>
          <w:highlight w:val="none"/>
          <w:u w:val="single"/>
          <w:lang w:eastAsia="zh-CN"/>
        </w:rPr>
        <w:t>国家税务总局南宁市西乡塘区税务局2026年物业管理项目</w:t>
      </w:r>
      <w:r>
        <w:rPr>
          <w:rFonts w:hint="eastAsia" w:ascii="宋体" w:hAnsi="宋体" w:eastAsia="宋体" w:cs="宋体"/>
          <w:color w:val="auto"/>
          <w:szCs w:val="21"/>
          <w:highlight w:val="none"/>
        </w:rPr>
        <w:t>采购活动，服务全部由符合政策要求的中小企业承接。相关企业（含联合体中的中小企业、签订分包意向协议的中小企业）的具体情况如下：</w:t>
      </w:r>
    </w:p>
    <w:p w14:paraId="5F9ED880">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w:t>
      </w:r>
      <w:r>
        <w:rPr>
          <w:rFonts w:hint="eastAsia" w:ascii="宋体" w:hAnsi="宋体" w:cs="宋体"/>
          <w:color w:val="auto"/>
          <w:szCs w:val="21"/>
          <w:highlight w:val="none"/>
          <w:u w:val="single"/>
          <w:lang w:eastAsia="zh-CN"/>
        </w:rPr>
        <w:t>国家税务总局南宁市西乡塘区税务局2026年物业管理项目</w:t>
      </w:r>
      <w:r>
        <w:rPr>
          <w:rFonts w:hint="eastAsia" w:ascii="宋体" w:hAnsi="宋体" w:eastAsia="宋体" w:cs="宋体"/>
          <w:color w:val="auto"/>
          <w:szCs w:val="21"/>
          <w:highlight w:val="none"/>
        </w:rPr>
        <w:t>，属于</w:t>
      </w:r>
      <w:r>
        <w:rPr>
          <w:rFonts w:hint="eastAsia" w:ascii="宋体" w:hAnsi="宋体" w:cs="宋体"/>
          <w:color w:val="auto"/>
          <w:szCs w:val="21"/>
          <w:highlight w:val="none"/>
          <w:u w:val="single"/>
          <w:lang w:eastAsia="zh-CN"/>
        </w:rPr>
        <w:t>物业管理</w:t>
      </w:r>
      <w:r>
        <w:rPr>
          <w:rFonts w:hint="eastAsia" w:ascii="宋体" w:hAnsi="宋体" w:eastAsia="宋体" w:cs="宋体"/>
          <w:color w:val="auto"/>
          <w:szCs w:val="21"/>
          <w:highlight w:val="none"/>
        </w:rPr>
        <w:t>；承接企业为</w:t>
      </w:r>
      <w:r>
        <w:rPr>
          <w:rFonts w:hint="eastAsia" w:ascii="宋体" w:hAnsi="宋体" w:eastAsia="宋体" w:cs="宋体"/>
          <w:i/>
          <w:iCs/>
          <w:color w:val="auto"/>
          <w:szCs w:val="21"/>
          <w:highlight w:val="none"/>
          <w:u w:val="single"/>
        </w:rPr>
        <w:t>（企业名称）</w:t>
      </w:r>
      <w:r>
        <w:rPr>
          <w:rFonts w:hint="eastAsia" w:ascii="宋体" w:hAnsi="宋体" w:eastAsia="宋体" w:cs="宋体"/>
          <w:color w:val="auto"/>
          <w:szCs w:val="21"/>
          <w:highlight w:val="none"/>
        </w:rPr>
        <w:t>，从业人员</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人，营业收入为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万元，资产总额为</w:t>
      </w:r>
      <w:r>
        <w:rPr>
          <w:rFonts w:hint="eastAsia" w:ascii="宋体" w:hAnsi="宋体" w:eastAsia="宋体" w:cs="宋体"/>
          <w:color w:val="auto"/>
          <w:szCs w:val="21"/>
          <w:highlight w:val="none"/>
          <w:u w:val="single"/>
        </w:rPr>
        <w:tab/>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万元</w:t>
      </w:r>
      <w:r>
        <w:rPr>
          <w:rFonts w:hint="eastAsia" w:ascii="宋体" w:hAnsi="宋体" w:eastAsia="宋体" w:cs="宋体"/>
          <w:color w:val="auto"/>
          <w:szCs w:val="21"/>
          <w:highlight w:val="none"/>
          <w:vertAlign w:val="superscript"/>
        </w:rPr>
        <w:t>1</w:t>
      </w:r>
      <w:r>
        <w:rPr>
          <w:rFonts w:hint="eastAsia" w:ascii="宋体" w:hAnsi="宋体" w:eastAsia="宋体" w:cs="宋体"/>
          <w:color w:val="auto"/>
          <w:szCs w:val="21"/>
          <w:highlight w:val="none"/>
        </w:rPr>
        <w:t>，属于</w:t>
      </w:r>
      <w:r>
        <w:rPr>
          <w:rFonts w:hint="eastAsia" w:ascii="宋体" w:hAnsi="宋体" w:eastAsia="宋体" w:cs="宋体"/>
          <w:i/>
          <w:iCs/>
          <w:color w:val="auto"/>
          <w:szCs w:val="21"/>
          <w:highlight w:val="none"/>
          <w:u w:val="single"/>
        </w:rPr>
        <w:t>（中型企业、小型企业、微型企业）</w:t>
      </w:r>
      <w:r>
        <w:rPr>
          <w:rFonts w:hint="eastAsia" w:ascii="宋体" w:hAnsi="宋体" w:eastAsia="宋体" w:cs="宋体"/>
          <w:color w:val="auto"/>
          <w:szCs w:val="21"/>
          <w:highlight w:val="none"/>
        </w:rPr>
        <w:t xml:space="preserve">； </w:t>
      </w:r>
    </w:p>
    <w:p w14:paraId="5355252C">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6B1F6B98">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p w14:paraId="004283F2">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以上企业，不属于大企业的分支机构，不存在控股股东为大企业的情形，也不存在与大企业的负责人为同一人的情形。</w:t>
      </w:r>
    </w:p>
    <w:p w14:paraId="74551A3C">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本企业对上述声明内容的真实性负责。如有虚假，将依法承担相应责任。 </w:t>
      </w:r>
    </w:p>
    <w:p w14:paraId="37F5A6C9">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47887283">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4AA2F1F7">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0B25C94E">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741264D4">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4E477926">
      <w:pPr>
        <w:shd w:val="clear"/>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p>
    <w:p w14:paraId="5EA0C3D6">
      <w:pPr>
        <w:widowControl/>
        <w:shd w:val="clear"/>
        <w:spacing w:before="0" w:beforeAutospacing="0" w:after="0" w:afterAutospacing="0" w:line="240" w:lineRule="auto"/>
        <w:rPr>
          <w:rFonts w:hint="eastAsia" w:ascii="宋体" w:hAnsi="宋体" w:eastAsia="宋体" w:cs="宋体"/>
          <w:color w:val="auto"/>
          <w:highlight w:val="none"/>
        </w:rPr>
      </w:pPr>
    </w:p>
    <w:p w14:paraId="12236619">
      <w:pPr>
        <w:widowControl/>
        <w:shd w:val="clear"/>
        <w:spacing w:before="0" w:beforeAutospacing="0" w:after="0" w:afterAutospacing="0" w:line="240" w:lineRule="auto"/>
        <w:jc w:val="left"/>
        <w:rPr>
          <w:rFonts w:hint="eastAsia" w:ascii="宋体" w:hAnsi="宋体" w:eastAsia="宋体" w:cs="宋体"/>
          <w:color w:val="auto"/>
          <w:highlight w:val="none"/>
        </w:rPr>
      </w:pPr>
      <w:r>
        <w:rPr>
          <w:rFonts w:hint="eastAsia" w:ascii="宋体" w:hAnsi="宋体" w:eastAsia="宋体" w:cs="宋体"/>
          <w:color w:val="auto"/>
          <w:kern w:val="0"/>
          <w:sz w:val="18"/>
          <w:szCs w:val="18"/>
          <w:highlight w:val="none"/>
        </w:rPr>
        <w:t>1从业人员、营业收入、资产总额填报上一年度数据，无上一年度数据的新成立企业可不填报。</w:t>
      </w:r>
    </w:p>
    <w:p w14:paraId="43E2DE8A">
      <w:pPr>
        <w:shd w:val="clear"/>
        <w:snapToGrid w:val="0"/>
        <w:spacing w:before="0" w:beforeAutospacing="0" w:after="0" w:afterAutospacing="0" w:line="360" w:lineRule="auto"/>
        <w:ind w:firstLine="480" w:firstLineChars="200"/>
        <w:rPr>
          <w:rFonts w:hint="eastAsia" w:ascii="宋体" w:hAnsi="宋体" w:eastAsia="宋体" w:cs="宋体"/>
          <w:color w:val="auto"/>
          <w:sz w:val="24"/>
          <w:szCs w:val="24"/>
          <w:highlight w:val="none"/>
        </w:rPr>
      </w:pPr>
    </w:p>
    <w:p w14:paraId="06573904">
      <w:pPr>
        <w:shd w:val="clear"/>
        <w:spacing w:before="0" w:beforeAutospacing="0" w:after="0" w:afterAutospacing="0" w:line="24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br w:type="page"/>
      </w:r>
      <w:bookmarkStart w:id="75" w:name="_Toc7562"/>
      <w:bookmarkStart w:id="76" w:name="_Toc14699"/>
      <w:r>
        <w:rPr>
          <w:rFonts w:hint="eastAsia" w:ascii="宋体" w:hAnsi="宋体" w:eastAsia="宋体" w:cs="宋体"/>
          <w:b/>
          <w:bCs/>
          <w:color w:val="auto"/>
          <w:sz w:val="28"/>
          <w:szCs w:val="28"/>
          <w:highlight w:val="none"/>
        </w:rPr>
        <w:t>中小微企业划型标准</w:t>
      </w:r>
      <w:bookmarkEnd w:id="75"/>
      <w:bookmarkEnd w:id="76"/>
    </w:p>
    <w:tbl>
      <w:tblPr>
        <w:tblStyle w:val="35"/>
        <w:tblW w:w="0" w:type="auto"/>
        <w:jc w:val="center"/>
        <w:tblLayout w:type="fixed"/>
        <w:tblCellMar>
          <w:top w:w="0" w:type="dxa"/>
          <w:left w:w="108" w:type="dxa"/>
          <w:bottom w:w="0" w:type="dxa"/>
          <w:right w:w="108" w:type="dxa"/>
        </w:tblCellMar>
      </w:tblPr>
      <w:tblGrid>
        <w:gridCol w:w="1230"/>
        <w:gridCol w:w="1440"/>
        <w:gridCol w:w="1155"/>
        <w:gridCol w:w="2073"/>
        <w:gridCol w:w="1649"/>
        <w:gridCol w:w="1070"/>
      </w:tblGrid>
      <w:tr w14:paraId="24DFCCDD">
        <w:tblPrEx>
          <w:tblCellMar>
            <w:top w:w="0" w:type="dxa"/>
            <w:left w:w="108" w:type="dxa"/>
            <w:bottom w:w="0" w:type="dxa"/>
            <w:right w:w="108" w:type="dxa"/>
          </w:tblCellMar>
        </w:tblPrEx>
        <w:trPr>
          <w:trHeight w:val="339" w:hRule="atLeast"/>
          <w:jc w:val="center"/>
        </w:trPr>
        <w:tc>
          <w:tcPr>
            <w:tcW w:w="1230" w:type="dxa"/>
            <w:tcBorders>
              <w:top w:val="single" w:color="auto" w:sz="4" w:space="0"/>
              <w:left w:val="single" w:color="auto" w:sz="4" w:space="0"/>
              <w:bottom w:val="single" w:color="auto" w:sz="4" w:space="0"/>
              <w:right w:val="single" w:color="auto" w:sz="4" w:space="0"/>
            </w:tcBorders>
            <w:noWrap w:val="0"/>
            <w:vAlign w:val="center"/>
          </w:tcPr>
          <w:p w14:paraId="05F1DDE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行业名称</w:t>
            </w:r>
          </w:p>
        </w:tc>
        <w:tc>
          <w:tcPr>
            <w:tcW w:w="1440" w:type="dxa"/>
            <w:tcBorders>
              <w:top w:val="single" w:color="auto" w:sz="4" w:space="0"/>
              <w:left w:val="nil"/>
              <w:bottom w:val="single" w:color="auto" w:sz="4" w:space="0"/>
              <w:right w:val="single" w:color="auto" w:sz="4" w:space="0"/>
            </w:tcBorders>
            <w:noWrap w:val="0"/>
            <w:vAlign w:val="center"/>
          </w:tcPr>
          <w:p w14:paraId="2610D2F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指标名称</w:t>
            </w:r>
          </w:p>
        </w:tc>
        <w:tc>
          <w:tcPr>
            <w:tcW w:w="1155" w:type="dxa"/>
            <w:tcBorders>
              <w:top w:val="single" w:color="auto" w:sz="4" w:space="0"/>
              <w:left w:val="nil"/>
              <w:bottom w:val="single" w:color="auto" w:sz="4" w:space="0"/>
              <w:right w:val="single" w:color="auto" w:sz="4" w:space="0"/>
            </w:tcBorders>
            <w:noWrap w:val="0"/>
            <w:vAlign w:val="center"/>
          </w:tcPr>
          <w:p w14:paraId="7B698D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计量单位</w:t>
            </w:r>
          </w:p>
        </w:tc>
        <w:tc>
          <w:tcPr>
            <w:tcW w:w="2073" w:type="dxa"/>
            <w:tcBorders>
              <w:top w:val="single" w:color="auto" w:sz="4" w:space="0"/>
              <w:left w:val="nil"/>
              <w:bottom w:val="single" w:color="auto" w:sz="4" w:space="0"/>
              <w:right w:val="single" w:color="auto" w:sz="4" w:space="0"/>
            </w:tcBorders>
            <w:noWrap w:val="0"/>
            <w:vAlign w:val="center"/>
          </w:tcPr>
          <w:p w14:paraId="64A43F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中型</w:t>
            </w:r>
          </w:p>
        </w:tc>
        <w:tc>
          <w:tcPr>
            <w:tcW w:w="1649" w:type="dxa"/>
            <w:tcBorders>
              <w:top w:val="single" w:color="auto" w:sz="4" w:space="0"/>
              <w:left w:val="nil"/>
              <w:bottom w:val="single" w:color="auto" w:sz="4" w:space="0"/>
              <w:right w:val="single" w:color="auto" w:sz="4" w:space="0"/>
            </w:tcBorders>
            <w:noWrap w:val="0"/>
            <w:vAlign w:val="center"/>
          </w:tcPr>
          <w:p w14:paraId="7CF316F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小型</w:t>
            </w:r>
          </w:p>
        </w:tc>
        <w:tc>
          <w:tcPr>
            <w:tcW w:w="1070" w:type="dxa"/>
            <w:tcBorders>
              <w:top w:val="single" w:color="auto" w:sz="4" w:space="0"/>
              <w:left w:val="nil"/>
              <w:bottom w:val="single" w:color="auto" w:sz="4" w:space="0"/>
              <w:right w:val="single" w:color="auto" w:sz="4" w:space="0"/>
            </w:tcBorders>
            <w:noWrap w:val="0"/>
            <w:vAlign w:val="center"/>
          </w:tcPr>
          <w:p w14:paraId="54870D4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微型</w:t>
            </w:r>
          </w:p>
        </w:tc>
      </w:tr>
      <w:tr w14:paraId="0D236515">
        <w:tblPrEx>
          <w:tblCellMar>
            <w:top w:w="0" w:type="dxa"/>
            <w:left w:w="108" w:type="dxa"/>
            <w:bottom w:w="0" w:type="dxa"/>
            <w:right w:w="108" w:type="dxa"/>
          </w:tblCellMar>
        </w:tblPrEx>
        <w:trPr>
          <w:trHeight w:val="510" w:hRule="atLeast"/>
          <w:jc w:val="center"/>
        </w:trPr>
        <w:tc>
          <w:tcPr>
            <w:tcW w:w="1230" w:type="dxa"/>
            <w:tcBorders>
              <w:top w:val="nil"/>
              <w:left w:val="single" w:color="auto" w:sz="4" w:space="0"/>
              <w:bottom w:val="single" w:color="auto" w:sz="4" w:space="0"/>
              <w:right w:val="single" w:color="auto" w:sz="4" w:space="0"/>
            </w:tcBorders>
            <w:noWrap w:val="0"/>
            <w:vAlign w:val="bottom"/>
          </w:tcPr>
          <w:p w14:paraId="37A7A8C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农、林、牧、渔</w:t>
            </w:r>
          </w:p>
        </w:tc>
        <w:tc>
          <w:tcPr>
            <w:tcW w:w="1440" w:type="dxa"/>
            <w:tcBorders>
              <w:top w:val="nil"/>
              <w:left w:val="nil"/>
              <w:bottom w:val="single" w:color="auto" w:sz="4" w:space="0"/>
              <w:right w:val="single" w:color="auto" w:sz="4" w:space="0"/>
            </w:tcBorders>
            <w:noWrap w:val="0"/>
            <w:vAlign w:val="center"/>
          </w:tcPr>
          <w:p w14:paraId="507C013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715E566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7FED55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49" w:type="dxa"/>
            <w:tcBorders>
              <w:top w:val="nil"/>
              <w:left w:val="nil"/>
              <w:bottom w:val="single" w:color="auto" w:sz="4" w:space="0"/>
              <w:right w:val="single" w:color="auto" w:sz="4" w:space="0"/>
            </w:tcBorders>
            <w:noWrap w:val="0"/>
            <w:vAlign w:val="center"/>
          </w:tcPr>
          <w:p w14:paraId="5C3066A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50≤Y＜500</w:t>
            </w:r>
          </w:p>
        </w:tc>
        <w:tc>
          <w:tcPr>
            <w:tcW w:w="1070" w:type="dxa"/>
            <w:tcBorders>
              <w:top w:val="nil"/>
              <w:left w:val="nil"/>
              <w:bottom w:val="single" w:color="auto" w:sz="4" w:space="0"/>
              <w:right w:val="single" w:color="auto" w:sz="4" w:space="0"/>
            </w:tcBorders>
            <w:noWrap w:val="0"/>
            <w:vAlign w:val="center"/>
          </w:tcPr>
          <w:p w14:paraId="65D0457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489FBE3C">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7BD925D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工业</w:t>
            </w:r>
          </w:p>
        </w:tc>
        <w:tc>
          <w:tcPr>
            <w:tcW w:w="1440" w:type="dxa"/>
            <w:tcBorders>
              <w:top w:val="nil"/>
              <w:left w:val="nil"/>
              <w:bottom w:val="single" w:color="auto" w:sz="4" w:space="0"/>
              <w:right w:val="single" w:color="auto" w:sz="4" w:space="0"/>
            </w:tcBorders>
            <w:noWrap w:val="0"/>
            <w:vAlign w:val="center"/>
          </w:tcPr>
          <w:p w14:paraId="6CAA6D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35FC33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180519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14:paraId="4E6BD1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0" w:type="dxa"/>
            <w:tcBorders>
              <w:top w:val="nil"/>
              <w:left w:val="nil"/>
              <w:bottom w:val="single" w:color="auto" w:sz="4" w:space="0"/>
              <w:right w:val="single" w:color="auto" w:sz="4" w:space="0"/>
            </w:tcBorders>
            <w:noWrap w:val="0"/>
            <w:vAlign w:val="center"/>
          </w:tcPr>
          <w:p w14:paraId="247044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0F52C34">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77E7A7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1653A95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4AF4661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00C0D9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2000≤Y＜40000</w:t>
            </w:r>
          </w:p>
        </w:tc>
        <w:tc>
          <w:tcPr>
            <w:tcW w:w="1649" w:type="dxa"/>
            <w:tcBorders>
              <w:top w:val="nil"/>
              <w:left w:val="nil"/>
              <w:bottom w:val="single" w:color="auto" w:sz="4" w:space="0"/>
              <w:right w:val="single" w:color="auto" w:sz="4" w:space="0"/>
            </w:tcBorders>
            <w:noWrap w:val="0"/>
            <w:vAlign w:val="center"/>
          </w:tcPr>
          <w:p w14:paraId="555702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300≤Y＜2000</w:t>
            </w:r>
          </w:p>
        </w:tc>
        <w:tc>
          <w:tcPr>
            <w:tcW w:w="1070" w:type="dxa"/>
            <w:tcBorders>
              <w:top w:val="nil"/>
              <w:left w:val="nil"/>
              <w:bottom w:val="single" w:color="auto" w:sz="4" w:space="0"/>
              <w:right w:val="single" w:color="auto" w:sz="4" w:space="0"/>
            </w:tcBorders>
            <w:noWrap w:val="0"/>
            <w:vAlign w:val="center"/>
          </w:tcPr>
          <w:p w14:paraId="0D289A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ACE07EB">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7533F7D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建筑业</w:t>
            </w:r>
          </w:p>
        </w:tc>
        <w:tc>
          <w:tcPr>
            <w:tcW w:w="1440" w:type="dxa"/>
            <w:tcBorders>
              <w:top w:val="nil"/>
              <w:left w:val="nil"/>
              <w:bottom w:val="single" w:color="auto" w:sz="4" w:space="0"/>
              <w:right w:val="single" w:color="auto" w:sz="4" w:space="0"/>
            </w:tcBorders>
            <w:noWrap w:val="0"/>
            <w:vAlign w:val="center"/>
          </w:tcPr>
          <w:p w14:paraId="0525FFC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13734F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0F7C97A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eastAsia="zh-CN"/>
              </w:rPr>
              <w:t>9880</w:t>
            </w:r>
            <w:r>
              <w:rPr>
                <w:rFonts w:hint="eastAsia" w:ascii="宋体" w:hAnsi="宋体" w:eastAsia="宋体" w:cs="宋体"/>
                <w:color w:val="auto"/>
                <w:kern w:val="0"/>
                <w:sz w:val="21"/>
                <w:szCs w:val="21"/>
                <w:highlight w:val="none"/>
              </w:rPr>
              <w:t>≤Y＜80000</w:t>
            </w:r>
          </w:p>
        </w:tc>
        <w:tc>
          <w:tcPr>
            <w:tcW w:w="1649" w:type="dxa"/>
            <w:tcBorders>
              <w:top w:val="nil"/>
              <w:left w:val="nil"/>
              <w:bottom w:val="single" w:color="auto" w:sz="4" w:space="0"/>
              <w:right w:val="single" w:color="auto" w:sz="4" w:space="0"/>
            </w:tcBorders>
            <w:noWrap w:val="0"/>
            <w:vAlign w:val="center"/>
          </w:tcPr>
          <w:p w14:paraId="747ACE3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300≤Y＜</w:t>
            </w:r>
            <w:r>
              <w:rPr>
                <w:rFonts w:hint="eastAsia" w:ascii="宋体" w:hAnsi="宋体" w:cs="宋体"/>
                <w:color w:val="auto"/>
                <w:kern w:val="0"/>
                <w:sz w:val="21"/>
                <w:szCs w:val="21"/>
                <w:highlight w:val="none"/>
                <w:lang w:eastAsia="zh-CN"/>
              </w:rPr>
              <w:t>9880</w:t>
            </w:r>
          </w:p>
        </w:tc>
        <w:tc>
          <w:tcPr>
            <w:tcW w:w="1070" w:type="dxa"/>
            <w:tcBorders>
              <w:top w:val="nil"/>
              <w:left w:val="nil"/>
              <w:bottom w:val="single" w:color="auto" w:sz="4" w:space="0"/>
              <w:right w:val="single" w:color="auto" w:sz="4" w:space="0"/>
            </w:tcBorders>
            <w:noWrap w:val="0"/>
            <w:vAlign w:val="center"/>
          </w:tcPr>
          <w:p w14:paraId="0AA014A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Y＜300</w:t>
            </w:r>
          </w:p>
        </w:tc>
      </w:tr>
      <w:tr w14:paraId="1D8B63FB">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6B0145B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5A61FA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14:paraId="161DAD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484C6CE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5000≤Z＜80000</w:t>
            </w:r>
          </w:p>
        </w:tc>
        <w:tc>
          <w:tcPr>
            <w:tcW w:w="1649" w:type="dxa"/>
            <w:tcBorders>
              <w:top w:val="nil"/>
              <w:left w:val="nil"/>
              <w:bottom w:val="single" w:color="auto" w:sz="4" w:space="0"/>
              <w:right w:val="single" w:color="auto" w:sz="4" w:space="0"/>
            </w:tcBorders>
            <w:noWrap w:val="0"/>
            <w:vAlign w:val="center"/>
          </w:tcPr>
          <w:p w14:paraId="16EC17F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300≤Z＜5000</w:t>
            </w:r>
          </w:p>
        </w:tc>
        <w:tc>
          <w:tcPr>
            <w:tcW w:w="1070" w:type="dxa"/>
            <w:tcBorders>
              <w:top w:val="nil"/>
              <w:left w:val="nil"/>
              <w:bottom w:val="single" w:color="auto" w:sz="4" w:space="0"/>
              <w:right w:val="single" w:color="auto" w:sz="4" w:space="0"/>
            </w:tcBorders>
            <w:noWrap w:val="0"/>
            <w:vAlign w:val="center"/>
          </w:tcPr>
          <w:p w14:paraId="0F0501B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Z＜300</w:t>
            </w:r>
          </w:p>
        </w:tc>
      </w:tr>
      <w:tr w14:paraId="65BAB97F">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139CBF1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批发业</w:t>
            </w:r>
          </w:p>
        </w:tc>
        <w:tc>
          <w:tcPr>
            <w:tcW w:w="1440" w:type="dxa"/>
            <w:tcBorders>
              <w:top w:val="nil"/>
              <w:left w:val="nil"/>
              <w:bottom w:val="single" w:color="auto" w:sz="4" w:space="0"/>
              <w:right w:val="single" w:color="auto" w:sz="4" w:space="0"/>
            </w:tcBorders>
            <w:noWrap w:val="0"/>
            <w:vAlign w:val="center"/>
          </w:tcPr>
          <w:p w14:paraId="7253AD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24B1FA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7F98674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20≤X＜200</w:t>
            </w:r>
          </w:p>
        </w:tc>
        <w:tc>
          <w:tcPr>
            <w:tcW w:w="1649" w:type="dxa"/>
            <w:tcBorders>
              <w:top w:val="nil"/>
              <w:left w:val="nil"/>
              <w:bottom w:val="single" w:color="auto" w:sz="4" w:space="0"/>
              <w:right w:val="single" w:color="auto" w:sz="4" w:space="0"/>
            </w:tcBorders>
            <w:noWrap w:val="0"/>
            <w:vAlign w:val="center"/>
          </w:tcPr>
          <w:p w14:paraId="7D72567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5≤X＜20</w:t>
            </w:r>
          </w:p>
        </w:tc>
        <w:tc>
          <w:tcPr>
            <w:tcW w:w="1070" w:type="dxa"/>
            <w:tcBorders>
              <w:top w:val="nil"/>
              <w:left w:val="nil"/>
              <w:bottom w:val="single" w:color="auto" w:sz="4" w:space="0"/>
              <w:right w:val="single" w:color="auto" w:sz="4" w:space="0"/>
            </w:tcBorders>
            <w:noWrap w:val="0"/>
            <w:vAlign w:val="center"/>
          </w:tcPr>
          <w:p w14:paraId="618AD55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X＜5</w:t>
            </w:r>
          </w:p>
        </w:tc>
      </w:tr>
      <w:tr w14:paraId="104B2B71">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79743F5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6A647FC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2DE5AB1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0045A1B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5000≤Y＜40000</w:t>
            </w:r>
          </w:p>
        </w:tc>
        <w:tc>
          <w:tcPr>
            <w:tcW w:w="1649" w:type="dxa"/>
            <w:tcBorders>
              <w:top w:val="nil"/>
              <w:left w:val="nil"/>
              <w:bottom w:val="single" w:color="auto" w:sz="4" w:space="0"/>
              <w:right w:val="single" w:color="auto" w:sz="4" w:space="0"/>
            </w:tcBorders>
            <w:noWrap w:val="0"/>
            <w:vAlign w:val="center"/>
          </w:tcPr>
          <w:p w14:paraId="77AAC8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070" w:type="dxa"/>
            <w:tcBorders>
              <w:top w:val="nil"/>
              <w:left w:val="nil"/>
              <w:bottom w:val="single" w:color="auto" w:sz="4" w:space="0"/>
              <w:right w:val="single" w:color="auto" w:sz="4" w:space="0"/>
            </w:tcBorders>
            <w:noWrap w:val="0"/>
            <w:vAlign w:val="center"/>
          </w:tcPr>
          <w:p w14:paraId="0ACD84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Y＜1000</w:t>
            </w:r>
          </w:p>
        </w:tc>
      </w:tr>
      <w:tr w14:paraId="7D7F35AF">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7406E5F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零售业</w:t>
            </w:r>
          </w:p>
        </w:tc>
        <w:tc>
          <w:tcPr>
            <w:tcW w:w="1440" w:type="dxa"/>
            <w:tcBorders>
              <w:top w:val="nil"/>
              <w:left w:val="nil"/>
              <w:bottom w:val="single" w:color="auto" w:sz="4" w:space="0"/>
              <w:right w:val="single" w:color="auto" w:sz="4" w:space="0"/>
            </w:tcBorders>
            <w:noWrap w:val="0"/>
            <w:vAlign w:val="center"/>
          </w:tcPr>
          <w:p w14:paraId="5E2275D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65FA9E2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64E44F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50≤X＜300</w:t>
            </w:r>
          </w:p>
        </w:tc>
        <w:tc>
          <w:tcPr>
            <w:tcW w:w="1649" w:type="dxa"/>
            <w:tcBorders>
              <w:top w:val="nil"/>
              <w:left w:val="nil"/>
              <w:bottom w:val="single" w:color="auto" w:sz="4" w:space="0"/>
              <w:right w:val="single" w:color="auto" w:sz="4" w:space="0"/>
            </w:tcBorders>
            <w:noWrap w:val="0"/>
            <w:vAlign w:val="center"/>
          </w:tcPr>
          <w:p w14:paraId="077D1F2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10≤X＜50</w:t>
            </w:r>
          </w:p>
        </w:tc>
        <w:tc>
          <w:tcPr>
            <w:tcW w:w="1070" w:type="dxa"/>
            <w:tcBorders>
              <w:top w:val="nil"/>
              <w:left w:val="nil"/>
              <w:bottom w:val="single" w:color="auto" w:sz="4" w:space="0"/>
              <w:right w:val="single" w:color="auto" w:sz="4" w:space="0"/>
            </w:tcBorders>
            <w:noWrap w:val="0"/>
            <w:vAlign w:val="center"/>
          </w:tcPr>
          <w:p w14:paraId="1F3FFEE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215B5B1">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0EC8D83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2052B26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296A67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1A0092B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500≤Y＜20000</w:t>
            </w:r>
          </w:p>
        </w:tc>
        <w:tc>
          <w:tcPr>
            <w:tcW w:w="1649" w:type="dxa"/>
            <w:tcBorders>
              <w:top w:val="nil"/>
              <w:left w:val="nil"/>
              <w:bottom w:val="single" w:color="auto" w:sz="4" w:space="0"/>
              <w:right w:val="single" w:color="auto" w:sz="4" w:space="0"/>
            </w:tcBorders>
            <w:noWrap w:val="0"/>
            <w:vAlign w:val="center"/>
          </w:tcPr>
          <w:p w14:paraId="26988E0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100≤Y＜500</w:t>
            </w:r>
          </w:p>
        </w:tc>
        <w:tc>
          <w:tcPr>
            <w:tcW w:w="1070" w:type="dxa"/>
            <w:tcBorders>
              <w:top w:val="nil"/>
              <w:left w:val="nil"/>
              <w:bottom w:val="single" w:color="auto" w:sz="4" w:space="0"/>
              <w:right w:val="single" w:color="auto" w:sz="4" w:space="0"/>
            </w:tcBorders>
            <w:noWrap w:val="0"/>
            <w:vAlign w:val="center"/>
          </w:tcPr>
          <w:p w14:paraId="26582D4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0BD339B">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4B26C4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交通运输业</w:t>
            </w:r>
          </w:p>
        </w:tc>
        <w:tc>
          <w:tcPr>
            <w:tcW w:w="1440" w:type="dxa"/>
            <w:tcBorders>
              <w:top w:val="nil"/>
              <w:left w:val="nil"/>
              <w:bottom w:val="single" w:color="auto" w:sz="4" w:space="0"/>
              <w:right w:val="single" w:color="auto" w:sz="4" w:space="0"/>
            </w:tcBorders>
            <w:noWrap w:val="0"/>
            <w:vAlign w:val="center"/>
          </w:tcPr>
          <w:p w14:paraId="666A7C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1EACC1B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197A128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14:paraId="72DDD3E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0" w:type="dxa"/>
            <w:tcBorders>
              <w:top w:val="nil"/>
              <w:left w:val="nil"/>
              <w:bottom w:val="single" w:color="auto" w:sz="4" w:space="0"/>
              <w:right w:val="single" w:color="auto" w:sz="4" w:space="0"/>
            </w:tcBorders>
            <w:noWrap w:val="0"/>
            <w:vAlign w:val="center"/>
          </w:tcPr>
          <w:p w14:paraId="401372D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06BB3E0">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46A509D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2BA623F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19C57D1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42E7ECE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3000≤Y＜30000</w:t>
            </w:r>
          </w:p>
        </w:tc>
        <w:tc>
          <w:tcPr>
            <w:tcW w:w="1649" w:type="dxa"/>
            <w:tcBorders>
              <w:top w:val="nil"/>
              <w:left w:val="nil"/>
              <w:bottom w:val="single" w:color="auto" w:sz="4" w:space="0"/>
              <w:right w:val="single" w:color="auto" w:sz="4" w:space="0"/>
            </w:tcBorders>
            <w:noWrap w:val="0"/>
            <w:vAlign w:val="center"/>
          </w:tcPr>
          <w:p w14:paraId="6FDD1B6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200≤Y＜3000</w:t>
            </w:r>
          </w:p>
        </w:tc>
        <w:tc>
          <w:tcPr>
            <w:tcW w:w="1070" w:type="dxa"/>
            <w:tcBorders>
              <w:top w:val="nil"/>
              <w:left w:val="nil"/>
              <w:bottom w:val="single" w:color="auto" w:sz="4" w:space="0"/>
              <w:right w:val="single" w:color="auto" w:sz="4" w:space="0"/>
            </w:tcBorders>
            <w:noWrap w:val="0"/>
            <w:vAlign w:val="center"/>
          </w:tcPr>
          <w:p w14:paraId="04AC2E3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w:t>
            </w:r>
          </w:p>
        </w:tc>
      </w:tr>
      <w:tr w14:paraId="1D3CDBFB">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040EBDB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仓储业</w:t>
            </w:r>
          </w:p>
        </w:tc>
        <w:tc>
          <w:tcPr>
            <w:tcW w:w="1440" w:type="dxa"/>
            <w:tcBorders>
              <w:top w:val="nil"/>
              <w:left w:val="nil"/>
              <w:bottom w:val="single" w:color="auto" w:sz="4" w:space="0"/>
              <w:right w:val="single" w:color="auto" w:sz="4" w:space="0"/>
            </w:tcBorders>
            <w:noWrap w:val="0"/>
            <w:vAlign w:val="center"/>
          </w:tcPr>
          <w:p w14:paraId="1748468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52459FC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64F0922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w:t>
            </w:r>
          </w:p>
        </w:tc>
        <w:tc>
          <w:tcPr>
            <w:tcW w:w="1649" w:type="dxa"/>
            <w:tcBorders>
              <w:top w:val="nil"/>
              <w:left w:val="nil"/>
              <w:bottom w:val="single" w:color="auto" w:sz="4" w:space="0"/>
              <w:right w:val="single" w:color="auto" w:sz="4" w:space="0"/>
            </w:tcBorders>
            <w:noWrap w:val="0"/>
            <w:vAlign w:val="center"/>
          </w:tcPr>
          <w:p w14:paraId="06360CA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20≤X＜100</w:t>
            </w:r>
          </w:p>
        </w:tc>
        <w:tc>
          <w:tcPr>
            <w:tcW w:w="1070" w:type="dxa"/>
            <w:tcBorders>
              <w:top w:val="nil"/>
              <w:left w:val="nil"/>
              <w:bottom w:val="single" w:color="auto" w:sz="4" w:space="0"/>
              <w:right w:val="single" w:color="auto" w:sz="4" w:space="0"/>
            </w:tcBorders>
            <w:noWrap w:val="0"/>
            <w:vAlign w:val="center"/>
          </w:tcPr>
          <w:p w14:paraId="7DD305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19857AEB">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6E5FE35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00FDE4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3411505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471006A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1000≤Y＜30000</w:t>
            </w:r>
          </w:p>
        </w:tc>
        <w:tc>
          <w:tcPr>
            <w:tcW w:w="1649" w:type="dxa"/>
            <w:tcBorders>
              <w:top w:val="nil"/>
              <w:left w:val="nil"/>
              <w:bottom w:val="single" w:color="auto" w:sz="4" w:space="0"/>
              <w:right w:val="single" w:color="auto" w:sz="4" w:space="0"/>
            </w:tcBorders>
            <w:noWrap w:val="0"/>
            <w:vAlign w:val="center"/>
          </w:tcPr>
          <w:p w14:paraId="10811E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0" w:type="dxa"/>
            <w:tcBorders>
              <w:top w:val="nil"/>
              <w:left w:val="nil"/>
              <w:bottom w:val="single" w:color="auto" w:sz="4" w:space="0"/>
              <w:right w:val="single" w:color="auto" w:sz="4" w:space="0"/>
            </w:tcBorders>
            <w:noWrap w:val="0"/>
            <w:vAlign w:val="center"/>
          </w:tcPr>
          <w:p w14:paraId="1AF2209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ED2FCF">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4357C55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邮政业</w:t>
            </w:r>
          </w:p>
        </w:tc>
        <w:tc>
          <w:tcPr>
            <w:tcW w:w="1440" w:type="dxa"/>
            <w:tcBorders>
              <w:top w:val="nil"/>
              <w:left w:val="nil"/>
              <w:bottom w:val="single" w:color="auto" w:sz="4" w:space="0"/>
              <w:right w:val="single" w:color="auto" w:sz="4" w:space="0"/>
            </w:tcBorders>
            <w:noWrap w:val="0"/>
            <w:vAlign w:val="center"/>
          </w:tcPr>
          <w:p w14:paraId="448887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4026BCB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27A0238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14:paraId="4D0B575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20≤X＜300</w:t>
            </w:r>
          </w:p>
        </w:tc>
        <w:tc>
          <w:tcPr>
            <w:tcW w:w="1070" w:type="dxa"/>
            <w:tcBorders>
              <w:top w:val="nil"/>
              <w:left w:val="nil"/>
              <w:bottom w:val="single" w:color="auto" w:sz="4" w:space="0"/>
              <w:right w:val="single" w:color="auto" w:sz="4" w:space="0"/>
            </w:tcBorders>
            <w:noWrap w:val="0"/>
            <w:vAlign w:val="center"/>
          </w:tcPr>
          <w:p w14:paraId="4107228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X＜20</w:t>
            </w:r>
          </w:p>
        </w:tc>
      </w:tr>
      <w:tr w14:paraId="64AD8584">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24FB61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45D8E2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097BE5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71B1878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2000≤Y＜30000</w:t>
            </w:r>
          </w:p>
        </w:tc>
        <w:tc>
          <w:tcPr>
            <w:tcW w:w="1649" w:type="dxa"/>
            <w:tcBorders>
              <w:top w:val="nil"/>
              <w:left w:val="nil"/>
              <w:bottom w:val="single" w:color="auto" w:sz="4" w:space="0"/>
              <w:right w:val="single" w:color="auto" w:sz="4" w:space="0"/>
            </w:tcBorders>
            <w:noWrap w:val="0"/>
            <w:vAlign w:val="center"/>
          </w:tcPr>
          <w:p w14:paraId="482E378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14:paraId="49FB2A0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1D4BFDA6">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0AEA9B5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住宿业</w:t>
            </w:r>
          </w:p>
        </w:tc>
        <w:tc>
          <w:tcPr>
            <w:tcW w:w="1440" w:type="dxa"/>
            <w:tcBorders>
              <w:top w:val="nil"/>
              <w:left w:val="nil"/>
              <w:bottom w:val="single" w:color="auto" w:sz="4" w:space="0"/>
              <w:right w:val="single" w:color="auto" w:sz="4" w:space="0"/>
            </w:tcBorders>
            <w:noWrap w:val="0"/>
            <w:vAlign w:val="center"/>
          </w:tcPr>
          <w:p w14:paraId="79A7E09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4C4A905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44A65A4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14:paraId="4944D7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1BB1A51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3C237F1">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7A367F9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5AF6E85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5D910EC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027D337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9" w:type="dxa"/>
            <w:tcBorders>
              <w:top w:val="nil"/>
              <w:left w:val="nil"/>
              <w:bottom w:val="single" w:color="auto" w:sz="4" w:space="0"/>
              <w:right w:val="single" w:color="auto" w:sz="4" w:space="0"/>
            </w:tcBorders>
            <w:noWrap w:val="0"/>
            <w:vAlign w:val="center"/>
          </w:tcPr>
          <w:p w14:paraId="40CB1E9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14:paraId="03F44BB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49EA166E">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0926372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餐饮业</w:t>
            </w:r>
          </w:p>
        </w:tc>
        <w:tc>
          <w:tcPr>
            <w:tcW w:w="1440" w:type="dxa"/>
            <w:tcBorders>
              <w:top w:val="nil"/>
              <w:left w:val="nil"/>
              <w:bottom w:val="single" w:color="auto" w:sz="4" w:space="0"/>
              <w:right w:val="single" w:color="auto" w:sz="4" w:space="0"/>
            </w:tcBorders>
            <w:noWrap w:val="0"/>
            <w:vAlign w:val="center"/>
          </w:tcPr>
          <w:p w14:paraId="3C83F9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76391B6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46C685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14:paraId="6A61BFC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4D67FC2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060E67A9">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09D84C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6FCE3B3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74CC56C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1472A9E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2000≤Y＜10000</w:t>
            </w:r>
          </w:p>
        </w:tc>
        <w:tc>
          <w:tcPr>
            <w:tcW w:w="1649" w:type="dxa"/>
            <w:tcBorders>
              <w:top w:val="nil"/>
              <w:left w:val="nil"/>
              <w:bottom w:val="single" w:color="auto" w:sz="4" w:space="0"/>
              <w:right w:val="single" w:color="auto" w:sz="4" w:space="0"/>
            </w:tcBorders>
            <w:noWrap w:val="0"/>
            <w:vAlign w:val="center"/>
          </w:tcPr>
          <w:p w14:paraId="5290C97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100≤Y＜2000</w:t>
            </w:r>
          </w:p>
        </w:tc>
        <w:tc>
          <w:tcPr>
            <w:tcW w:w="1070" w:type="dxa"/>
            <w:tcBorders>
              <w:top w:val="nil"/>
              <w:left w:val="nil"/>
              <w:bottom w:val="single" w:color="auto" w:sz="4" w:space="0"/>
              <w:right w:val="single" w:color="auto" w:sz="4" w:space="0"/>
            </w:tcBorders>
            <w:noWrap w:val="0"/>
            <w:vAlign w:val="center"/>
          </w:tcPr>
          <w:p w14:paraId="1E53D4E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CC032D7">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43C09C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信息传输业</w:t>
            </w:r>
          </w:p>
        </w:tc>
        <w:tc>
          <w:tcPr>
            <w:tcW w:w="1440" w:type="dxa"/>
            <w:tcBorders>
              <w:top w:val="nil"/>
              <w:left w:val="nil"/>
              <w:bottom w:val="single" w:color="auto" w:sz="4" w:space="0"/>
              <w:right w:val="single" w:color="auto" w:sz="4" w:space="0"/>
            </w:tcBorders>
            <w:noWrap w:val="0"/>
            <w:vAlign w:val="center"/>
          </w:tcPr>
          <w:p w14:paraId="54E9EE5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5661C29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296F5B3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100≤X＜2000</w:t>
            </w:r>
          </w:p>
        </w:tc>
        <w:tc>
          <w:tcPr>
            <w:tcW w:w="1649" w:type="dxa"/>
            <w:tcBorders>
              <w:top w:val="nil"/>
              <w:left w:val="nil"/>
              <w:bottom w:val="single" w:color="auto" w:sz="4" w:space="0"/>
              <w:right w:val="single" w:color="auto" w:sz="4" w:space="0"/>
            </w:tcBorders>
            <w:noWrap w:val="0"/>
            <w:vAlign w:val="center"/>
          </w:tcPr>
          <w:p w14:paraId="5354E84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2FAF6D9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6392B417">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7CC9123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155334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07440E3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4494409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1000≤Y＜100000</w:t>
            </w:r>
          </w:p>
        </w:tc>
        <w:tc>
          <w:tcPr>
            <w:tcW w:w="1649" w:type="dxa"/>
            <w:tcBorders>
              <w:top w:val="nil"/>
              <w:left w:val="nil"/>
              <w:bottom w:val="single" w:color="auto" w:sz="4" w:space="0"/>
              <w:right w:val="single" w:color="auto" w:sz="4" w:space="0"/>
            </w:tcBorders>
            <w:noWrap w:val="0"/>
            <w:vAlign w:val="center"/>
          </w:tcPr>
          <w:p w14:paraId="11A1D2E7">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100≤Y＜1000</w:t>
            </w:r>
          </w:p>
        </w:tc>
        <w:tc>
          <w:tcPr>
            <w:tcW w:w="1070" w:type="dxa"/>
            <w:tcBorders>
              <w:top w:val="nil"/>
              <w:left w:val="nil"/>
              <w:bottom w:val="single" w:color="auto" w:sz="4" w:space="0"/>
              <w:right w:val="single" w:color="auto" w:sz="4" w:space="0"/>
            </w:tcBorders>
            <w:noWrap w:val="0"/>
            <w:vAlign w:val="center"/>
          </w:tcPr>
          <w:p w14:paraId="187588F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68EF08C4">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5CB0B2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软件和信息技术服务业</w:t>
            </w:r>
          </w:p>
        </w:tc>
        <w:tc>
          <w:tcPr>
            <w:tcW w:w="1440" w:type="dxa"/>
            <w:tcBorders>
              <w:top w:val="nil"/>
              <w:left w:val="nil"/>
              <w:bottom w:val="single" w:color="auto" w:sz="4" w:space="0"/>
              <w:right w:val="single" w:color="auto" w:sz="4" w:space="0"/>
            </w:tcBorders>
            <w:noWrap w:val="0"/>
            <w:vAlign w:val="center"/>
          </w:tcPr>
          <w:p w14:paraId="3E05CF0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412DAAE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6EC1E4C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14:paraId="49A6D05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1265B94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75350211">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0D7CD1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797AA8E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3CF620D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5E67905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1000≤Y＜10000</w:t>
            </w:r>
          </w:p>
        </w:tc>
        <w:tc>
          <w:tcPr>
            <w:tcW w:w="1649" w:type="dxa"/>
            <w:tcBorders>
              <w:top w:val="nil"/>
              <w:left w:val="nil"/>
              <w:bottom w:val="single" w:color="auto" w:sz="4" w:space="0"/>
              <w:right w:val="single" w:color="auto" w:sz="4" w:space="0"/>
            </w:tcBorders>
            <w:noWrap w:val="0"/>
            <w:vAlign w:val="center"/>
          </w:tcPr>
          <w:p w14:paraId="5E67F49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50≤Y＜1000</w:t>
            </w:r>
          </w:p>
        </w:tc>
        <w:tc>
          <w:tcPr>
            <w:tcW w:w="1070" w:type="dxa"/>
            <w:tcBorders>
              <w:top w:val="nil"/>
              <w:left w:val="nil"/>
              <w:bottom w:val="single" w:color="auto" w:sz="4" w:space="0"/>
              <w:right w:val="single" w:color="auto" w:sz="4" w:space="0"/>
            </w:tcBorders>
            <w:noWrap w:val="0"/>
            <w:vAlign w:val="center"/>
          </w:tcPr>
          <w:p w14:paraId="1F7A6E4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w:t>
            </w:r>
          </w:p>
        </w:tc>
      </w:tr>
      <w:tr w14:paraId="51191FB9">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59B8C46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房地产开发经营</w:t>
            </w:r>
          </w:p>
        </w:tc>
        <w:tc>
          <w:tcPr>
            <w:tcW w:w="1440" w:type="dxa"/>
            <w:tcBorders>
              <w:top w:val="nil"/>
              <w:left w:val="nil"/>
              <w:bottom w:val="single" w:color="auto" w:sz="4" w:space="0"/>
              <w:right w:val="single" w:color="auto" w:sz="4" w:space="0"/>
            </w:tcBorders>
            <w:noWrap w:val="0"/>
            <w:vAlign w:val="center"/>
          </w:tcPr>
          <w:p w14:paraId="0FBF938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22BB060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203DDD8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1000≤Y＜200000</w:t>
            </w:r>
          </w:p>
        </w:tc>
        <w:tc>
          <w:tcPr>
            <w:tcW w:w="1649" w:type="dxa"/>
            <w:tcBorders>
              <w:top w:val="nil"/>
              <w:left w:val="nil"/>
              <w:bottom w:val="single" w:color="auto" w:sz="4" w:space="0"/>
              <w:right w:val="single" w:color="auto" w:sz="4" w:space="0"/>
            </w:tcBorders>
            <w:noWrap w:val="0"/>
            <w:vAlign w:val="center"/>
          </w:tcPr>
          <w:p w14:paraId="0C25C18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100≤X＜1000</w:t>
            </w:r>
          </w:p>
        </w:tc>
        <w:tc>
          <w:tcPr>
            <w:tcW w:w="1070" w:type="dxa"/>
            <w:tcBorders>
              <w:top w:val="nil"/>
              <w:left w:val="nil"/>
              <w:bottom w:val="single" w:color="auto" w:sz="4" w:space="0"/>
              <w:right w:val="single" w:color="auto" w:sz="4" w:space="0"/>
            </w:tcBorders>
            <w:noWrap w:val="0"/>
            <w:vAlign w:val="center"/>
          </w:tcPr>
          <w:p w14:paraId="2FA0211A">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4E6A9C4A">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4B375E7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30F8DDA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14:paraId="4D6AD9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7CA433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5000≤Z＜10000</w:t>
            </w:r>
          </w:p>
        </w:tc>
        <w:tc>
          <w:tcPr>
            <w:tcW w:w="1649" w:type="dxa"/>
            <w:tcBorders>
              <w:top w:val="nil"/>
              <w:left w:val="nil"/>
              <w:bottom w:val="single" w:color="auto" w:sz="4" w:space="0"/>
              <w:right w:val="single" w:color="auto" w:sz="4" w:space="0"/>
            </w:tcBorders>
            <w:noWrap w:val="0"/>
            <w:vAlign w:val="center"/>
          </w:tcPr>
          <w:p w14:paraId="75A9667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2000≤Y＜5000</w:t>
            </w:r>
          </w:p>
        </w:tc>
        <w:tc>
          <w:tcPr>
            <w:tcW w:w="1070" w:type="dxa"/>
            <w:tcBorders>
              <w:top w:val="nil"/>
              <w:left w:val="nil"/>
              <w:bottom w:val="single" w:color="auto" w:sz="4" w:space="0"/>
              <w:right w:val="single" w:color="auto" w:sz="4" w:space="0"/>
            </w:tcBorders>
            <w:noWrap w:val="0"/>
            <w:vAlign w:val="center"/>
          </w:tcPr>
          <w:p w14:paraId="44400D2C">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Y＜2000</w:t>
            </w:r>
          </w:p>
        </w:tc>
      </w:tr>
      <w:tr w14:paraId="2F9BE30C">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0CC0308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物业管理</w:t>
            </w:r>
          </w:p>
        </w:tc>
        <w:tc>
          <w:tcPr>
            <w:tcW w:w="1440" w:type="dxa"/>
            <w:tcBorders>
              <w:top w:val="nil"/>
              <w:left w:val="nil"/>
              <w:bottom w:val="single" w:color="auto" w:sz="4" w:space="0"/>
              <w:right w:val="single" w:color="auto" w:sz="4" w:space="0"/>
            </w:tcBorders>
            <w:noWrap w:val="0"/>
            <w:vAlign w:val="center"/>
          </w:tcPr>
          <w:p w14:paraId="4F483C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3126EA3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3FEA999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300≤X＜1000</w:t>
            </w:r>
          </w:p>
        </w:tc>
        <w:tc>
          <w:tcPr>
            <w:tcW w:w="1649" w:type="dxa"/>
            <w:tcBorders>
              <w:top w:val="nil"/>
              <w:left w:val="nil"/>
              <w:bottom w:val="single" w:color="auto" w:sz="4" w:space="0"/>
              <w:right w:val="single" w:color="auto" w:sz="4" w:space="0"/>
            </w:tcBorders>
            <w:noWrap w:val="0"/>
            <w:vAlign w:val="center"/>
          </w:tcPr>
          <w:p w14:paraId="7E4E982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070" w:type="dxa"/>
            <w:tcBorders>
              <w:top w:val="nil"/>
              <w:left w:val="nil"/>
              <w:bottom w:val="single" w:color="auto" w:sz="4" w:space="0"/>
              <w:right w:val="single" w:color="auto" w:sz="4" w:space="0"/>
            </w:tcBorders>
            <w:noWrap w:val="0"/>
            <w:vAlign w:val="center"/>
          </w:tcPr>
          <w:p w14:paraId="1742AF5D">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X＜100</w:t>
            </w:r>
          </w:p>
        </w:tc>
      </w:tr>
      <w:tr w14:paraId="1BDF88D0">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1190406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059708F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营业收入（Y）</w:t>
            </w:r>
          </w:p>
        </w:tc>
        <w:tc>
          <w:tcPr>
            <w:tcW w:w="1155" w:type="dxa"/>
            <w:tcBorders>
              <w:top w:val="nil"/>
              <w:left w:val="nil"/>
              <w:bottom w:val="single" w:color="auto" w:sz="4" w:space="0"/>
              <w:right w:val="single" w:color="auto" w:sz="4" w:space="0"/>
            </w:tcBorders>
            <w:noWrap w:val="0"/>
            <w:vAlign w:val="center"/>
          </w:tcPr>
          <w:p w14:paraId="7BF08C7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0F03612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1000≤Y＜5000</w:t>
            </w:r>
          </w:p>
        </w:tc>
        <w:tc>
          <w:tcPr>
            <w:tcW w:w="1649" w:type="dxa"/>
            <w:tcBorders>
              <w:top w:val="nil"/>
              <w:left w:val="nil"/>
              <w:bottom w:val="single" w:color="auto" w:sz="4" w:space="0"/>
              <w:right w:val="single" w:color="auto" w:sz="4" w:space="0"/>
            </w:tcBorders>
            <w:noWrap w:val="0"/>
            <w:vAlign w:val="center"/>
          </w:tcPr>
          <w:p w14:paraId="6FE3F96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500≤Y＜1000</w:t>
            </w:r>
          </w:p>
        </w:tc>
        <w:tc>
          <w:tcPr>
            <w:tcW w:w="1070" w:type="dxa"/>
            <w:tcBorders>
              <w:top w:val="nil"/>
              <w:left w:val="nil"/>
              <w:bottom w:val="single" w:color="auto" w:sz="4" w:space="0"/>
              <w:right w:val="single" w:color="auto" w:sz="4" w:space="0"/>
            </w:tcBorders>
            <w:noWrap w:val="0"/>
            <w:vAlign w:val="center"/>
          </w:tcPr>
          <w:p w14:paraId="1E0E22E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Y＜500</w:t>
            </w:r>
          </w:p>
        </w:tc>
      </w:tr>
      <w:tr w14:paraId="4CFB09DC">
        <w:tblPrEx>
          <w:tblCellMar>
            <w:top w:w="0" w:type="dxa"/>
            <w:left w:w="108" w:type="dxa"/>
            <w:bottom w:w="0" w:type="dxa"/>
            <w:right w:w="108" w:type="dxa"/>
          </w:tblCellMar>
        </w:tblPrEx>
        <w:trPr>
          <w:trHeight w:val="339" w:hRule="atLeast"/>
          <w:jc w:val="center"/>
        </w:trPr>
        <w:tc>
          <w:tcPr>
            <w:tcW w:w="1230" w:type="dxa"/>
            <w:vMerge w:val="restart"/>
            <w:tcBorders>
              <w:top w:val="nil"/>
              <w:left w:val="single" w:color="auto" w:sz="4" w:space="0"/>
              <w:bottom w:val="single" w:color="auto" w:sz="4" w:space="0"/>
              <w:right w:val="single" w:color="auto" w:sz="4" w:space="0"/>
            </w:tcBorders>
            <w:noWrap w:val="0"/>
            <w:vAlign w:val="bottom"/>
          </w:tcPr>
          <w:p w14:paraId="77042D68">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租赁和商务服务业</w:t>
            </w:r>
          </w:p>
        </w:tc>
        <w:tc>
          <w:tcPr>
            <w:tcW w:w="1440" w:type="dxa"/>
            <w:tcBorders>
              <w:top w:val="nil"/>
              <w:left w:val="nil"/>
              <w:bottom w:val="single" w:color="auto" w:sz="4" w:space="0"/>
              <w:right w:val="single" w:color="auto" w:sz="4" w:space="0"/>
            </w:tcBorders>
            <w:noWrap w:val="0"/>
            <w:vAlign w:val="center"/>
          </w:tcPr>
          <w:p w14:paraId="0E153D11">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6597DA1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654ADD6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14:paraId="4B37EF93">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7A19D97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r w14:paraId="1A2CDB16">
        <w:tblPrEx>
          <w:tblCellMar>
            <w:top w:w="0" w:type="dxa"/>
            <w:left w:w="108" w:type="dxa"/>
            <w:bottom w:w="0" w:type="dxa"/>
            <w:right w:w="108" w:type="dxa"/>
          </w:tblCellMar>
        </w:tblPrEx>
        <w:trPr>
          <w:trHeight w:val="339" w:hRule="atLeast"/>
          <w:jc w:val="center"/>
        </w:trPr>
        <w:tc>
          <w:tcPr>
            <w:tcW w:w="1230" w:type="dxa"/>
            <w:vMerge w:val="continue"/>
            <w:tcBorders>
              <w:top w:val="nil"/>
              <w:left w:val="single" w:color="auto" w:sz="4" w:space="0"/>
              <w:bottom w:val="single" w:color="auto" w:sz="4" w:space="0"/>
              <w:right w:val="single" w:color="auto" w:sz="4" w:space="0"/>
            </w:tcBorders>
            <w:noWrap w:val="0"/>
            <w:vAlign w:val="center"/>
          </w:tcPr>
          <w:p w14:paraId="61CB46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b/>
                <w:bCs/>
                <w:color w:val="auto"/>
                <w:kern w:val="0"/>
                <w:sz w:val="21"/>
                <w:szCs w:val="21"/>
                <w:highlight w:val="none"/>
              </w:rPr>
            </w:pPr>
          </w:p>
        </w:tc>
        <w:tc>
          <w:tcPr>
            <w:tcW w:w="1440" w:type="dxa"/>
            <w:tcBorders>
              <w:top w:val="nil"/>
              <w:left w:val="nil"/>
              <w:bottom w:val="single" w:color="auto" w:sz="4" w:space="0"/>
              <w:right w:val="single" w:color="auto" w:sz="4" w:space="0"/>
            </w:tcBorders>
            <w:noWrap w:val="0"/>
            <w:vAlign w:val="center"/>
          </w:tcPr>
          <w:p w14:paraId="39528BCB">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资产总额（Z）</w:t>
            </w:r>
          </w:p>
        </w:tc>
        <w:tc>
          <w:tcPr>
            <w:tcW w:w="1155" w:type="dxa"/>
            <w:tcBorders>
              <w:top w:val="nil"/>
              <w:left w:val="nil"/>
              <w:bottom w:val="single" w:color="auto" w:sz="4" w:space="0"/>
              <w:right w:val="single" w:color="auto" w:sz="4" w:space="0"/>
            </w:tcBorders>
            <w:noWrap w:val="0"/>
            <w:vAlign w:val="center"/>
          </w:tcPr>
          <w:p w14:paraId="3F4F98A9">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万元</w:t>
            </w:r>
          </w:p>
        </w:tc>
        <w:tc>
          <w:tcPr>
            <w:tcW w:w="2073" w:type="dxa"/>
            <w:tcBorders>
              <w:top w:val="nil"/>
              <w:left w:val="nil"/>
              <w:bottom w:val="single" w:color="auto" w:sz="4" w:space="0"/>
              <w:right w:val="single" w:color="auto" w:sz="4" w:space="0"/>
            </w:tcBorders>
            <w:noWrap w:val="0"/>
            <w:vAlign w:val="center"/>
          </w:tcPr>
          <w:p w14:paraId="518E9BA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8000≤Z＜120000</w:t>
            </w:r>
          </w:p>
        </w:tc>
        <w:tc>
          <w:tcPr>
            <w:tcW w:w="1649" w:type="dxa"/>
            <w:tcBorders>
              <w:top w:val="nil"/>
              <w:left w:val="nil"/>
              <w:bottom w:val="single" w:color="auto" w:sz="4" w:space="0"/>
              <w:right w:val="single" w:color="auto" w:sz="4" w:space="0"/>
            </w:tcBorders>
            <w:noWrap w:val="0"/>
            <w:vAlign w:val="center"/>
          </w:tcPr>
          <w:p w14:paraId="734B837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100≤Z＜8000</w:t>
            </w:r>
          </w:p>
        </w:tc>
        <w:tc>
          <w:tcPr>
            <w:tcW w:w="1070" w:type="dxa"/>
            <w:tcBorders>
              <w:top w:val="nil"/>
              <w:left w:val="nil"/>
              <w:bottom w:val="single" w:color="auto" w:sz="4" w:space="0"/>
              <w:right w:val="single" w:color="auto" w:sz="4" w:space="0"/>
            </w:tcBorders>
            <w:noWrap w:val="0"/>
            <w:vAlign w:val="center"/>
          </w:tcPr>
          <w:p w14:paraId="477D1362">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Y＜100</w:t>
            </w:r>
          </w:p>
        </w:tc>
      </w:tr>
      <w:tr w14:paraId="03268D67">
        <w:tblPrEx>
          <w:tblCellMar>
            <w:top w:w="0" w:type="dxa"/>
            <w:left w:w="108" w:type="dxa"/>
            <w:bottom w:w="0" w:type="dxa"/>
            <w:right w:w="108" w:type="dxa"/>
          </w:tblCellMar>
        </w:tblPrEx>
        <w:trPr>
          <w:trHeight w:val="349" w:hRule="atLeast"/>
          <w:jc w:val="center"/>
        </w:trPr>
        <w:tc>
          <w:tcPr>
            <w:tcW w:w="1230" w:type="dxa"/>
            <w:tcBorders>
              <w:top w:val="nil"/>
              <w:left w:val="single" w:color="auto" w:sz="4" w:space="0"/>
              <w:bottom w:val="single" w:color="auto" w:sz="4" w:space="0"/>
              <w:right w:val="single" w:color="auto" w:sz="4" w:space="0"/>
            </w:tcBorders>
            <w:noWrap w:val="0"/>
            <w:vAlign w:val="bottom"/>
          </w:tcPr>
          <w:p w14:paraId="7E7BB16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其他未列明行业</w:t>
            </w:r>
          </w:p>
        </w:tc>
        <w:tc>
          <w:tcPr>
            <w:tcW w:w="1440" w:type="dxa"/>
            <w:tcBorders>
              <w:top w:val="nil"/>
              <w:left w:val="nil"/>
              <w:bottom w:val="single" w:color="auto" w:sz="4" w:space="0"/>
              <w:right w:val="single" w:color="auto" w:sz="4" w:space="0"/>
            </w:tcBorders>
            <w:noWrap w:val="0"/>
            <w:vAlign w:val="center"/>
          </w:tcPr>
          <w:p w14:paraId="191FF75E">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从业人员（X）</w:t>
            </w:r>
          </w:p>
        </w:tc>
        <w:tc>
          <w:tcPr>
            <w:tcW w:w="1155" w:type="dxa"/>
            <w:tcBorders>
              <w:top w:val="nil"/>
              <w:left w:val="nil"/>
              <w:bottom w:val="single" w:color="auto" w:sz="4" w:space="0"/>
              <w:right w:val="single" w:color="auto" w:sz="4" w:space="0"/>
            </w:tcBorders>
            <w:noWrap w:val="0"/>
            <w:vAlign w:val="center"/>
          </w:tcPr>
          <w:p w14:paraId="6C3CD24F">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人</w:t>
            </w:r>
          </w:p>
        </w:tc>
        <w:tc>
          <w:tcPr>
            <w:tcW w:w="2073" w:type="dxa"/>
            <w:tcBorders>
              <w:top w:val="nil"/>
              <w:left w:val="nil"/>
              <w:bottom w:val="single" w:color="auto" w:sz="4" w:space="0"/>
              <w:right w:val="single" w:color="auto" w:sz="4" w:space="0"/>
            </w:tcBorders>
            <w:noWrap w:val="0"/>
            <w:vAlign w:val="center"/>
          </w:tcPr>
          <w:p w14:paraId="073EC605">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100≤X＜300</w:t>
            </w:r>
          </w:p>
        </w:tc>
        <w:tc>
          <w:tcPr>
            <w:tcW w:w="1649" w:type="dxa"/>
            <w:tcBorders>
              <w:top w:val="nil"/>
              <w:left w:val="nil"/>
              <w:bottom w:val="single" w:color="auto" w:sz="4" w:space="0"/>
              <w:right w:val="single" w:color="auto" w:sz="4" w:space="0"/>
            </w:tcBorders>
            <w:noWrap w:val="0"/>
            <w:vAlign w:val="center"/>
          </w:tcPr>
          <w:p w14:paraId="3269996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10≤X＜100</w:t>
            </w:r>
          </w:p>
        </w:tc>
        <w:tc>
          <w:tcPr>
            <w:tcW w:w="1070" w:type="dxa"/>
            <w:tcBorders>
              <w:top w:val="nil"/>
              <w:left w:val="nil"/>
              <w:bottom w:val="single" w:color="auto" w:sz="4" w:space="0"/>
              <w:right w:val="single" w:color="auto" w:sz="4" w:space="0"/>
            </w:tcBorders>
            <w:noWrap w:val="0"/>
            <w:vAlign w:val="center"/>
          </w:tcPr>
          <w:p w14:paraId="5E4F88A6">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00" w:lineRule="exact"/>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X＜10</w:t>
            </w:r>
          </w:p>
        </w:tc>
      </w:tr>
    </w:tbl>
    <w:p w14:paraId="02517A9F">
      <w:pPr>
        <w:shd w:val="clear"/>
        <w:topLinePunct/>
        <w:autoSpaceDE w:val="0"/>
        <w:autoSpaceDN w:val="0"/>
        <w:spacing w:before="0" w:beforeAutospacing="0" w:after="0" w:afterAutospacing="0" w:line="4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w:t>
      </w:r>
      <w:r>
        <w:rPr>
          <w:rFonts w:hint="eastAsia" w:ascii="宋体" w:hAnsi="宋体" w:eastAsia="宋体" w:cs="宋体"/>
          <w:color w:val="auto"/>
          <w:szCs w:val="21"/>
          <w:highlight w:val="none"/>
          <w:lang w:eastAsia="zh-CN"/>
        </w:rPr>
        <w:t>只需</w:t>
      </w:r>
      <w:r>
        <w:rPr>
          <w:rFonts w:hint="eastAsia" w:ascii="宋体" w:hAnsi="宋体" w:eastAsia="宋体" w:cs="宋体"/>
          <w:color w:val="auto"/>
          <w:szCs w:val="21"/>
          <w:highlight w:val="none"/>
        </w:rPr>
        <w:t>满足所列指标中的一项即可。</w:t>
      </w:r>
    </w:p>
    <w:p w14:paraId="1B660434">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5F7482B0">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77" w:name="_Toc6020"/>
      <w:bookmarkStart w:id="78" w:name="_Toc21169"/>
      <w:r>
        <w:rPr>
          <w:rFonts w:hint="eastAsia" w:ascii="宋体" w:hAnsi="宋体" w:eastAsia="宋体" w:cs="宋体"/>
          <w:b/>
          <w:bCs/>
          <w:color w:val="auto"/>
          <w:sz w:val="28"/>
          <w:szCs w:val="28"/>
          <w:highlight w:val="none"/>
        </w:rPr>
        <w:t>格式7  残疾人福利性单位声明函</w:t>
      </w:r>
      <w:bookmarkEnd w:id="77"/>
      <w:bookmarkEnd w:id="78"/>
    </w:p>
    <w:p w14:paraId="4B49357C">
      <w:pPr>
        <w:shd w:val="clear"/>
        <w:spacing w:before="0" w:beforeAutospacing="0" w:after="0" w:afterAutospacing="0" w:line="588" w:lineRule="exact"/>
        <w:rPr>
          <w:rFonts w:hint="eastAsia" w:ascii="宋体" w:hAnsi="宋体" w:eastAsia="宋体" w:cs="宋体"/>
          <w:b/>
          <w:color w:val="auto"/>
          <w:spacing w:val="6"/>
          <w:sz w:val="30"/>
          <w:szCs w:val="30"/>
          <w:highlight w:val="none"/>
        </w:rPr>
      </w:pPr>
    </w:p>
    <w:p w14:paraId="73DCD99E">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4354D7">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221F3027">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p>
    <w:p w14:paraId="1A47FB29">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C8B8C3E">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49724D82">
      <w:pPr>
        <w:shd w:val="clear"/>
        <w:topLinePunct/>
        <w:autoSpaceDE w:val="0"/>
        <w:autoSpaceDN w:val="0"/>
        <w:spacing w:before="0" w:beforeAutospacing="0" w:after="0" w:afterAutospacing="0" w:line="460" w:lineRule="exact"/>
        <w:jc w:val="center"/>
        <w:rPr>
          <w:rFonts w:hint="eastAsia" w:ascii="宋体" w:hAnsi="宋体" w:eastAsia="宋体" w:cs="宋体"/>
          <w:color w:val="auto"/>
          <w:spacing w:val="6"/>
          <w:szCs w:val="21"/>
          <w:highlight w:val="none"/>
        </w:rPr>
      </w:pPr>
    </w:p>
    <w:p w14:paraId="4FA093D4">
      <w:pPr>
        <w:shd w:val="clear"/>
        <w:spacing w:before="0" w:beforeAutospacing="0" w:after="0" w:afterAutospacing="0" w:line="240" w:lineRule="auto"/>
        <w:rPr>
          <w:rFonts w:hint="eastAsia" w:ascii="宋体" w:hAnsi="宋体" w:eastAsia="宋体" w:cs="宋体"/>
          <w:b/>
          <w:bCs/>
          <w:color w:val="auto"/>
          <w:sz w:val="28"/>
          <w:szCs w:val="28"/>
          <w:highlight w:val="none"/>
        </w:rPr>
      </w:pPr>
    </w:p>
    <w:p w14:paraId="6512EB01">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br w:type="page"/>
      </w:r>
      <w:bookmarkStart w:id="79" w:name="_Toc2988"/>
      <w:bookmarkStart w:id="80" w:name="_Toc19435"/>
      <w:r>
        <w:rPr>
          <w:rFonts w:hint="eastAsia" w:ascii="宋体" w:hAnsi="宋体" w:eastAsia="宋体" w:cs="宋体"/>
          <w:b/>
          <w:bCs/>
          <w:color w:val="auto"/>
          <w:sz w:val="28"/>
          <w:szCs w:val="28"/>
          <w:highlight w:val="none"/>
        </w:rPr>
        <w:t>格式</w:t>
      </w:r>
      <w:r>
        <w:rPr>
          <w:rFonts w:hint="eastAsia" w:ascii="宋体" w:hAnsi="宋体" w:eastAsia="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 xml:space="preserve">  监狱企业的证明材料文件</w:t>
      </w:r>
      <w:bookmarkEnd w:id="79"/>
      <w:bookmarkEnd w:id="80"/>
    </w:p>
    <w:p w14:paraId="57A5F4A2">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说明：</w:t>
      </w:r>
    </w:p>
    <w:p w14:paraId="55038266">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1.监狱企业参加</w:t>
      </w:r>
      <w:r>
        <w:rPr>
          <w:rFonts w:hint="eastAsia" w:ascii="宋体" w:hAnsi="宋体" w:cs="宋体"/>
          <w:color w:val="auto"/>
          <w:spacing w:val="6"/>
          <w:szCs w:val="21"/>
          <w:highlight w:val="none"/>
          <w:lang w:eastAsia="zh-CN"/>
        </w:rPr>
        <w:t>采购</w:t>
      </w:r>
      <w:r>
        <w:rPr>
          <w:rFonts w:hint="eastAsia" w:ascii="宋体" w:hAnsi="宋体" w:eastAsia="宋体" w:cs="宋体"/>
          <w:color w:val="auto"/>
          <w:spacing w:val="6"/>
          <w:szCs w:val="21"/>
          <w:highlight w:val="none"/>
        </w:rPr>
        <w:t>活动时，应当提供由省级以上监狱管理局、戒毒管理局（含新疆生产建设兵团）出具的属于监狱企业的证明文件。（</w:t>
      </w:r>
      <w:r>
        <w:rPr>
          <w:rFonts w:hint="eastAsia" w:ascii="宋体" w:hAnsi="宋体" w:eastAsia="宋体" w:cs="宋体"/>
          <w:color w:val="auto"/>
          <w:spacing w:val="6"/>
          <w:szCs w:val="21"/>
          <w:highlight w:val="none"/>
          <w:lang w:val="en-US" w:eastAsia="zh-CN"/>
        </w:rPr>
        <w:t>供应商</w:t>
      </w:r>
      <w:r>
        <w:rPr>
          <w:rFonts w:hint="eastAsia" w:ascii="宋体" w:hAnsi="宋体" w:eastAsia="宋体" w:cs="宋体"/>
          <w:color w:val="auto"/>
          <w:spacing w:val="6"/>
          <w:szCs w:val="21"/>
          <w:highlight w:val="none"/>
        </w:rPr>
        <w:t>如能够在线查询的材料，请提供查询网址链接，可以不用同时提供纸质材料，原件备查）</w:t>
      </w:r>
    </w:p>
    <w:p w14:paraId="542B3651">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2.未按上述要求提供、填写的，评标时不予以考虑。</w:t>
      </w:r>
    </w:p>
    <w:p w14:paraId="0225E6AA">
      <w:pPr>
        <w:shd w:val="clear"/>
        <w:spacing w:before="0" w:beforeAutospacing="0" w:after="0" w:afterAutospacing="0" w:line="588" w:lineRule="exact"/>
        <w:ind w:firstLine="444" w:firstLineChars="200"/>
        <w:rPr>
          <w:rFonts w:hint="eastAsia" w:ascii="宋体" w:hAnsi="宋体" w:eastAsia="宋体" w:cs="宋体"/>
          <w:color w:val="auto"/>
          <w:spacing w:val="6"/>
          <w:szCs w:val="21"/>
          <w:highlight w:val="none"/>
          <w:lang w:eastAsia="zh-CN"/>
        </w:rPr>
      </w:pPr>
      <w:r>
        <w:rPr>
          <w:rFonts w:hint="eastAsia" w:ascii="宋体" w:hAnsi="宋体" w:eastAsia="宋体" w:cs="宋体"/>
          <w:color w:val="auto"/>
          <w:spacing w:val="6"/>
          <w:szCs w:val="21"/>
          <w:highlight w:val="none"/>
          <w:lang w:eastAsia="zh-CN"/>
        </w:rPr>
        <w:t>（</w:t>
      </w:r>
      <w:r>
        <w:rPr>
          <w:rFonts w:hint="eastAsia" w:ascii="宋体" w:hAnsi="宋体" w:eastAsia="宋体" w:cs="宋体"/>
          <w:color w:val="auto"/>
          <w:spacing w:val="6"/>
          <w:szCs w:val="21"/>
          <w:highlight w:val="none"/>
        </w:rPr>
        <w:t>示例略</w:t>
      </w:r>
      <w:r>
        <w:rPr>
          <w:rFonts w:hint="eastAsia" w:ascii="宋体" w:hAnsi="宋体" w:eastAsia="宋体" w:cs="宋体"/>
          <w:color w:val="auto"/>
          <w:spacing w:val="6"/>
          <w:szCs w:val="21"/>
          <w:highlight w:val="none"/>
          <w:lang w:eastAsia="zh-CN"/>
        </w:rPr>
        <w:t>）</w:t>
      </w:r>
    </w:p>
    <w:p w14:paraId="238765CC">
      <w:pPr>
        <w:shd w:val="clear"/>
        <w:spacing w:before="0" w:beforeAutospacing="0" w:after="0" w:afterAutospacing="0" w:line="240" w:lineRule="auto"/>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CE172BB">
      <w:pPr>
        <w:shd w:val="clear"/>
        <w:spacing w:before="0" w:beforeAutospacing="0" w:after="0" w:afterAutospacing="0" w:line="240" w:lineRule="auto"/>
        <w:jc w:val="center"/>
        <w:outlineLvl w:val="1"/>
        <w:rPr>
          <w:rFonts w:hint="eastAsia" w:ascii="宋体" w:hAnsi="宋体" w:eastAsia="宋体" w:cs="宋体"/>
          <w:b/>
          <w:bCs/>
          <w:color w:val="auto"/>
          <w:kern w:val="44"/>
          <w:sz w:val="28"/>
          <w:szCs w:val="28"/>
          <w:highlight w:val="none"/>
        </w:rPr>
      </w:pPr>
      <w:bookmarkStart w:id="81" w:name="_Toc12752"/>
      <w:bookmarkStart w:id="82" w:name="_Toc10011"/>
      <w:r>
        <w:rPr>
          <w:rFonts w:hint="eastAsia" w:ascii="宋体" w:hAnsi="宋体" w:eastAsia="宋体" w:cs="宋体"/>
          <w:b/>
          <w:bCs/>
          <w:color w:val="auto"/>
          <w:kern w:val="44"/>
          <w:sz w:val="28"/>
          <w:szCs w:val="28"/>
          <w:highlight w:val="none"/>
        </w:rPr>
        <w:t>格式</w:t>
      </w:r>
      <w:r>
        <w:rPr>
          <w:rFonts w:hint="eastAsia" w:ascii="宋体" w:hAnsi="宋体" w:eastAsia="宋体" w:cs="宋体"/>
          <w:b/>
          <w:bCs/>
          <w:color w:val="auto"/>
          <w:kern w:val="44"/>
          <w:sz w:val="28"/>
          <w:szCs w:val="28"/>
          <w:highlight w:val="none"/>
          <w:lang w:val="en-US" w:eastAsia="zh-CN"/>
        </w:rPr>
        <w:t xml:space="preserve">9  </w:t>
      </w:r>
      <w:r>
        <w:rPr>
          <w:rFonts w:hint="eastAsia" w:ascii="宋体" w:hAnsi="宋体" w:eastAsia="宋体" w:cs="宋体"/>
          <w:b/>
          <w:bCs/>
          <w:color w:val="auto"/>
          <w:kern w:val="44"/>
          <w:sz w:val="28"/>
          <w:szCs w:val="28"/>
          <w:highlight w:val="none"/>
        </w:rPr>
        <w:t>成功案例一览表</w:t>
      </w:r>
      <w:bookmarkEnd w:id="81"/>
      <w:bookmarkEnd w:id="82"/>
    </w:p>
    <w:p w14:paraId="49F94C32">
      <w:pPr>
        <w:shd w:val="clear"/>
        <w:topLinePunct/>
        <w:autoSpaceDE w:val="0"/>
        <w:autoSpaceDN w:val="0"/>
        <w:adjustRightInd w:val="0"/>
        <w:snapToGrid w:val="0"/>
        <w:spacing w:before="0" w:beforeAutospacing="0" w:after="0" w:afterAutospacing="0" w:line="360" w:lineRule="auto"/>
        <w:ind w:left="2"/>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i/>
          <w:color w:val="auto"/>
          <w:szCs w:val="21"/>
          <w:highlight w:val="none"/>
        </w:rPr>
        <w:t>根据采购文件要求调整</w:t>
      </w:r>
      <w:r>
        <w:rPr>
          <w:rFonts w:hint="eastAsia" w:ascii="宋体" w:hAnsi="宋体" w:eastAsia="宋体" w:cs="宋体"/>
          <w:color w:val="auto"/>
          <w:szCs w:val="21"/>
          <w:highlight w:val="none"/>
        </w:rPr>
        <w:t>）</w:t>
      </w:r>
    </w:p>
    <w:tbl>
      <w:tblPr>
        <w:tblStyle w:val="35"/>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819"/>
        <w:gridCol w:w="864"/>
        <w:gridCol w:w="707"/>
        <w:gridCol w:w="744"/>
        <w:gridCol w:w="1221"/>
        <w:gridCol w:w="1161"/>
        <w:gridCol w:w="1065"/>
        <w:gridCol w:w="1737"/>
      </w:tblGrid>
      <w:tr w14:paraId="75B5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DE2A5B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819" w:type="dxa"/>
            <w:tcBorders>
              <w:top w:val="single" w:color="auto" w:sz="4" w:space="0"/>
              <w:left w:val="single" w:color="auto" w:sz="4" w:space="0"/>
              <w:bottom w:val="single" w:color="auto" w:sz="4" w:space="0"/>
              <w:right w:val="single" w:color="auto" w:sz="4" w:space="0"/>
            </w:tcBorders>
            <w:noWrap/>
            <w:vAlign w:val="center"/>
          </w:tcPr>
          <w:p w14:paraId="0E09E96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14:paraId="252A4149">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名称</w:t>
            </w:r>
          </w:p>
        </w:tc>
        <w:tc>
          <w:tcPr>
            <w:tcW w:w="864" w:type="dxa"/>
            <w:tcBorders>
              <w:top w:val="single" w:color="auto" w:sz="4" w:space="0"/>
              <w:left w:val="single" w:color="auto" w:sz="4" w:space="0"/>
              <w:bottom w:val="single" w:color="auto" w:sz="4" w:space="0"/>
              <w:right w:val="single" w:color="auto" w:sz="4" w:space="0"/>
            </w:tcBorders>
            <w:noWrap/>
            <w:vAlign w:val="center"/>
          </w:tcPr>
          <w:p w14:paraId="7EAB4E9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14:paraId="294631C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甲方</w:t>
            </w:r>
          </w:p>
        </w:tc>
        <w:tc>
          <w:tcPr>
            <w:tcW w:w="707" w:type="dxa"/>
            <w:tcBorders>
              <w:top w:val="single" w:color="auto" w:sz="4" w:space="0"/>
              <w:left w:val="single" w:color="auto" w:sz="4" w:space="0"/>
              <w:bottom w:val="single" w:color="auto" w:sz="4" w:space="0"/>
              <w:right w:val="single" w:color="auto" w:sz="4" w:space="0"/>
            </w:tcBorders>
            <w:noWrap/>
            <w:vAlign w:val="center"/>
          </w:tcPr>
          <w:p w14:paraId="14BE5C11">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合同时间</w:t>
            </w:r>
          </w:p>
        </w:tc>
        <w:tc>
          <w:tcPr>
            <w:tcW w:w="744" w:type="dxa"/>
            <w:tcBorders>
              <w:top w:val="single" w:color="auto" w:sz="4" w:space="0"/>
              <w:left w:val="single" w:color="auto" w:sz="4" w:space="0"/>
              <w:bottom w:val="single" w:color="auto" w:sz="4" w:space="0"/>
              <w:right w:val="single" w:color="auto" w:sz="4" w:space="0"/>
            </w:tcBorders>
            <w:noWrap/>
            <w:vAlign w:val="center"/>
          </w:tcPr>
          <w:p w14:paraId="79E9A94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w:t>
            </w:r>
          </w:p>
          <w:p w14:paraId="41D2267F">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金额</w:t>
            </w:r>
          </w:p>
        </w:tc>
        <w:tc>
          <w:tcPr>
            <w:tcW w:w="1221" w:type="dxa"/>
            <w:tcBorders>
              <w:top w:val="single" w:color="auto" w:sz="4" w:space="0"/>
              <w:left w:val="single" w:color="auto" w:sz="4" w:space="0"/>
              <w:bottom w:val="single" w:color="auto" w:sz="4" w:space="0"/>
              <w:right w:val="single" w:color="auto" w:sz="4" w:space="0"/>
            </w:tcBorders>
            <w:noWrap/>
            <w:vAlign w:val="center"/>
          </w:tcPr>
          <w:p w14:paraId="5D8CE75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合同主要</w:t>
            </w:r>
          </w:p>
          <w:p w14:paraId="125E064D">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c>
          <w:tcPr>
            <w:tcW w:w="1161" w:type="dxa"/>
            <w:tcBorders>
              <w:top w:val="single" w:color="auto" w:sz="4" w:space="0"/>
              <w:left w:val="single" w:color="auto" w:sz="4" w:space="0"/>
              <w:bottom w:val="single" w:color="auto" w:sz="4" w:space="0"/>
              <w:right w:val="single" w:color="auto" w:sz="4" w:space="0"/>
            </w:tcBorders>
            <w:noWrap/>
            <w:vAlign w:val="center"/>
          </w:tcPr>
          <w:p w14:paraId="7B16C59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  户</w:t>
            </w:r>
          </w:p>
          <w:p w14:paraId="2E7F789B">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联系人</w:t>
            </w:r>
          </w:p>
        </w:tc>
        <w:tc>
          <w:tcPr>
            <w:tcW w:w="1065" w:type="dxa"/>
            <w:tcBorders>
              <w:top w:val="single" w:color="auto" w:sz="4" w:space="0"/>
              <w:left w:val="single" w:color="auto" w:sz="4" w:space="0"/>
              <w:bottom w:val="single" w:color="auto" w:sz="4" w:space="0"/>
              <w:right w:val="single" w:color="auto" w:sz="4" w:space="0"/>
            </w:tcBorders>
            <w:noWrap/>
            <w:vAlign w:val="center"/>
          </w:tcPr>
          <w:p w14:paraId="0B211CC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用户联</w:t>
            </w:r>
          </w:p>
          <w:p w14:paraId="218668C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系电话</w:t>
            </w:r>
          </w:p>
        </w:tc>
        <w:tc>
          <w:tcPr>
            <w:tcW w:w="1737" w:type="dxa"/>
            <w:tcBorders>
              <w:top w:val="single" w:color="auto" w:sz="4" w:space="0"/>
              <w:left w:val="single" w:color="auto" w:sz="4" w:space="0"/>
              <w:bottom w:val="single" w:color="auto" w:sz="4" w:space="0"/>
              <w:right w:val="single" w:color="auto" w:sz="4" w:space="0"/>
            </w:tcBorders>
            <w:noWrap/>
            <w:vAlign w:val="center"/>
          </w:tcPr>
          <w:p w14:paraId="042C9160">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7B05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0FB2316">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19" w:type="dxa"/>
            <w:tcBorders>
              <w:top w:val="single" w:color="auto" w:sz="4" w:space="0"/>
              <w:left w:val="single" w:color="auto" w:sz="4" w:space="0"/>
              <w:bottom w:val="single" w:color="auto" w:sz="4" w:space="0"/>
              <w:right w:val="single" w:color="auto" w:sz="4" w:space="0"/>
            </w:tcBorders>
            <w:noWrap/>
            <w:vAlign w:val="center"/>
          </w:tcPr>
          <w:p w14:paraId="25443FF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1B5DC960">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5805698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4F3C8BD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4A445F8D">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5282F7A">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12A5A75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1627821F">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B90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757BE536">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819" w:type="dxa"/>
            <w:tcBorders>
              <w:top w:val="single" w:color="auto" w:sz="4" w:space="0"/>
              <w:left w:val="single" w:color="auto" w:sz="4" w:space="0"/>
              <w:bottom w:val="single" w:color="auto" w:sz="4" w:space="0"/>
              <w:right w:val="single" w:color="auto" w:sz="4" w:space="0"/>
            </w:tcBorders>
            <w:noWrap/>
            <w:vAlign w:val="center"/>
          </w:tcPr>
          <w:p w14:paraId="6809BF8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20C33C30">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22FF66DB">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52D3CF0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12291A70">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63BD92C2">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4E67907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01B15F0C">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2161D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4277A22">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9" w:type="dxa"/>
            <w:tcBorders>
              <w:top w:val="single" w:color="auto" w:sz="4" w:space="0"/>
              <w:left w:val="single" w:color="auto" w:sz="4" w:space="0"/>
              <w:bottom w:val="single" w:color="auto" w:sz="4" w:space="0"/>
              <w:right w:val="single" w:color="auto" w:sz="4" w:space="0"/>
            </w:tcBorders>
            <w:noWrap/>
            <w:vAlign w:val="center"/>
          </w:tcPr>
          <w:p w14:paraId="2A40D9B4">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00F794E9">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5239C3F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2E7A0981">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2279B04C">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30CE7DDA">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7341D81A">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4EDB39F1">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1CC7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1467166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819" w:type="dxa"/>
            <w:tcBorders>
              <w:top w:val="single" w:color="auto" w:sz="4" w:space="0"/>
              <w:left w:val="single" w:color="auto" w:sz="4" w:space="0"/>
              <w:bottom w:val="single" w:color="auto" w:sz="4" w:space="0"/>
              <w:right w:val="single" w:color="auto" w:sz="4" w:space="0"/>
            </w:tcBorders>
            <w:noWrap/>
            <w:vAlign w:val="center"/>
          </w:tcPr>
          <w:p w14:paraId="520D0E0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1A82EF7B">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364F2136">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0A5D621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3325ABF2">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129660E9">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299FAC95">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6AA5F04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27D8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5BB778E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819" w:type="dxa"/>
            <w:tcBorders>
              <w:top w:val="single" w:color="auto" w:sz="4" w:space="0"/>
              <w:left w:val="single" w:color="auto" w:sz="4" w:space="0"/>
              <w:bottom w:val="single" w:color="auto" w:sz="4" w:space="0"/>
              <w:right w:val="single" w:color="auto" w:sz="4" w:space="0"/>
            </w:tcBorders>
            <w:noWrap/>
            <w:vAlign w:val="center"/>
          </w:tcPr>
          <w:p w14:paraId="374D357F">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57F217A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56440931">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1C89A4A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3A6221C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321C0E0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5328AD01">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1A4FDAE9">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78A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0" w:type="dxa"/>
            <w:tcBorders>
              <w:top w:val="single" w:color="auto" w:sz="4" w:space="0"/>
              <w:left w:val="single" w:color="auto" w:sz="4" w:space="0"/>
              <w:bottom w:val="single" w:color="auto" w:sz="4" w:space="0"/>
              <w:right w:val="single" w:color="auto" w:sz="4" w:space="0"/>
            </w:tcBorders>
            <w:noWrap/>
            <w:vAlign w:val="center"/>
          </w:tcPr>
          <w:p w14:paraId="6BF8C616">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819" w:type="dxa"/>
            <w:tcBorders>
              <w:top w:val="single" w:color="auto" w:sz="4" w:space="0"/>
              <w:left w:val="single" w:color="auto" w:sz="4" w:space="0"/>
              <w:bottom w:val="single" w:color="auto" w:sz="4" w:space="0"/>
              <w:right w:val="single" w:color="auto" w:sz="4" w:space="0"/>
            </w:tcBorders>
            <w:noWrap/>
            <w:vAlign w:val="center"/>
          </w:tcPr>
          <w:p w14:paraId="40F2E44C">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14:paraId="187F518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07" w:type="dxa"/>
            <w:tcBorders>
              <w:top w:val="single" w:color="auto" w:sz="4" w:space="0"/>
              <w:left w:val="single" w:color="auto" w:sz="4" w:space="0"/>
              <w:bottom w:val="single" w:color="auto" w:sz="4" w:space="0"/>
              <w:right w:val="single" w:color="auto" w:sz="4" w:space="0"/>
            </w:tcBorders>
            <w:noWrap/>
            <w:vAlign w:val="top"/>
          </w:tcPr>
          <w:p w14:paraId="23AE19F5">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744" w:type="dxa"/>
            <w:tcBorders>
              <w:top w:val="single" w:color="auto" w:sz="4" w:space="0"/>
              <w:left w:val="single" w:color="auto" w:sz="4" w:space="0"/>
              <w:bottom w:val="single" w:color="auto" w:sz="4" w:space="0"/>
              <w:right w:val="single" w:color="auto" w:sz="4" w:space="0"/>
            </w:tcBorders>
            <w:noWrap/>
            <w:vAlign w:val="center"/>
          </w:tcPr>
          <w:p w14:paraId="3BCF25A3">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21" w:type="dxa"/>
            <w:tcBorders>
              <w:top w:val="single" w:color="auto" w:sz="4" w:space="0"/>
              <w:left w:val="single" w:color="auto" w:sz="4" w:space="0"/>
              <w:bottom w:val="single" w:color="auto" w:sz="4" w:space="0"/>
              <w:right w:val="single" w:color="auto" w:sz="4" w:space="0"/>
            </w:tcBorders>
            <w:noWrap/>
            <w:vAlign w:val="center"/>
          </w:tcPr>
          <w:p w14:paraId="54C37B1E">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61" w:type="dxa"/>
            <w:tcBorders>
              <w:top w:val="single" w:color="auto" w:sz="4" w:space="0"/>
              <w:left w:val="single" w:color="auto" w:sz="4" w:space="0"/>
              <w:bottom w:val="single" w:color="auto" w:sz="4" w:space="0"/>
              <w:right w:val="single" w:color="auto" w:sz="4" w:space="0"/>
            </w:tcBorders>
            <w:noWrap/>
            <w:vAlign w:val="center"/>
          </w:tcPr>
          <w:p w14:paraId="4B3B1DA9">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065" w:type="dxa"/>
            <w:tcBorders>
              <w:top w:val="single" w:color="auto" w:sz="4" w:space="0"/>
              <w:left w:val="single" w:color="auto" w:sz="4" w:space="0"/>
              <w:bottom w:val="single" w:color="auto" w:sz="4" w:space="0"/>
              <w:right w:val="single" w:color="auto" w:sz="4" w:space="0"/>
            </w:tcBorders>
            <w:noWrap/>
            <w:vAlign w:val="center"/>
          </w:tcPr>
          <w:p w14:paraId="6E71D868">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737" w:type="dxa"/>
            <w:tcBorders>
              <w:top w:val="single" w:color="auto" w:sz="4" w:space="0"/>
              <w:left w:val="single" w:color="auto" w:sz="4" w:space="0"/>
              <w:bottom w:val="single" w:color="auto" w:sz="4" w:space="0"/>
              <w:right w:val="single" w:color="auto" w:sz="4" w:space="0"/>
            </w:tcBorders>
            <w:noWrap/>
            <w:vAlign w:val="center"/>
          </w:tcPr>
          <w:p w14:paraId="1933ABC7">
            <w:pPr>
              <w:keepNext w:val="0"/>
              <w:keepLines w:val="0"/>
              <w:suppressLineNumbers w:val="0"/>
              <w:shd w:val="clear"/>
              <w:topLinePunct/>
              <w:autoSpaceDE w:val="0"/>
              <w:autoSpaceDN w:val="0"/>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14:paraId="79B712CA">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1A2A89C6">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1.提供</w:t>
      </w:r>
      <w:r>
        <w:rPr>
          <w:rFonts w:hint="eastAsia" w:ascii="宋体" w:hAnsi="宋体" w:cs="宋体"/>
          <w:color w:val="auto"/>
          <w:szCs w:val="21"/>
          <w:highlight w:val="none"/>
          <w:lang w:eastAsia="zh-CN"/>
        </w:rPr>
        <w:t>2023年2月1日</w:t>
      </w:r>
      <w:r>
        <w:rPr>
          <w:rFonts w:hint="eastAsia" w:ascii="宋体" w:hAnsi="宋体" w:eastAsia="宋体" w:cs="宋体"/>
          <w:color w:val="auto"/>
          <w:szCs w:val="21"/>
          <w:highlight w:val="none"/>
        </w:rPr>
        <w:t>以来（以合同签订日期为准），供应商独立承担的类似的项目案例。</w:t>
      </w:r>
    </w:p>
    <w:p w14:paraId="530B6051">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2.应提供合同复印件（线上采购项目提供扫描件，下同）。合同复印件应能清晰体现合同甲乙双方、合同时间、合同主要内容等，否则不能获得相应分值。</w:t>
      </w:r>
    </w:p>
    <w:p w14:paraId="7B7B89EA">
      <w:pPr>
        <w:shd w:val="clear"/>
        <w:topLinePunct/>
        <w:autoSpaceDE w:val="0"/>
        <w:autoSpaceDN w:val="0"/>
        <w:spacing w:before="0" w:beforeAutospacing="0" w:after="0" w:afterAutospacing="0" w:line="460" w:lineRule="exact"/>
        <w:jc w:val="center"/>
        <w:rPr>
          <w:rFonts w:hint="eastAsia" w:ascii="宋体" w:hAnsi="宋体" w:eastAsia="宋体" w:cs="宋体"/>
          <w:b/>
          <w:bCs/>
          <w:color w:val="auto"/>
          <w:sz w:val="36"/>
          <w:szCs w:val="36"/>
          <w:highlight w:val="none"/>
        </w:rPr>
      </w:pPr>
      <w:bookmarkStart w:id="83" w:name="_Toc18814"/>
      <w:bookmarkStart w:id="84" w:name="_Toc315564887"/>
      <w:bookmarkStart w:id="85" w:name="_Toc665197788"/>
      <w:bookmarkStart w:id="86" w:name="_Toc1062827402"/>
      <w:bookmarkStart w:id="87" w:name="_Toc2129800646"/>
      <w:bookmarkStart w:id="88" w:name="_Toc240142232"/>
      <w:bookmarkStart w:id="89" w:name="_Toc1093498656"/>
      <w:bookmarkStart w:id="90" w:name="_Toc989815653"/>
      <w:bookmarkStart w:id="91" w:name="_Toc579775874"/>
      <w:bookmarkStart w:id="92" w:name="_Toc1229686241"/>
    </w:p>
    <w:p w14:paraId="60350285">
      <w:pPr>
        <w:shd w:val="clear"/>
        <w:spacing w:before="0" w:beforeAutospacing="0" w:after="0" w:afterAutospacing="0" w:line="24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70BB5E8B">
      <w:pPr>
        <w:shd w:val="clear"/>
        <w:spacing w:before="0" w:beforeAutospacing="0" w:after="0" w:afterAutospacing="0" w:line="600" w:lineRule="auto"/>
        <w:jc w:val="center"/>
        <w:rPr>
          <w:rFonts w:hint="eastAsia" w:ascii="宋体" w:hAnsi="宋体" w:eastAsia="宋体" w:cs="宋体"/>
          <w:b/>
          <w:color w:val="auto"/>
          <w:kern w:val="0"/>
          <w:sz w:val="44"/>
          <w:szCs w:val="44"/>
          <w:highlight w:val="none"/>
        </w:rPr>
      </w:pPr>
    </w:p>
    <w:p w14:paraId="1D686A0F">
      <w:pPr>
        <w:shd w:val="clear"/>
        <w:spacing w:before="0" w:beforeAutospacing="0" w:after="0" w:afterAutospacing="0" w:line="240" w:lineRule="auto"/>
        <w:rPr>
          <w:rFonts w:hint="eastAsia" w:ascii="宋体" w:hAnsi="宋体" w:eastAsia="宋体" w:cs="宋体"/>
          <w:b/>
          <w:color w:val="auto"/>
          <w:kern w:val="0"/>
          <w:sz w:val="44"/>
          <w:szCs w:val="44"/>
          <w:highlight w:val="none"/>
        </w:rPr>
      </w:pPr>
    </w:p>
    <w:p w14:paraId="4B069317">
      <w:pPr>
        <w:shd w:val="clear"/>
        <w:spacing w:before="0" w:beforeAutospacing="0" w:after="0" w:afterAutospacing="0" w:line="240" w:lineRule="auto"/>
        <w:rPr>
          <w:rFonts w:hint="eastAsia" w:ascii="宋体" w:hAnsi="宋体" w:eastAsia="宋体" w:cs="宋体"/>
          <w:color w:val="auto"/>
          <w:highlight w:val="none"/>
        </w:rPr>
      </w:pPr>
    </w:p>
    <w:p w14:paraId="13A6CF0A">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响  应  文  件</w:t>
      </w:r>
    </w:p>
    <w:p w14:paraId="5B53A852">
      <w:pPr>
        <w:shd w:val="clear"/>
        <w:spacing w:before="0" w:beforeAutospacing="0" w:after="0" w:afterAutospacing="0" w:line="600" w:lineRule="auto"/>
        <w:jc w:val="center"/>
        <w:rPr>
          <w:rFonts w:hint="eastAsia" w:ascii="宋体" w:hAnsi="宋体" w:eastAsia="宋体" w:cs="宋体"/>
          <w:bCs/>
          <w:color w:val="auto"/>
          <w:kern w:val="0"/>
          <w:sz w:val="32"/>
          <w:szCs w:val="32"/>
          <w:highlight w:val="none"/>
        </w:rPr>
      </w:pPr>
      <w:r>
        <w:rPr>
          <w:rFonts w:hint="eastAsia" w:ascii="宋体" w:hAnsi="宋体" w:eastAsia="宋体" w:cs="宋体"/>
          <w:bCs/>
          <w:color w:val="auto"/>
          <w:kern w:val="0"/>
          <w:sz w:val="32"/>
          <w:szCs w:val="32"/>
          <w:highlight w:val="none"/>
        </w:rPr>
        <w:t>技术部分</w:t>
      </w:r>
    </w:p>
    <w:p w14:paraId="68CA6E23">
      <w:pPr>
        <w:shd w:val="clear"/>
        <w:spacing w:before="0" w:beforeAutospacing="0" w:after="0" w:afterAutospacing="0" w:line="360" w:lineRule="auto"/>
        <w:ind w:firstLine="640" w:firstLineChars="200"/>
        <w:jc w:val="center"/>
        <w:rPr>
          <w:rFonts w:hint="eastAsia" w:ascii="宋体" w:hAnsi="宋体" w:eastAsia="宋体" w:cs="宋体"/>
          <w:color w:val="auto"/>
          <w:kern w:val="0"/>
          <w:sz w:val="32"/>
          <w:szCs w:val="32"/>
          <w:highlight w:val="none"/>
        </w:rPr>
      </w:pPr>
    </w:p>
    <w:p w14:paraId="07D4754F">
      <w:pPr>
        <w:shd w:val="clear"/>
        <w:spacing w:before="0" w:beforeAutospacing="0" w:after="0" w:afterAutospacing="0"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（填写正本或副本）</w:t>
      </w:r>
    </w:p>
    <w:p w14:paraId="189A1153">
      <w:pPr>
        <w:shd w:val="clear"/>
        <w:spacing w:before="0" w:beforeAutospacing="0" w:after="0" w:afterAutospacing="0" w:line="360" w:lineRule="auto"/>
        <w:ind w:firstLine="480" w:firstLineChars="200"/>
        <w:jc w:val="center"/>
        <w:rPr>
          <w:rFonts w:hint="eastAsia" w:ascii="宋体" w:hAnsi="宋体" w:eastAsia="宋体" w:cs="宋体"/>
          <w:bCs/>
          <w:color w:val="auto"/>
          <w:kern w:val="0"/>
          <w:sz w:val="24"/>
          <w:szCs w:val="24"/>
          <w:highlight w:val="none"/>
        </w:rPr>
      </w:pPr>
    </w:p>
    <w:p w14:paraId="0687DE0A">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05E058D5">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4CD51616">
      <w:pPr>
        <w:shd w:val="clear"/>
        <w:spacing w:before="0" w:beforeAutospacing="0" w:after="0" w:afterAutospacing="0" w:line="240" w:lineRule="auto"/>
        <w:rPr>
          <w:rFonts w:hint="eastAsia" w:ascii="宋体" w:hAnsi="宋体" w:eastAsia="宋体" w:cs="宋体"/>
          <w:bCs/>
          <w:color w:val="auto"/>
          <w:kern w:val="0"/>
          <w:sz w:val="24"/>
          <w:szCs w:val="24"/>
          <w:highlight w:val="none"/>
        </w:rPr>
      </w:pPr>
    </w:p>
    <w:p w14:paraId="2E2FB667">
      <w:pPr>
        <w:shd w:val="clear"/>
        <w:spacing w:before="0" w:beforeAutospacing="0" w:after="0" w:afterAutospacing="0" w:line="240" w:lineRule="auto"/>
        <w:rPr>
          <w:rFonts w:hint="eastAsia" w:ascii="宋体" w:hAnsi="宋体" w:eastAsia="宋体" w:cs="宋体"/>
          <w:color w:val="auto"/>
          <w:highlight w:val="none"/>
        </w:rPr>
      </w:pPr>
    </w:p>
    <w:p w14:paraId="505D6D70">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项目名称：</w:t>
      </w:r>
      <w:r>
        <w:rPr>
          <w:rFonts w:hint="eastAsia" w:ascii="宋体" w:hAnsi="宋体" w:eastAsia="宋体" w:cs="宋体"/>
          <w:bCs/>
          <w:color w:val="auto"/>
          <w:kern w:val="0"/>
          <w:sz w:val="24"/>
          <w:szCs w:val="24"/>
          <w:highlight w:val="none"/>
          <w:u w:val="single"/>
        </w:rPr>
        <w:t xml:space="preserve">               </w:t>
      </w:r>
    </w:p>
    <w:p w14:paraId="6EFFB493">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项目编号：</w:t>
      </w:r>
      <w:r>
        <w:rPr>
          <w:rFonts w:hint="eastAsia" w:ascii="宋体" w:hAnsi="宋体" w:eastAsia="宋体" w:cs="宋体"/>
          <w:bCs/>
          <w:color w:val="auto"/>
          <w:kern w:val="0"/>
          <w:sz w:val="24"/>
          <w:szCs w:val="24"/>
          <w:highlight w:val="none"/>
          <w:u w:val="single"/>
        </w:rPr>
        <w:t xml:space="preserve">               </w:t>
      </w:r>
    </w:p>
    <w:p w14:paraId="4D454973">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所投采购包：</w:t>
      </w:r>
      <w:r>
        <w:rPr>
          <w:rFonts w:hint="eastAsia" w:ascii="宋体" w:hAnsi="宋体" w:eastAsia="宋体" w:cs="宋体"/>
          <w:bCs/>
          <w:color w:val="auto"/>
          <w:kern w:val="0"/>
          <w:sz w:val="24"/>
          <w:szCs w:val="24"/>
          <w:highlight w:val="none"/>
          <w:u w:val="single"/>
        </w:rPr>
        <w:t xml:space="preserve">             </w:t>
      </w:r>
    </w:p>
    <w:p w14:paraId="76422BF4">
      <w:pPr>
        <w:shd w:val="clear"/>
        <w:spacing w:before="0" w:beforeAutospacing="0" w:after="0" w:afterAutospacing="0" w:line="360" w:lineRule="auto"/>
        <w:ind w:left="1470" w:leftChars="700" w:firstLine="480" w:firstLineChars="200"/>
        <w:jc w:val="center"/>
        <w:rPr>
          <w:rFonts w:hint="eastAsia" w:ascii="宋体" w:hAnsi="宋体" w:eastAsia="宋体" w:cs="宋体"/>
          <w:bCs/>
          <w:color w:val="auto"/>
          <w:kern w:val="0"/>
          <w:sz w:val="24"/>
          <w:szCs w:val="24"/>
          <w:highlight w:val="none"/>
        </w:rPr>
      </w:pPr>
    </w:p>
    <w:p w14:paraId="082EEF8B">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供应商：</w:t>
      </w:r>
      <w:r>
        <w:rPr>
          <w:rFonts w:hint="eastAsia" w:ascii="宋体" w:hAnsi="宋体" w:eastAsia="宋体" w:cs="宋体"/>
          <w:bCs/>
          <w:color w:val="auto"/>
          <w:kern w:val="0"/>
          <w:sz w:val="24"/>
          <w:szCs w:val="24"/>
          <w:highlight w:val="none"/>
          <w:u w:val="single"/>
        </w:rPr>
        <w:t xml:space="preserve">                 </w:t>
      </w:r>
    </w:p>
    <w:p w14:paraId="7761D028">
      <w:pPr>
        <w:shd w:val="clear"/>
        <w:spacing w:before="0" w:beforeAutospacing="0" w:after="0" w:afterAutospacing="0" w:line="360" w:lineRule="auto"/>
        <w:ind w:left="1470" w:leftChars="700" w:firstLine="1680" w:firstLineChars="7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日  期：</w:t>
      </w:r>
      <w:r>
        <w:rPr>
          <w:rFonts w:hint="eastAsia" w:ascii="宋体" w:hAnsi="宋体" w:eastAsia="宋体" w:cs="宋体"/>
          <w:bCs/>
          <w:color w:val="auto"/>
          <w:kern w:val="0"/>
          <w:sz w:val="24"/>
          <w:szCs w:val="24"/>
          <w:highlight w:val="none"/>
          <w:u w:val="single"/>
        </w:rPr>
        <w:t xml:space="preserve">                 </w:t>
      </w:r>
    </w:p>
    <w:p w14:paraId="44A53DB2">
      <w:pPr>
        <w:widowControl/>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End w:id="83"/>
      <w:bookmarkEnd w:id="84"/>
      <w:bookmarkEnd w:id="85"/>
      <w:bookmarkEnd w:id="86"/>
      <w:bookmarkEnd w:id="87"/>
      <w:bookmarkEnd w:id="88"/>
      <w:bookmarkEnd w:id="89"/>
      <w:bookmarkEnd w:id="90"/>
      <w:bookmarkEnd w:id="91"/>
      <w:bookmarkEnd w:id="92"/>
      <w:bookmarkStart w:id="93" w:name="_Toc21150"/>
      <w:r>
        <w:rPr>
          <w:rFonts w:hint="eastAsia" w:ascii="宋体" w:hAnsi="宋体" w:eastAsia="宋体" w:cs="宋体"/>
          <w:b/>
          <w:bCs/>
          <w:color w:val="auto"/>
          <w:sz w:val="28"/>
          <w:szCs w:val="28"/>
          <w:highlight w:val="none"/>
        </w:rPr>
        <w:t>格式</w:t>
      </w:r>
      <w:r>
        <w:rPr>
          <w:rFonts w:hint="eastAsia" w:ascii="宋体" w:hAnsi="宋体" w:cs="宋体"/>
          <w:b/>
          <w:bCs/>
          <w:color w:val="auto"/>
          <w:sz w:val="28"/>
          <w:szCs w:val="28"/>
          <w:highlight w:val="none"/>
          <w:lang w:val="en-US" w:eastAsia="zh-CN"/>
        </w:rPr>
        <w:t>10</w:t>
      </w:r>
      <w:r>
        <w:rPr>
          <w:rFonts w:hint="eastAsia" w:ascii="宋体" w:hAnsi="宋体" w:eastAsia="宋体" w:cs="宋体"/>
          <w:b/>
          <w:bCs/>
          <w:color w:val="auto"/>
          <w:sz w:val="28"/>
          <w:szCs w:val="28"/>
          <w:highlight w:val="none"/>
        </w:rPr>
        <w:t xml:space="preserve"> 技术条款偏离表</w:t>
      </w:r>
      <w:bookmarkEnd w:id="93"/>
    </w:p>
    <w:tbl>
      <w:tblPr>
        <w:tblStyle w:val="35"/>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14:paraId="2F63C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2E0CA684">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16" w:type="dxa"/>
            <w:noWrap/>
            <w:vAlign w:val="top"/>
          </w:tcPr>
          <w:p w14:paraId="67DF8679">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14:paraId="4AC81DC5">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技术部分序号</w:t>
            </w:r>
          </w:p>
        </w:tc>
        <w:tc>
          <w:tcPr>
            <w:tcW w:w="2116" w:type="dxa"/>
            <w:noWrap/>
            <w:vAlign w:val="center"/>
          </w:tcPr>
          <w:p w14:paraId="137C27C9">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采购文件</w:t>
            </w:r>
          </w:p>
          <w:p w14:paraId="106153D4">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技术部分内容要求</w:t>
            </w:r>
          </w:p>
        </w:tc>
        <w:tc>
          <w:tcPr>
            <w:tcW w:w="1684" w:type="dxa"/>
            <w:noWrap/>
            <w:vAlign w:val="center"/>
          </w:tcPr>
          <w:p w14:paraId="60004A1A">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响应文件</w:t>
            </w:r>
          </w:p>
          <w:p w14:paraId="55D6CC45">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应答情况</w:t>
            </w:r>
          </w:p>
        </w:tc>
        <w:tc>
          <w:tcPr>
            <w:tcW w:w="2090" w:type="dxa"/>
            <w:noWrap/>
            <w:vAlign w:val="center"/>
          </w:tcPr>
          <w:p w14:paraId="2B37FB80">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偏离（无/正/负）</w:t>
            </w:r>
          </w:p>
        </w:tc>
        <w:tc>
          <w:tcPr>
            <w:tcW w:w="832" w:type="dxa"/>
            <w:noWrap/>
            <w:vAlign w:val="center"/>
          </w:tcPr>
          <w:p w14:paraId="5A4EC5F4">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tc>
      </w:tr>
      <w:tr w14:paraId="5CBC4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1CACEBB">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16" w:type="dxa"/>
            <w:noWrap/>
            <w:vAlign w:val="center"/>
          </w:tcPr>
          <w:p w14:paraId="35D23EAC">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14:paraId="06ABBC23">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14:paraId="591C1740">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13E1C595">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03749B73">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1C330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5DB5686">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16" w:type="dxa"/>
            <w:noWrap/>
            <w:vAlign w:val="center"/>
          </w:tcPr>
          <w:p w14:paraId="3045C20D">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14:paraId="4D1D1073">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14:paraId="070490F7">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043DCA04">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793EB088">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73BCC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7ABA2AB">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16" w:type="dxa"/>
            <w:noWrap/>
            <w:vAlign w:val="center"/>
          </w:tcPr>
          <w:p w14:paraId="26DEFFB7">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14:paraId="56C5CADD">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14:paraId="7ECB3B5D">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188AAD38">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2C00F3DA">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0AE05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16314CD7">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16" w:type="dxa"/>
            <w:noWrap/>
            <w:vAlign w:val="center"/>
          </w:tcPr>
          <w:p w14:paraId="19778AE9">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2116" w:type="dxa"/>
            <w:noWrap/>
            <w:vAlign w:val="center"/>
          </w:tcPr>
          <w:p w14:paraId="0B539FD0">
            <w:pPr>
              <w:keepNext w:val="0"/>
              <w:keepLines w:val="0"/>
              <w:suppressLineNumbers w:val="0"/>
              <w:shd w:val="clear"/>
              <w:adjustRightInd w:val="0"/>
              <w:snapToGrid w:val="0"/>
              <w:spacing w:before="0" w:beforeAutospacing="0" w:after="0" w:afterAutospacing="0" w:line="240" w:lineRule="auto"/>
              <w:ind w:left="50" w:leftChars="24" w:right="55" w:rightChars="26"/>
              <w:jc w:val="center"/>
              <w:rPr>
                <w:rFonts w:hint="eastAsia" w:ascii="宋体" w:hAnsi="宋体" w:eastAsia="宋体" w:cs="宋体"/>
                <w:color w:val="auto"/>
                <w:szCs w:val="21"/>
                <w:highlight w:val="none"/>
              </w:rPr>
            </w:pPr>
          </w:p>
        </w:tc>
        <w:tc>
          <w:tcPr>
            <w:tcW w:w="1684" w:type="dxa"/>
            <w:noWrap/>
            <w:vAlign w:val="center"/>
          </w:tcPr>
          <w:p w14:paraId="1C91A806">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51B7D2EE">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6D2BC5F1">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8A2D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76EBF590">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16" w:type="dxa"/>
            <w:noWrap/>
            <w:vAlign w:val="center"/>
          </w:tcPr>
          <w:p w14:paraId="0616FFE1">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116" w:type="dxa"/>
            <w:noWrap/>
            <w:vAlign w:val="center"/>
          </w:tcPr>
          <w:p w14:paraId="2AFD490B">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84" w:type="dxa"/>
            <w:noWrap/>
            <w:vAlign w:val="center"/>
          </w:tcPr>
          <w:p w14:paraId="4E9F1D6C">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53F86448">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44A2128C">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70E8D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14:paraId="33C0D484">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516" w:type="dxa"/>
            <w:noWrap/>
            <w:vAlign w:val="center"/>
          </w:tcPr>
          <w:p w14:paraId="57CF3F37">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116" w:type="dxa"/>
            <w:noWrap/>
            <w:vAlign w:val="center"/>
          </w:tcPr>
          <w:p w14:paraId="0F137943">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684" w:type="dxa"/>
            <w:noWrap/>
            <w:vAlign w:val="center"/>
          </w:tcPr>
          <w:p w14:paraId="6A863172">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2090" w:type="dxa"/>
            <w:noWrap/>
            <w:vAlign w:val="center"/>
          </w:tcPr>
          <w:p w14:paraId="3C6258FC">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832" w:type="dxa"/>
            <w:noWrap/>
            <w:vAlign w:val="center"/>
          </w:tcPr>
          <w:p w14:paraId="7FE070CD">
            <w:pPr>
              <w:keepNext w:val="0"/>
              <w:keepLines w:val="0"/>
              <w:suppressLineNumbers w:val="0"/>
              <w:shd w:val="clear"/>
              <w:adjustRightInd w:val="0"/>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14:paraId="3CE76E2E">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0FF9B256">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1.按照《采购文件-技术部分》内容要求，一一对应填写。如果对《采购文件-技术部分》内容不做一一响应，而将“响应文件应答情况”简单笼统描述为“无偏离”，则视为无效应答。</w:t>
      </w:r>
    </w:p>
    <w:p w14:paraId="275F6B58">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2.《采购文件-技术部分》内容须条对条应答，不得遗漏；如有遗漏，则视为无效应答。如无偏离，请在此表中填写“无偏离”。如有偏离，请在此表中应答为“正/负偏离”并说明偏离情况；</w:t>
      </w:r>
    </w:p>
    <w:p w14:paraId="51FAD4CA">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3.如《采购文件-技术部分》中有标注★号的，则为实质性要求，必须满足，如应答为“负偏离”，将导致响应无效。</w:t>
      </w:r>
    </w:p>
    <w:p w14:paraId="29AC0CDE">
      <w:pPr>
        <w:shd w:val="clear"/>
        <w:adjustRightInd w:val="0"/>
        <w:snapToGrid w:val="0"/>
        <w:spacing w:before="0" w:beforeAutospacing="0" w:after="0" w:afterAutospacing="0" w:line="360" w:lineRule="auto"/>
        <w:ind w:firstLine="480" w:firstLineChars="200"/>
        <w:rPr>
          <w:rFonts w:hint="eastAsia" w:ascii="宋体" w:hAnsi="宋体" w:eastAsia="宋体" w:cs="宋体"/>
          <w:color w:val="auto"/>
          <w:sz w:val="24"/>
          <w:highlight w:val="none"/>
        </w:rPr>
      </w:pPr>
    </w:p>
    <w:p w14:paraId="1F82A20B">
      <w:pPr>
        <w:widowControl/>
        <w:shd w:val="clear"/>
        <w:spacing w:before="0" w:beforeAutospacing="0" w:after="156" w:afterLines="50" w:afterAutospacing="0" w:line="360" w:lineRule="auto"/>
        <w:ind w:firstLine="420" w:firstLineChars="200"/>
        <w:jc w:val="left"/>
        <w:rPr>
          <w:rFonts w:hint="eastAsia" w:ascii="宋体" w:hAnsi="宋体" w:eastAsia="宋体" w:cs="宋体"/>
          <w:color w:val="auto"/>
          <w:kern w:val="0"/>
          <w:szCs w:val="21"/>
          <w:highlight w:val="none"/>
        </w:rPr>
      </w:pPr>
    </w:p>
    <w:p w14:paraId="6B3A3C40">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r>
        <w:rPr>
          <w:rFonts w:hint="eastAsia" w:ascii="宋体" w:hAnsi="宋体" w:eastAsia="宋体" w:cs="宋体"/>
          <w:color w:val="auto"/>
          <w:kern w:val="0"/>
          <w:szCs w:val="21"/>
          <w:highlight w:val="none"/>
        </w:rPr>
        <w:t>（全称并加盖公章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E8EDB80">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授权代表（签字）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3140639">
      <w:pPr>
        <w:shd w:val="clear"/>
        <w:tabs>
          <w:tab w:val="left" w:pos="1230"/>
        </w:tabs>
        <w:topLinePunct/>
        <w:autoSpaceDE w:val="0"/>
        <w:autoSpaceDN w:val="0"/>
        <w:adjustRightInd w:val="0"/>
        <w:snapToGrid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14:paraId="614F16CE">
      <w:pPr>
        <w:shd w:val="clear"/>
        <w:spacing w:before="0" w:beforeAutospacing="0" w:after="0" w:afterAutospacing="0" w:line="240" w:lineRule="auto"/>
        <w:jc w:val="center"/>
        <w:rPr>
          <w:rFonts w:hint="eastAsia" w:ascii="宋体" w:hAnsi="宋体" w:eastAsia="宋体" w:cs="宋体"/>
          <w:color w:val="auto"/>
          <w:sz w:val="24"/>
          <w:highlight w:val="none"/>
        </w:rPr>
        <w:sectPr>
          <w:pgSz w:w="11906" w:h="16838"/>
          <w:pgMar w:top="1440" w:right="1752" w:bottom="1440" w:left="1752" w:header="851" w:footer="992" w:gutter="0"/>
          <w:pgNumType w:fmt="decimal"/>
          <w:cols w:space="720" w:num="1"/>
          <w:titlePg/>
          <w:docGrid w:type="lines" w:linePitch="312" w:charSpace="0"/>
        </w:sectPr>
      </w:pPr>
    </w:p>
    <w:p w14:paraId="650B9B68">
      <w:pPr>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bookmarkStart w:id="94" w:name="_Toc9167"/>
      <w:bookmarkStart w:id="95" w:name="_Toc26947"/>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1</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服务方案、实施方案及技术方案</w:t>
      </w:r>
      <w:bookmarkEnd w:id="94"/>
      <w:bookmarkEnd w:id="95"/>
    </w:p>
    <w:p w14:paraId="7B6F24ED">
      <w:pPr>
        <w:shd w:val="clear"/>
        <w:spacing w:before="0" w:beforeAutospacing="0" w:after="0" w:afterAutospacing="0" w:line="240" w:lineRule="auto"/>
        <w:ind w:firstLine="560" w:firstLineChars="200"/>
        <w:rPr>
          <w:rFonts w:hint="eastAsia" w:ascii="宋体" w:hAnsi="宋体" w:eastAsia="宋体" w:cs="宋体"/>
          <w:color w:val="auto"/>
          <w:sz w:val="28"/>
          <w:szCs w:val="28"/>
          <w:highlight w:val="none"/>
        </w:rPr>
      </w:pPr>
    </w:p>
    <w:p w14:paraId="7FEFF109">
      <w:pPr>
        <w:shd w:val="clear"/>
        <w:adjustRightInd w:val="0"/>
        <w:snapToGrid w:val="0"/>
        <w:spacing w:before="0" w:beforeAutospacing="0" w:after="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 w:val="28"/>
          <w:szCs w:val="28"/>
          <w:highlight w:val="none"/>
        </w:rPr>
        <w:t>服务方案说明</w:t>
      </w:r>
    </w:p>
    <w:p w14:paraId="4A482BA5">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服务类项目供应商应根据第六章规定编写服务方案说明。服务方案说明</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rPr>
        <w:t>包括但不限于：</w:t>
      </w:r>
    </w:p>
    <w:p w14:paraId="3DBE77F4">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（1）服务目标、范围和任务；</w:t>
      </w:r>
    </w:p>
    <w:p w14:paraId="653F2F31">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（2）服务方案；</w:t>
      </w:r>
    </w:p>
    <w:p w14:paraId="3D296D5F">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（3）服务团队组织安排计划；</w:t>
      </w:r>
    </w:p>
    <w:p w14:paraId="76B6DF99">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（4）工作流程；</w:t>
      </w:r>
    </w:p>
    <w:p w14:paraId="5937928E">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（5）进度计划及保证措施；</w:t>
      </w:r>
    </w:p>
    <w:p w14:paraId="2A221A0F">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（6）质量保证措施；</w:t>
      </w:r>
    </w:p>
    <w:p w14:paraId="252D14B7">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（7）合理化建议；</w:t>
      </w:r>
    </w:p>
    <w:p w14:paraId="7B8CB8CD">
      <w:pPr>
        <w:shd w:val="clear"/>
        <w:spacing w:before="0" w:beforeAutospacing="0" w:after="0" w:afterAutospacing="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（8）其他。</w:t>
      </w:r>
    </w:p>
    <w:p w14:paraId="72E776C8">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p>
    <w:p w14:paraId="75407A95">
      <w:pPr>
        <w:shd w:val="clear"/>
        <w:spacing w:after="0" w:line="240" w:lineRule="auto"/>
        <w:ind w:firstLine="420" w:firstLineChars="200"/>
        <w:rPr>
          <w:rFonts w:hint="eastAsia" w:ascii="宋体" w:hAnsi="宋体" w:eastAsia="宋体" w:cs="宋体"/>
          <w:color w:val="auto"/>
          <w:szCs w:val="21"/>
          <w:highlight w:val="none"/>
        </w:rPr>
      </w:pPr>
    </w:p>
    <w:p w14:paraId="4BCD2515">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实施方案</w:t>
      </w:r>
    </w:p>
    <w:p w14:paraId="6A5B9D6E">
      <w:pPr>
        <w:shd w:val="clea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示例略</w:t>
      </w:r>
      <w:r>
        <w:rPr>
          <w:rFonts w:hint="eastAsia" w:ascii="宋体" w:hAnsi="宋体" w:eastAsia="宋体" w:cs="宋体"/>
          <w:color w:val="auto"/>
          <w:kern w:val="0"/>
          <w:sz w:val="21"/>
          <w:szCs w:val="21"/>
          <w:highlight w:val="none"/>
          <w:lang w:eastAsia="zh-CN"/>
        </w:rPr>
        <w:t>）</w:t>
      </w:r>
    </w:p>
    <w:p w14:paraId="1BE9546B">
      <w:pPr>
        <w:shd w:val="clear"/>
        <w:spacing w:after="0" w:line="240" w:lineRule="auto"/>
        <w:ind w:firstLine="420" w:firstLineChars="200"/>
        <w:rPr>
          <w:rFonts w:hint="eastAsia" w:ascii="宋体" w:hAnsi="宋体" w:eastAsia="宋体" w:cs="宋体"/>
          <w:color w:val="auto"/>
          <w:szCs w:val="21"/>
          <w:highlight w:val="none"/>
        </w:rPr>
      </w:pPr>
    </w:p>
    <w:p w14:paraId="6A279F8E">
      <w:pPr>
        <w:keepNext w:val="0"/>
        <w:keepLines w:val="0"/>
        <w:pageBreakBefore w:val="0"/>
        <w:widowControl w:val="0"/>
        <w:shd w:val="clear"/>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技术方案</w:t>
      </w:r>
    </w:p>
    <w:p w14:paraId="32CC9BEE">
      <w:pPr>
        <w:shd w:val="clear"/>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示例略</w:t>
      </w:r>
      <w:r>
        <w:rPr>
          <w:rFonts w:hint="eastAsia" w:ascii="宋体" w:hAnsi="宋体" w:eastAsia="宋体" w:cs="宋体"/>
          <w:color w:val="auto"/>
          <w:kern w:val="0"/>
          <w:sz w:val="21"/>
          <w:szCs w:val="21"/>
          <w:highlight w:val="none"/>
          <w:lang w:eastAsia="zh-CN"/>
        </w:rPr>
        <w:t>）</w:t>
      </w:r>
    </w:p>
    <w:p w14:paraId="50BF3DC1">
      <w:pPr>
        <w:shd w:val="clear"/>
        <w:spacing w:before="0" w:beforeAutospacing="0" w:after="0" w:afterAutospacing="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kern w:val="0"/>
          <w:sz w:val="24"/>
          <w:highlight w:val="none"/>
        </w:rPr>
        <w:br w:type="page"/>
      </w:r>
      <w:bookmarkStart w:id="96" w:name="_Toc3451"/>
      <w:bookmarkStart w:id="97" w:name="_Toc28723"/>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技术力量一览表</w:t>
      </w:r>
      <w:bookmarkEnd w:id="96"/>
      <w:bookmarkEnd w:id="97"/>
    </w:p>
    <w:tbl>
      <w:tblPr>
        <w:tblStyle w:val="35"/>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916"/>
      </w:tblGrid>
      <w:tr w14:paraId="5B11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47B81AF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14:paraId="42448F0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14:paraId="084246D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14:paraId="5EA292E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14:paraId="6B0ACCD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14:paraId="2897C8D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本项目中担任职务</w:t>
            </w:r>
          </w:p>
        </w:tc>
        <w:tc>
          <w:tcPr>
            <w:tcW w:w="1916" w:type="dxa"/>
            <w:tcBorders>
              <w:top w:val="single" w:color="auto" w:sz="4" w:space="0"/>
              <w:left w:val="single" w:color="auto" w:sz="4" w:space="0"/>
              <w:bottom w:val="single" w:color="auto" w:sz="4" w:space="0"/>
              <w:right w:val="single" w:color="auto" w:sz="4" w:space="0"/>
            </w:tcBorders>
            <w:noWrap/>
            <w:vAlign w:val="center"/>
          </w:tcPr>
          <w:p w14:paraId="1C6EBE7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认证情况</w:t>
            </w:r>
          </w:p>
        </w:tc>
      </w:tr>
      <w:tr w14:paraId="12A43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6344BFA9">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一、项目XX人员</w:t>
            </w:r>
          </w:p>
          <w:p w14:paraId="05BA4A80">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r>
      <w:tr w14:paraId="44E3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14:paraId="6863FD1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400F12E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0EE656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E669CA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016D58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7DAA414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0048DE5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0DA8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7C99729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6203586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6655B1A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E46C54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01E533E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1FF2263E">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37920535">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0924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6FD3AC0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5753D29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7BFE0F0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6AAD3E7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3DB7ECE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057BB4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66876A7F">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72CD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042BAF56">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r>
      <w:tr w14:paraId="568E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9B9729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4474C1D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96E760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4757829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8B5057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3F606A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001EEF3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08FB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4948629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27D05B8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61954B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3C6120E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5CCAE8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03FA9CA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2EB74B5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6C6E5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4F1E43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1E04EDAF">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B860E8F">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826650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0B0B01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663D999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7690B02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2BE3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2F6EA6E1">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二、XX人员</w:t>
            </w:r>
          </w:p>
        </w:tc>
      </w:tr>
      <w:tr w14:paraId="6B4E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3E2BCCC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14:paraId="0DCE729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0A2D81C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2406458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1647D1D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47A2064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6F7C79C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17AD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1C553C4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14:paraId="445E7D3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3866C00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952D20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6D78EB4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C91BFB5">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651BFAC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9A3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14:paraId="5081618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14:paraId="345921B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14:paraId="47DABC8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14:paraId="532195A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14:paraId="2987906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14:paraId="2202F60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tcBorders>
              <w:top w:val="single" w:color="auto" w:sz="4" w:space="0"/>
              <w:left w:val="single" w:color="auto" w:sz="4" w:space="0"/>
              <w:bottom w:val="single" w:color="auto" w:sz="4" w:space="0"/>
              <w:right w:val="single" w:color="auto" w:sz="4" w:space="0"/>
            </w:tcBorders>
            <w:noWrap/>
            <w:vAlign w:val="center"/>
          </w:tcPr>
          <w:p w14:paraId="551ECC7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29B5D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0" w:type="dxa"/>
            <w:gridSpan w:val="7"/>
            <w:tcBorders>
              <w:top w:val="single" w:color="auto" w:sz="4" w:space="0"/>
              <w:left w:val="single" w:color="auto" w:sz="4" w:space="0"/>
              <w:bottom w:val="single" w:color="auto" w:sz="4" w:space="0"/>
              <w:right w:val="single" w:color="auto" w:sz="4" w:space="0"/>
            </w:tcBorders>
            <w:noWrap/>
            <w:vAlign w:val="center"/>
          </w:tcPr>
          <w:p w14:paraId="2C7938E7">
            <w:pPr>
              <w:keepNext w:val="0"/>
              <w:keepLines w:val="0"/>
              <w:suppressLineNumbers w:val="0"/>
              <w:shd w:val="clear"/>
              <w:adjustRightInd w:val="0"/>
              <w:spacing w:before="0" w:beforeAutospacing="0" w:after="0" w:afterAutospacing="0" w:line="240" w:lineRule="auto"/>
              <w:ind w:left="0" w:right="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三、XX人员</w:t>
            </w:r>
          </w:p>
        </w:tc>
      </w:tr>
      <w:tr w14:paraId="041D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06B0C4D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356" w:type="dxa"/>
            <w:noWrap w:val="0"/>
            <w:vAlign w:val="center"/>
          </w:tcPr>
          <w:p w14:paraId="05700F3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14:paraId="5F46069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14:paraId="4FB921A7">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14:paraId="4C7D9C5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14:paraId="2084941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14:paraId="74F60C4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32F8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6944C24F">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356" w:type="dxa"/>
            <w:noWrap w:val="0"/>
            <w:vAlign w:val="center"/>
          </w:tcPr>
          <w:p w14:paraId="79DD7A5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14:paraId="5B4A21B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14:paraId="5DE7402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14:paraId="2F4F8F2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14:paraId="563EA62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14:paraId="1F2516F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r w14:paraId="7B5F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noWrap w:val="0"/>
            <w:vAlign w:val="center"/>
          </w:tcPr>
          <w:p w14:paraId="47884C1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356" w:type="dxa"/>
            <w:noWrap w:val="0"/>
            <w:vAlign w:val="center"/>
          </w:tcPr>
          <w:p w14:paraId="4B10208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7" w:type="dxa"/>
            <w:noWrap w:val="0"/>
            <w:vAlign w:val="center"/>
          </w:tcPr>
          <w:p w14:paraId="52D1574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189" w:type="dxa"/>
            <w:noWrap w:val="0"/>
            <w:vAlign w:val="center"/>
          </w:tcPr>
          <w:p w14:paraId="4D99E15C">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75" w:type="dxa"/>
            <w:noWrap w:val="0"/>
            <w:vAlign w:val="center"/>
          </w:tcPr>
          <w:p w14:paraId="3CBE9CF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243" w:type="dxa"/>
            <w:noWrap w:val="0"/>
            <w:vAlign w:val="center"/>
          </w:tcPr>
          <w:p w14:paraId="0A3EC56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c>
          <w:tcPr>
            <w:tcW w:w="1916" w:type="dxa"/>
            <w:noWrap w:val="0"/>
            <w:vAlign w:val="center"/>
          </w:tcPr>
          <w:p w14:paraId="698361B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p>
        </w:tc>
      </w:tr>
    </w:tbl>
    <w:p w14:paraId="190AEAD6">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6271DF5C">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供应商须按照上述格式填写投入本项目所有人员的相关信息。</w:t>
      </w:r>
    </w:p>
    <w:p w14:paraId="69DEC8FB">
      <w:pPr>
        <w:shd w:val="clear"/>
        <w:topLinePunct/>
        <w:autoSpaceDE w:val="0"/>
        <w:autoSpaceDN w:val="0"/>
        <w:spacing w:before="0" w:beforeAutospacing="0" w:after="0" w:afterAutospacing="0" w:line="460" w:lineRule="exact"/>
        <w:rPr>
          <w:rFonts w:hint="eastAsia" w:ascii="宋体" w:hAnsi="宋体" w:eastAsia="宋体" w:cs="宋体"/>
          <w:bCs/>
          <w:color w:val="auto"/>
          <w:w w:val="150"/>
          <w:sz w:val="24"/>
          <w:highlight w:val="none"/>
          <w:shd w:val="clear" w:color="auto" w:fill="FFFF00"/>
        </w:rPr>
      </w:pPr>
    </w:p>
    <w:p w14:paraId="2BDCC4DD">
      <w:pPr>
        <w:shd w:val="clear"/>
        <w:topLinePunct/>
        <w:autoSpaceDE w:val="0"/>
        <w:autoSpaceDN w:val="0"/>
        <w:spacing w:before="0" w:beforeAutospacing="0" w:after="0" w:afterAutospacing="0" w:line="460" w:lineRule="exact"/>
        <w:jc w:val="center"/>
        <w:outlineLvl w:val="1"/>
        <w:rPr>
          <w:rFonts w:hint="eastAsia" w:ascii="宋体" w:hAnsi="宋体" w:eastAsia="宋体" w:cs="宋体"/>
          <w:b/>
          <w:bCs/>
          <w:snapToGrid w:val="0"/>
          <w:color w:val="auto"/>
          <w:kern w:val="0"/>
          <w:sz w:val="28"/>
          <w:szCs w:val="28"/>
          <w:highlight w:val="none"/>
        </w:rPr>
      </w:pPr>
      <w:r>
        <w:rPr>
          <w:rFonts w:hint="eastAsia" w:ascii="宋体" w:hAnsi="宋体" w:eastAsia="宋体" w:cs="宋体"/>
          <w:b/>
          <w:color w:val="auto"/>
          <w:sz w:val="30"/>
          <w:szCs w:val="30"/>
          <w:highlight w:val="none"/>
        </w:rPr>
        <w:br w:type="page"/>
      </w:r>
      <w:bookmarkStart w:id="98" w:name="_Toc22905"/>
      <w:bookmarkStart w:id="99" w:name="_Toc28524"/>
      <w:r>
        <w:rPr>
          <w:rFonts w:hint="eastAsia" w:ascii="宋体" w:hAnsi="宋体" w:eastAsia="宋体" w:cs="宋体"/>
          <w:b/>
          <w:bCs/>
          <w:snapToGrid w:val="0"/>
          <w:color w:val="auto"/>
          <w:kern w:val="0"/>
          <w:sz w:val="28"/>
          <w:szCs w:val="28"/>
          <w:highlight w:val="none"/>
        </w:rPr>
        <w:t>格式</w:t>
      </w:r>
      <w:r>
        <w:rPr>
          <w:rFonts w:hint="eastAsia" w:ascii="宋体" w:hAnsi="宋体" w:eastAsia="宋体" w:cs="宋体"/>
          <w:b/>
          <w:bCs/>
          <w:color w:val="auto"/>
          <w:sz w:val="28"/>
          <w:szCs w:val="28"/>
          <w:highlight w:val="none"/>
        </w:rPr>
        <w:t>1</w:t>
      </w:r>
      <w:r>
        <w:rPr>
          <w:rFonts w:hint="eastAsia" w:ascii="宋体" w:hAnsi="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snapToGrid w:val="0"/>
          <w:color w:val="auto"/>
          <w:kern w:val="0"/>
          <w:sz w:val="28"/>
          <w:szCs w:val="28"/>
          <w:highlight w:val="none"/>
        </w:rPr>
        <w:t>技术人员简历表</w:t>
      </w:r>
      <w:bookmarkEnd w:id="98"/>
      <w:bookmarkEnd w:id="99"/>
    </w:p>
    <w:tbl>
      <w:tblPr>
        <w:tblStyle w:val="3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713"/>
        <w:gridCol w:w="1505"/>
        <w:gridCol w:w="1388"/>
        <w:gridCol w:w="1796"/>
        <w:gridCol w:w="1263"/>
      </w:tblGrid>
      <w:tr w14:paraId="1F3F5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B68592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姓   名</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0AF2E6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6EFAEB6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性    别</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BE4301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0211CDD5">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出生日期</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006FE2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14:paraId="1408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208B27C1">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学   历</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81BF41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0133C772">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毕业学校</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9958E8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50D79EEE">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技术职称</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1A081BF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14:paraId="6202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1233633">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公司职务</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6D52864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7F3A8075">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任职时间</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513B5BB">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7" w:type="dxa"/>
            <w:tcBorders>
              <w:top w:val="single" w:color="auto" w:sz="4" w:space="0"/>
              <w:left w:val="single" w:color="auto" w:sz="4" w:space="0"/>
              <w:bottom w:val="single" w:color="auto" w:sz="4" w:space="0"/>
              <w:right w:val="single" w:color="auto" w:sz="4" w:space="0"/>
            </w:tcBorders>
            <w:noWrap w:val="0"/>
            <w:vAlign w:val="center"/>
          </w:tcPr>
          <w:p w14:paraId="4E9EFB6E">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本项目任职</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29244B1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14:paraId="636A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669D3B74">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highlight w:val="none"/>
              </w:rPr>
              <w:t>人员级别</w:t>
            </w:r>
          </w:p>
        </w:tc>
        <w:tc>
          <w:tcPr>
            <w:tcW w:w="1714" w:type="dxa"/>
            <w:tcBorders>
              <w:top w:val="single" w:color="auto" w:sz="4" w:space="0"/>
              <w:left w:val="single" w:color="auto" w:sz="4" w:space="0"/>
              <w:bottom w:val="single" w:color="auto" w:sz="4" w:space="0"/>
              <w:right w:val="single" w:color="auto" w:sz="4" w:space="0"/>
            </w:tcBorders>
            <w:noWrap w:val="0"/>
            <w:vAlign w:val="center"/>
          </w:tcPr>
          <w:p w14:paraId="3FDBD6CA">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14:paraId="1F3AB5B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从事XXX工作年限</w:t>
            </w:r>
          </w:p>
        </w:tc>
        <w:tc>
          <w:tcPr>
            <w:tcW w:w="1388" w:type="dxa"/>
            <w:tcBorders>
              <w:top w:val="single" w:color="auto" w:sz="4" w:space="0"/>
              <w:left w:val="single" w:color="auto" w:sz="4" w:space="0"/>
              <w:bottom w:val="single" w:color="auto" w:sz="4" w:space="0"/>
              <w:right w:val="single" w:color="auto" w:sz="4" w:space="0"/>
            </w:tcBorders>
            <w:noWrap w:val="0"/>
            <w:vAlign w:val="center"/>
          </w:tcPr>
          <w:p w14:paraId="7FA12AC6">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c>
          <w:tcPr>
            <w:tcW w:w="1794" w:type="dxa"/>
            <w:tcBorders>
              <w:top w:val="single" w:color="auto" w:sz="4" w:space="0"/>
              <w:left w:val="single" w:color="auto" w:sz="4" w:space="0"/>
              <w:bottom w:val="single" w:color="auto" w:sz="4" w:space="0"/>
              <w:right w:val="single" w:color="auto" w:sz="4" w:space="0"/>
            </w:tcBorders>
            <w:noWrap w:val="0"/>
            <w:vAlign w:val="center"/>
          </w:tcPr>
          <w:p w14:paraId="4DE8C820">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r>
              <w:rPr>
                <w:rFonts w:hint="eastAsia" w:ascii="宋体" w:hAnsi="宋体" w:eastAsia="宋体" w:cs="宋体"/>
                <w:color w:val="auto"/>
                <w:szCs w:val="21"/>
                <w:highlight w:val="none"/>
              </w:rPr>
              <w:t>从事XXXX年限</w:t>
            </w:r>
          </w:p>
        </w:tc>
        <w:tc>
          <w:tcPr>
            <w:tcW w:w="1263" w:type="dxa"/>
            <w:tcBorders>
              <w:top w:val="single" w:color="auto" w:sz="4" w:space="0"/>
              <w:left w:val="single" w:color="auto" w:sz="4" w:space="0"/>
              <w:bottom w:val="single" w:color="auto" w:sz="4" w:space="0"/>
              <w:right w:val="single" w:color="auto" w:sz="4" w:space="0"/>
            </w:tcBorders>
            <w:noWrap w:val="0"/>
            <w:vAlign w:val="center"/>
          </w:tcPr>
          <w:p w14:paraId="7272B78D">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14:paraId="7D49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263" w:type="dxa"/>
            <w:tcBorders>
              <w:top w:val="single" w:color="auto" w:sz="4" w:space="0"/>
              <w:left w:val="single" w:color="auto" w:sz="4" w:space="0"/>
              <w:bottom w:val="single" w:color="auto" w:sz="4" w:space="0"/>
              <w:right w:val="single" w:color="auto" w:sz="4" w:space="0"/>
            </w:tcBorders>
            <w:noWrap w:val="0"/>
            <w:vAlign w:val="center"/>
          </w:tcPr>
          <w:p w14:paraId="0C062BC9">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认证证书</w:t>
            </w:r>
          </w:p>
        </w:tc>
        <w:tc>
          <w:tcPr>
            <w:tcW w:w="7665" w:type="dxa"/>
            <w:gridSpan w:val="5"/>
            <w:tcBorders>
              <w:top w:val="single" w:color="auto" w:sz="4" w:space="0"/>
              <w:left w:val="single" w:color="auto" w:sz="4" w:space="0"/>
              <w:bottom w:val="single" w:color="auto" w:sz="4" w:space="0"/>
              <w:right w:val="single" w:color="auto" w:sz="4" w:space="0"/>
            </w:tcBorders>
            <w:noWrap w:val="0"/>
            <w:vAlign w:val="center"/>
          </w:tcPr>
          <w:p w14:paraId="59C47FC8">
            <w:pPr>
              <w:keepNext w:val="0"/>
              <w:keepLines w:val="0"/>
              <w:suppressLineNumbers w:val="0"/>
              <w:shd w:val="clear"/>
              <w:adjustRightInd w:val="0"/>
              <w:spacing w:before="0" w:beforeAutospacing="0" w:after="0" w:afterAutospacing="0" w:line="240" w:lineRule="auto"/>
              <w:ind w:left="0" w:right="0"/>
              <w:jc w:val="center"/>
              <w:rPr>
                <w:rFonts w:hint="eastAsia" w:ascii="宋体" w:hAnsi="宋体" w:eastAsia="宋体" w:cs="宋体"/>
                <w:color w:val="auto"/>
                <w:sz w:val="24"/>
                <w:highlight w:val="none"/>
              </w:rPr>
            </w:pPr>
          </w:p>
        </w:tc>
      </w:tr>
      <w:tr w14:paraId="2A1C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4" w:hRule="atLeast"/>
        </w:trPr>
        <w:tc>
          <w:tcPr>
            <w:tcW w:w="8928" w:type="dxa"/>
            <w:gridSpan w:val="6"/>
            <w:tcBorders>
              <w:top w:val="single" w:color="auto" w:sz="4" w:space="0"/>
              <w:left w:val="single" w:color="auto" w:sz="4" w:space="0"/>
              <w:bottom w:val="single" w:color="auto" w:sz="4" w:space="0"/>
              <w:right w:val="single" w:color="auto" w:sz="4" w:space="0"/>
            </w:tcBorders>
            <w:noWrap w:val="0"/>
            <w:vAlign w:val="top"/>
          </w:tcPr>
          <w:p w14:paraId="682373DB">
            <w:pPr>
              <w:keepNext w:val="0"/>
              <w:keepLines w:val="0"/>
              <w:suppressLineNumbers w:val="0"/>
              <w:shd w:val="clear"/>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highlight w:val="none"/>
              </w:rPr>
              <w:t>工作简历及主要业绩</w:t>
            </w:r>
          </w:p>
          <w:p w14:paraId="46611C7D">
            <w:pPr>
              <w:keepNext w:val="0"/>
              <w:keepLines w:val="0"/>
              <w:suppressLineNumbers w:val="0"/>
              <w:shd w:val="clear"/>
              <w:adjustRightInd w:val="0"/>
              <w:spacing w:before="0" w:beforeAutospacing="0" w:after="0" w:afterAutospacing="0" w:line="240" w:lineRule="auto"/>
              <w:ind w:left="0" w:right="0"/>
              <w:rPr>
                <w:rFonts w:hint="eastAsia" w:ascii="宋体" w:hAnsi="宋体" w:eastAsia="宋体" w:cs="宋体"/>
                <w:color w:val="auto"/>
                <w:sz w:val="24"/>
                <w:highlight w:val="none"/>
              </w:rPr>
            </w:pPr>
          </w:p>
        </w:tc>
      </w:tr>
    </w:tbl>
    <w:p w14:paraId="4A926EC5">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特别说明：</w:t>
      </w:r>
    </w:p>
    <w:p w14:paraId="4A2C0BE2">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1.供应商应提供投入本项目所有人员的简历。</w:t>
      </w:r>
    </w:p>
    <w:p w14:paraId="4416C0D1">
      <w:pPr>
        <w:shd w:val="clear"/>
        <w:topLinePunct/>
        <w:autoSpaceDE w:val="0"/>
        <w:autoSpaceDN w:val="0"/>
        <w:spacing w:before="0" w:beforeAutospacing="0" w:after="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等人员应提供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复印件。</w:t>
      </w:r>
    </w:p>
    <w:p w14:paraId="35AB79DB">
      <w:pPr>
        <w:shd w:val="clear"/>
        <w:topLinePunct/>
        <w:autoSpaceDE w:val="0"/>
        <w:autoSpaceDN w:val="0"/>
        <w:spacing w:before="0" w:beforeAutospacing="0" w:after="0" w:afterAutospacing="0" w:line="360" w:lineRule="auto"/>
        <w:ind w:firstLine="420" w:firstLineChars="200"/>
        <w:rPr>
          <w:rFonts w:hint="eastAsia" w:ascii="宋体" w:hAnsi="宋体" w:eastAsia="宋体" w:cs="宋体"/>
          <w:color w:val="auto"/>
          <w:highlight w:val="none"/>
        </w:rPr>
      </w:pPr>
    </w:p>
    <w:p w14:paraId="41D2EC88">
      <w:pPr>
        <w:widowControl/>
        <w:shd w:val="clear"/>
        <w:spacing w:before="0" w:beforeAutospacing="0" w:after="0" w:afterAutospacing="0" w:line="240" w:lineRule="auto"/>
        <w:jc w:val="left"/>
        <w:rPr>
          <w:rFonts w:hint="eastAsia" w:ascii="宋体" w:hAnsi="宋体" w:eastAsia="宋体" w:cs="宋体"/>
          <w:color w:val="auto"/>
          <w:highlight w:val="none"/>
        </w:rPr>
      </w:pPr>
    </w:p>
    <w:p w14:paraId="529B66E5">
      <w:pPr>
        <w:widowControl/>
        <w:shd w:val="clear"/>
        <w:spacing w:before="0" w:beforeAutospacing="0" w:after="0" w:afterAutospacing="0" w:line="24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b/>
          <w:bCs/>
          <w:color w:val="auto"/>
          <w:sz w:val="36"/>
          <w:szCs w:val="36"/>
          <w:highlight w:val="none"/>
        </w:rPr>
        <w:br w:type="page"/>
      </w:r>
      <w:bookmarkStart w:id="100" w:name="_Toc20887"/>
      <w:bookmarkStart w:id="101" w:name="_Toc2215"/>
      <w:r>
        <w:rPr>
          <w:rFonts w:hint="eastAsia" w:ascii="宋体" w:hAnsi="宋体" w:eastAsia="宋体" w:cs="宋体"/>
          <w:b/>
          <w:bCs/>
          <w:color w:val="auto"/>
          <w:sz w:val="28"/>
          <w:szCs w:val="28"/>
          <w:highlight w:val="none"/>
        </w:rPr>
        <w:t>格式1</w:t>
      </w:r>
      <w:r>
        <w:rPr>
          <w:rFonts w:hint="eastAsia" w:ascii="宋体" w:hAnsi="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供应商售后服务承诺</w:t>
      </w:r>
      <w:bookmarkEnd w:id="100"/>
      <w:bookmarkEnd w:id="101"/>
    </w:p>
    <w:p w14:paraId="68A6CD28">
      <w:pPr>
        <w:shd w:val="clear"/>
        <w:spacing w:before="0" w:beforeAutospacing="0" w:after="0" w:afterAutospacing="0" w:line="240" w:lineRule="auto"/>
        <w:ind w:firstLine="420" w:firstLineChars="200"/>
        <w:rPr>
          <w:rFonts w:hint="eastAsia" w:ascii="宋体" w:hAnsi="宋体" w:eastAsia="宋体" w:cs="宋体"/>
          <w:color w:val="auto"/>
          <w:szCs w:val="21"/>
          <w:highlight w:val="none"/>
        </w:rPr>
      </w:pPr>
    </w:p>
    <w:p w14:paraId="0F6A7FA1">
      <w:pPr>
        <w:shd w:val="clear"/>
        <w:spacing w:before="0" w:beforeAutospacing="0" w:after="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示例略</w:t>
      </w:r>
      <w:r>
        <w:rPr>
          <w:rFonts w:hint="eastAsia" w:ascii="宋体" w:hAnsi="宋体" w:eastAsia="宋体" w:cs="宋体"/>
          <w:color w:val="auto"/>
          <w:kern w:val="0"/>
          <w:szCs w:val="21"/>
          <w:highlight w:val="none"/>
          <w:lang w:eastAsia="zh-CN"/>
        </w:rPr>
        <w:t>）</w:t>
      </w:r>
    </w:p>
    <w:p w14:paraId="2795C5ED">
      <w:pPr>
        <w:shd w:val="clear"/>
        <w:spacing w:before="0" w:beforeAutospacing="0" w:after="0" w:afterAutospacing="0" w:line="240" w:lineRule="auto"/>
        <w:rPr>
          <w:rFonts w:hint="eastAsia" w:ascii="宋体" w:hAnsi="宋体" w:eastAsia="宋体" w:cs="宋体"/>
          <w:color w:val="auto"/>
          <w:highlight w:val="none"/>
        </w:rPr>
        <w:sectPr>
          <w:pgSz w:w="11906" w:h="16838"/>
          <w:pgMar w:top="1440" w:right="1752" w:bottom="1440" w:left="1752" w:header="851" w:footer="992" w:gutter="0"/>
          <w:pgNumType w:fmt="decimal"/>
          <w:cols w:space="720" w:num="1"/>
          <w:titlePg/>
          <w:docGrid w:type="lines" w:linePitch="312" w:charSpace="0"/>
        </w:sectPr>
      </w:pPr>
    </w:p>
    <w:p w14:paraId="471BE453">
      <w:pPr>
        <w:shd w:val="clear"/>
        <w:topLinePunct/>
        <w:autoSpaceDE w:val="0"/>
        <w:autoSpaceDN w:val="0"/>
        <w:spacing w:before="0" w:beforeAutospacing="0" w:after="0" w:afterAutospacing="0" w:line="240" w:lineRule="auto"/>
        <w:jc w:val="center"/>
        <w:rPr>
          <w:rFonts w:hint="eastAsia" w:ascii="宋体" w:hAnsi="宋体" w:eastAsia="宋体" w:cs="宋体"/>
          <w:bCs/>
          <w:color w:val="auto"/>
          <w:sz w:val="32"/>
          <w:szCs w:val="32"/>
          <w:highlight w:val="none"/>
        </w:rPr>
      </w:pPr>
    </w:p>
    <w:p w14:paraId="56C5958F">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52"/>
          <w:szCs w:val="52"/>
          <w:highlight w:val="none"/>
        </w:rPr>
      </w:pPr>
    </w:p>
    <w:p w14:paraId="6CDE8EB8">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52"/>
          <w:szCs w:val="52"/>
          <w:highlight w:val="none"/>
        </w:rPr>
      </w:pPr>
    </w:p>
    <w:p w14:paraId="5C3FDD01">
      <w:pPr>
        <w:shd w:val="clear"/>
        <w:topLinePunct/>
        <w:autoSpaceDE w:val="0"/>
        <w:autoSpaceDN w:val="0"/>
        <w:spacing w:before="0" w:beforeAutospacing="0" w:after="0" w:afterAutospacing="0"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44"/>
          <w:szCs w:val="44"/>
          <w:highlight w:val="none"/>
        </w:rPr>
        <w:t>磋商文件</w:t>
      </w:r>
    </w:p>
    <w:p w14:paraId="693DE36A">
      <w:pPr>
        <w:shd w:val="clear"/>
        <w:topLinePunct/>
        <w:autoSpaceDE w:val="0"/>
        <w:autoSpaceDN w:val="0"/>
        <w:snapToGrid w:val="0"/>
        <w:spacing w:before="0" w:beforeAutospacing="0" w:after="0" w:afterAutospacing="0" w:line="360" w:lineRule="auto"/>
        <w:jc w:val="center"/>
        <w:outlineLvl w:val="0"/>
        <w:rPr>
          <w:rFonts w:hint="eastAsia" w:ascii="宋体" w:hAnsi="宋体" w:eastAsia="宋体" w:cs="宋体"/>
          <w:bCs/>
          <w:color w:val="auto"/>
          <w:sz w:val="32"/>
          <w:szCs w:val="32"/>
          <w:highlight w:val="none"/>
        </w:rPr>
      </w:pPr>
      <w:bookmarkStart w:id="102" w:name="_Toc737"/>
      <w:bookmarkStart w:id="103" w:name="_Toc27647"/>
      <w:r>
        <w:rPr>
          <w:rFonts w:hint="eastAsia" w:ascii="宋体" w:hAnsi="宋体" w:eastAsia="宋体" w:cs="宋体"/>
          <w:bCs/>
          <w:color w:val="auto"/>
          <w:sz w:val="32"/>
          <w:szCs w:val="32"/>
          <w:highlight w:val="none"/>
        </w:rPr>
        <w:t>（技术部分）</w:t>
      </w:r>
      <w:bookmarkEnd w:id="102"/>
      <w:bookmarkEnd w:id="103"/>
    </w:p>
    <w:p w14:paraId="3D55A179">
      <w:pPr>
        <w:pStyle w:val="20"/>
        <w:shd w:val="clear"/>
        <w:jc w:val="center"/>
        <w:rPr>
          <w:rFonts w:hint="eastAsia" w:ascii="宋体" w:hAnsi="宋体" w:eastAsia="宋体" w:cs="宋体"/>
          <w:b/>
          <w:bCs w:val="0"/>
          <w:color w:val="auto"/>
          <w:kern w:val="0"/>
          <w:sz w:val="30"/>
          <w:szCs w:val="72"/>
          <w:highlight w:val="none"/>
          <w:lang w:val="en-US" w:eastAsia="zh-CN" w:bidi="ar-SA"/>
        </w:rPr>
      </w:pPr>
      <w:r>
        <w:rPr>
          <w:rFonts w:hint="eastAsia" w:ascii="宋体" w:hAnsi="宋体" w:eastAsia="宋体" w:cs="宋体"/>
          <w:b/>
          <w:bCs w:val="0"/>
          <w:color w:val="auto"/>
          <w:kern w:val="0"/>
          <w:sz w:val="30"/>
          <w:szCs w:val="72"/>
          <w:highlight w:val="none"/>
          <w:lang w:val="en-US" w:eastAsia="zh-CN" w:bidi="ar-SA"/>
        </w:rPr>
        <w:t>（本项目为目录外标准下项目）</w:t>
      </w:r>
    </w:p>
    <w:p w14:paraId="5DA2BCDE">
      <w:pPr>
        <w:shd w:val="clear"/>
        <w:topLinePunct/>
        <w:autoSpaceDE w:val="0"/>
        <w:autoSpaceDN w:val="0"/>
        <w:snapToGrid w:val="0"/>
        <w:spacing w:before="0" w:beforeAutospacing="0" w:after="0" w:afterAutospacing="0" w:line="240" w:lineRule="auto"/>
        <w:rPr>
          <w:rFonts w:hint="eastAsia" w:ascii="宋体" w:hAnsi="宋体" w:eastAsia="宋体" w:cs="宋体"/>
          <w:color w:val="auto"/>
          <w:sz w:val="44"/>
          <w:szCs w:val="44"/>
          <w:highlight w:val="none"/>
        </w:rPr>
      </w:pPr>
    </w:p>
    <w:p w14:paraId="0A36BDFA">
      <w:pPr>
        <w:shd w:val="clear"/>
        <w:spacing w:before="0" w:beforeAutospacing="0" w:after="0" w:afterAutospacing="0" w:line="240" w:lineRule="auto"/>
        <w:rPr>
          <w:rFonts w:hint="eastAsia" w:ascii="宋体" w:hAnsi="宋体" w:eastAsia="宋体" w:cs="宋体"/>
          <w:b/>
          <w:color w:val="auto"/>
          <w:sz w:val="44"/>
          <w:szCs w:val="44"/>
          <w:highlight w:val="none"/>
        </w:rPr>
      </w:pPr>
    </w:p>
    <w:p w14:paraId="6F01CB37">
      <w:pPr>
        <w:shd w:val="clear"/>
        <w:spacing w:before="0" w:beforeAutospacing="0" w:after="0" w:afterAutospacing="0" w:line="240" w:lineRule="auto"/>
        <w:rPr>
          <w:rFonts w:hint="eastAsia" w:ascii="宋体" w:hAnsi="宋体" w:eastAsia="宋体" w:cs="宋体"/>
          <w:color w:val="auto"/>
          <w:sz w:val="44"/>
          <w:szCs w:val="44"/>
          <w:highlight w:val="none"/>
        </w:rPr>
      </w:pPr>
    </w:p>
    <w:p w14:paraId="7C572E68">
      <w:pPr>
        <w:shd w:val="clear"/>
        <w:spacing w:before="0" w:beforeAutospacing="0" w:after="0" w:afterAutospacing="0" w:line="240" w:lineRule="auto"/>
        <w:rPr>
          <w:rFonts w:hint="eastAsia" w:ascii="宋体" w:hAnsi="宋体" w:eastAsia="宋体" w:cs="宋体"/>
          <w:b/>
          <w:color w:val="auto"/>
          <w:sz w:val="30"/>
          <w:szCs w:val="30"/>
          <w:highlight w:val="none"/>
        </w:rPr>
      </w:pPr>
    </w:p>
    <w:p w14:paraId="07C3C1FA">
      <w:pPr>
        <w:keepNext w:val="0"/>
        <w:keepLines w:val="0"/>
        <w:pageBreakBefore w:val="0"/>
        <w:widowControl w:val="0"/>
        <w:shd w:val="clear"/>
        <w:kinsoku/>
        <w:wordWrap/>
        <w:overflowPunct/>
        <w:topLinePunct w:val="0"/>
        <w:autoSpaceDE/>
        <w:autoSpaceDN/>
        <w:bidi w:val="0"/>
        <w:adjustRightInd/>
        <w:snapToGrid/>
        <w:spacing w:line="480" w:lineRule="auto"/>
        <w:ind w:left="1959" w:leftChars="266" w:hanging="1400" w:hangingChars="500"/>
        <w:jc w:val="both"/>
        <w:textAlignment w:val="auto"/>
        <w:rPr>
          <w:rFonts w:hint="default" w:ascii="宋体" w:hAnsi="宋体" w:eastAsia="宋体" w:cs="宋体"/>
          <w:b w:val="0"/>
          <w:bCs w:val="0"/>
          <w:color w:val="auto"/>
          <w:sz w:val="28"/>
          <w:szCs w:val="28"/>
          <w:highlight w:val="none"/>
          <w:u w:val="none"/>
          <w:lang w:val="en-US" w:eastAsia="zh-CN"/>
        </w:rPr>
      </w:pPr>
      <w:r>
        <w:rPr>
          <w:rFonts w:hint="eastAsia" w:ascii="宋体" w:hAnsi="宋体" w:eastAsia="宋体" w:cs="宋体"/>
          <w:b w:val="0"/>
          <w:bCs w:val="0"/>
          <w:color w:val="auto"/>
          <w:sz w:val="28"/>
          <w:szCs w:val="28"/>
          <w:highlight w:val="none"/>
          <w:u w:val="none"/>
        </w:rPr>
        <w:t>项目名称：</w:t>
      </w:r>
      <w:r>
        <w:rPr>
          <w:rFonts w:hint="eastAsia" w:ascii="宋体" w:hAnsi="宋体" w:cs="宋体"/>
          <w:b w:val="0"/>
          <w:bCs w:val="0"/>
          <w:color w:val="auto"/>
          <w:sz w:val="28"/>
          <w:szCs w:val="28"/>
          <w:highlight w:val="none"/>
          <w:u w:val="none"/>
          <w:lang w:eastAsia="zh-CN"/>
        </w:rPr>
        <w:t>国家税务总局南宁市西乡塘区税务局2026年物业管理项目</w:t>
      </w:r>
    </w:p>
    <w:p w14:paraId="346700AB">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项目编号：FC（ZB3）2026012C</w:t>
      </w:r>
    </w:p>
    <w:p w14:paraId="12F3B2B5">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lang w:eastAsia="zh-CN"/>
        </w:rPr>
      </w:pPr>
      <w:r>
        <w:rPr>
          <w:rFonts w:hint="eastAsia" w:ascii="宋体" w:hAnsi="宋体" w:eastAsia="宋体" w:cs="宋体"/>
          <w:color w:val="auto"/>
          <w:sz w:val="28"/>
          <w:szCs w:val="28"/>
          <w:highlight w:val="none"/>
          <w:u w:val="none"/>
        </w:rPr>
        <w:t>采 购 人：</w:t>
      </w:r>
      <w:r>
        <w:rPr>
          <w:rFonts w:hint="eastAsia" w:ascii="宋体" w:hAnsi="宋体" w:cs="宋体"/>
          <w:color w:val="auto"/>
          <w:sz w:val="28"/>
          <w:szCs w:val="28"/>
          <w:highlight w:val="none"/>
          <w:u w:val="none"/>
          <w:lang w:eastAsia="zh-CN"/>
        </w:rPr>
        <w:t>国家税务总局南宁市西乡塘区税务局</w:t>
      </w:r>
    </w:p>
    <w:p w14:paraId="4C62E611">
      <w:pPr>
        <w:keepNext w:val="0"/>
        <w:keepLines w:val="0"/>
        <w:pageBreakBefore w:val="0"/>
        <w:widowControl w:val="0"/>
        <w:shd w:val="clear"/>
        <w:kinsoku/>
        <w:wordWrap/>
        <w:overflowPunct/>
        <w:topLinePunct w:val="0"/>
        <w:autoSpaceDE/>
        <w:autoSpaceDN/>
        <w:bidi w:val="0"/>
        <w:adjustRightInd/>
        <w:snapToGrid/>
        <w:spacing w:line="480" w:lineRule="auto"/>
        <w:ind w:firstLine="560" w:firstLineChars="200"/>
        <w:jc w:val="both"/>
        <w:textAlignment w:val="auto"/>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采购代理机构：广西建设工程机电设备招标中心有限公司</w:t>
      </w:r>
    </w:p>
    <w:p w14:paraId="27735AB9">
      <w:pPr>
        <w:shd w:val="clear"/>
        <w:topLinePunct/>
        <w:autoSpaceDE w:val="0"/>
        <w:autoSpaceDN w:val="0"/>
        <w:spacing w:line="460" w:lineRule="exact"/>
        <w:rPr>
          <w:rFonts w:hint="eastAsia" w:ascii="宋体" w:hAnsi="宋体" w:eastAsia="宋体" w:cs="宋体"/>
          <w:b/>
          <w:color w:val="auto"/>
          <w:sz w:val="28"/>
          <w:szCs w:val="28"/>
          <w:highlight w:val="none"/>
          <w:u w:val="none"/>
        </w:rPr>
      </w:pPr>
    </w:p>
    <w:p w14:paraId="03EA5099">
      <w:pPr>
        <w:keepNext w:val="0"/>
        <w:keepLines w:val="0"/>
        <w:pageBreakBefore w:val="0"/>
        <w:widowControl w:val="0"/>
        <w:shd w:val="clear"/>
        <w:kinsoku/>
        <w:wordWrap/>
        <w:overflowPunct/>
        <w:bidi w:val="0"/>
        <w:adjustRightInd/>
        <w:snapToGrid/>
        <w:spacing w:line="500" w:lineRule="exact"/>
        <w:jc w:val="center"/>
        <w:textAlignment w:val="auto"/>
        <w:rPr>
          <w:rFonts w:hint="eastAsia" w:ascii="宋体" w:hAnsi="宋体" w:eastAsia="宋体" w:cs="宋体"/>
          <w:b w:val="0"/>
          <w:bCs w:val="0"/>
          <w:color w:val="auto"/>
          <w:sz w:val="28"/>
          <w:szCs w:val="28"/>
          <w:highlight w:val="none"/>
          <w:u w:val="none"/>
          <w:lang w:eastAsia="zh-CN"/>
        </w:rPr>
      </w:pPr>
      <w:r>
        <w:rPr>
          <w:rFonts w:hint="eastAsia" w:ascii="宋体" w:hAnsi="宋体" w:cs="宋体"/>
          <w:b w:val="0"/>
          <w:bCs w:val="0"/>
          <w:color w:val="auto"/>
          <w:sz w:val="28"/>
          <w:szCs w:val="28"/>
          <w:highlight w:val="none"/>
          <w:u w:val="none"/>
          <w:lang w:eastAsia="zh-CN"/>
        </w:rPr>
        <w:t>国家税务总局南宁市西乡塘区税务局</w:t>
      </w:r>
    </w:p>
    <w:p w14:paraId="71B07E13">
      <w:pPr>
        <w:shd w:val="clear"/>
        <w:topLinePunct/>
        <w:autoSpaceDE w:val="0"/>
        <w:autoSpaceDN w:val="0"/>
        <w:spacing w:before="0" w:beforeAutospacing="0" w:after="0" w:afterAutospacing="0" w:line="480" w:lineRule="auto"/>
        <w:jc w:val="center"/>
        <w:rPr>
          <w:rFonts w:hint="eastAsia" w:ascii="宋体" w:hAnsi="宋体" w:eastAsia="宋体" w:cs="宋体"/>
          <w:color w:val="auto"/>
          <w:sz w:val="30"/>
          <w:szCs w:val="30"/>
          <w:highlight w:val="none"/>
        </w:rPr>
      </w:pPr>
      <w:r>
        <w:rPr>
          <w:rFonts w:hint="eastAsia" w:ascii="宋体" w:hAnsi="宋体" w:cs="宋体"/>
          <w:color w:val="auto"/>
          <w:sz w:val="28"/>
          <w:szCs w:val="28"/>
          <w:highlight w:val="none"/>
          <w:u w:val="none"/>
          <w:lang w:val="en-US" w:eastAsia="zh-CN"/>
        </w:rPr>
        <w:t>2026年2月2日</w:t>
      </w:r>
    </w:p>
    <w:p w14:paraId="0C138C3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104" w:name="_Toc16837"/>
      <w:bookmarkStart w:id="105" w:name="_Toc12366"/>
      <w:r>
        <w:rPr>
          <w:rFonts w:hint="eastAsia" w:ascii="宋体" w:hAnsi="宋体" w:eastAsia="宋体" w:cs="宋体"/>
          <w:b/>
          <w:bCs/>
          <w:color w:val="auto"/>
          <w:sz w:val="28"/>
          <w:szCs w:val="28"/>
          <w:highlight w:val="none"/>
        </w:rPr>
        <w:t>第六章  项目采购需求</w:t>
      </w:r>
      <w:bookmarkEnd w:id="104"/>
      <w:bookmarkEnd w:id="105"/>
    </w:p>
    <w:p w14:paraId="2BEBB4DE">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731A40E1">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1.供应商提供的服务必须符合国家和行业标准。</w:t>
      </w:r>
    </w:p>
    <w:p w14:paraId="7D56B437">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2.标“★”为实质性参数要求和条件，供应商必须满足并在响应文件中如实作出响应，否则响应无效；标“▲”为重点指标；无标识的为一般指标。</w:t>
      </w:r>
    </w:p>
    <w:p w14:paraId="783B7EB5">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3.供应商响应时必须在响应文件中对所竞分标所有项目要求及技术需求内容、商务要求表中内容及附件内容（如有）逐条响应并一一对应。</w:t>
      </w:r>
    </w:p>
    <w:p w14:paraId="3186755A">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bookmarkStart w:id="106" w:name="_Toc132880670"/>
    </w:p>
    <w:p w14:paraId="54939EF7">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textAlignment w:val="auto"/>
        <w:outlineLvl w:val="1"/>
        <w:rPr>
          <w:rFonts w:hint="eastAsia" w:ascii="宋体" w:hAnsi="宋体" w:eastAsia="宋体" w:cs="宋体"/>
          <w:b/>
          <w:bCs/>
          <w:color w:val="auto"/>
          <w:highlight w:val="none"/>
        </w:rPr>
      </w:pPr>
      <w:bookmarkStart w:id="107" w:name="_Toc26124"/>
      <w:bookmarkStart w:id="108" w:name="_Toc28095"/>
      <w:r>
        <w:rPr>
          <w:rFonts w:hint="eastAsia" w:ascii="宋体" w:hAnsi="宋体" w:eastAsia="宋体" w:cs="宋体"/>
          <w:b/>
          <w:bCs/>
          <w:color w:val="auto"/>
          <w:highlight w:val="none"/>
        </w:rPr>
        <w:t>一、项目概况</w:t>
      </w:r>
      <w:bookmarkEnd w:id="106"/>
      <w:bookmarkEnd w:id="107"/>
      <w:bookmarkEnd w:id="108"/>
    </w:p>
    <w:tbl>
      <w:tblPr>
        <w:tblStyle w:val="36"/>
        <w:tblW w:w="84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9"/>
        <w:gridCol w:w="2748"/>
        <w:gridCol w:w="2430"/>
        <w:gridCol w:w="2303"/>
      </w:tblGrid>
      <w:tr w14:paraId="67601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9" w:type="dxa"/>
            <w:noWrap w:val="0"/>
            <w:vAlign w:val="center"/>
          </w:tcPr>
          <w:p w14:paraId="1C2F64CD">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采购包</w:t>
            </w:r>
          </w:p>
        </w:tc>
        <w:tc>
          <w:tcPr>
            <w:tcW w:w="2748" w:type="dxa"/>
            <w:noWrap w:val="0"/>
            <w:vAlign w:val="center"/>
          </w:tcPr>
          <w:p w14:paraId="192197B8">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w:t>
            </w:r>
          </w:p>
        </w:tc>
        <w:tc>
          <w:tcPr>
            <w:tcW w:w="2430" w:type="dxa"/>
            <w:noWrap w:val="0"/>
            <w:vAlign w:val="center"/>
          </w:tcPr>
          <w:p w14:paraId="5BC5D928">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最高限价</w:t>
            </w:r>
          </w:p>
        </w:tc>
        <w:tc>
          <w:tcPr>
            <w:tcW w:w="2303" w:type="dxa"/>
            <w:noWrap w:val="0"/>
            <w:vAlign w:val="top"/>
          </w:tcPr>
          <w:p w14:paraId="7E3E2C0D">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采购标的对应的中小企业划分标准所属行业</w:t>
            </w:r>
          </w:p>
        </w:tc>
      </w:tr>
      <w:tr w14:paraId="33EA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39" w:type="dxa"/>
            <w:noWrap w:val="0"/>
            <w:vAlign w:val="center"/>
          </w:tcPr>
          <w:p w14:paraId="10BFF565">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48" w:type="dxa"/>
            <w:noWrap w:val="0"/>
            <w:vAlign w:val="center"/>
          </w:tcPr>
          <w:p w14:paraId="7FD9DFD8">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国家税务总局南宁市西乡塘区税务局2026年物业管理项目</w:t>
            </w:r>
          </w:p>
        </w:tc>
        <w:tc>
          <w:tcPr>
            <w:tcW w:w="2430" w:type="dxa"/>
            <w:noWrap w:val="0"/>
            <w:vAlign w:val="center"/>
          </w:tcPr>
          <w:p w14:paraId="0303C725">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人民币（大写）</w:t>
            </w:r>
            <w:r>
              <w:rPr>
                <w:rFonts w:hint="eastAsia" w:ascii="宋体" w:hAnsi="宋体" w:cs="宋体"/>
                <w:color w:val="auto"/>
                <w:sz w:val="21"/>
                <w:szCs w:val="21"/>
                <w:highlight w:val="none"/>
                <w:lang w:eastAsia="zh-CN"/>
              </w:rPr>
              <w:t>玖拾捌万捌仟元</w:t>
            </w:r>
            <w:r>
              <w:rPr>
                <w:rFonts w:hint="eastAsia" w:ascii="宋体" w:hAnsi="宋体" w:eastAsia="宋体" w:cs="宋体"/>
                <w:color w:val="auto"/>
                <w:sz w:val="21"/>
                <w:szCs w:val="21"/>
                <w:highlight w:val="none"/>
              </w:rPr>
              <w:t>整/年（¥</w:t>
            </w:r>
            <w:r>
              <w:rPr>
                <w:rFonts w:hint="eastAsia" w:ascii="宋体" w:hAnsi="宋体" w:cs="宋体"/>
                <w:color w:val="auto"/>
                <w:sz w:val="21"/>
                <w:szCs w:val="21"/>
                <w:highlight w:val="none"/>
                <w:lang w:eastAsia="zh-CN"/>
              </w:rPr>
              <w:t>988,000.00</w:t>
            </w:r>
            <w:r>
              <w:rPr>
                <w:rFonts w:hint="eastAsia" w:ascii="宋体" w:hAnsi="宋体" w:eastAsia="宋体" w:cs="宋体"/>
                <w:color w:val="auto"/>
                <w:sz w:val="21"/>
                <w:szCs w:val="21"/>
                <w:highlight w:val="none"/>
              </w:rPr>
              <w:t>元/年）</w:t>
            </w:r>
          </w:p>
        </w:tc>
        <w:tc>
          <w:tcPr>
            <w:tcW w:w="2303" w:type="dxa"/>
            <w:noWrap w:val="0"/>
            <w:vAlign w:val="center"/>
          </w:tcPr>
          <w:p w14:paraId="202320E8">
            <w:pPr>
              <w:keepNext w:val="0"/>
              <w:keepLines w:val="0"/>
              <w:widowControl/>
              <w:suppressLineNumbers w:val="0"/>
              <w:shd w:val="clear"/>
              <w:topLinePunct/>
              <w:snapToGrid w:val="0"/>
              <w:spacing w:before="0" w:beforeAutospacing="0" w:after="0" w:afterAutospacing="0" w:line="400" w:lineRule="exact"/>
              <w:ind w:left="0" w:right="0"/>
              <w:jc w:val="center"/>
              <w:rPr>
                <w:rFonts w:hint="eastAsia" w:ascii="宋体" w:hAnsi="宋体" w:eastAsia="宋体" w:cs="宋体"/>
                <w:color w:val="auto"/>
                <w:sz w:val="21"/>
                <w:szCs w:val="21"/>
                <w:highlight w:val="none"/>
                <w:lang w:val="en-US" w:eastAsia="zh-CN"/>
              </w:rPr>
            </w:pPr>
            <w:r>
              <w:rPr>
                <w:rFonts w:hint="eastAsia"/>
                <w:color w:val="auto"/>
                <w:spacing w:val="6"/>
                <w:highlight w:val="none"/>
                <w:lang w:eastAsia="zh-CN"/>
              </w:rPr>
              <w:t>物业管理</w:t>
            </w:r>
          </w:p>
        </w:tc>
      </w:tr>
    </w:tbl>
    <w:p w14:paraId="0191832F">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0" w:firstLineChars="200"/>
        <w:jc w:val="left"/>
        <w:textAlignment w:val="auto"/>
        <w:rPr>
          <w:rFonts w:hint="eastAsia" w:ascii="宋体" w:hAnsi="宋体" w:eastAsia="宋体" w:cs="宋体"/>
          <w:color w:val="auto"/>
          <w:sz w:val="21"/>
          <w:szCs w:val="21"/>
          <w:highlight w:val="none"/>
        </w:rPr>
      </w:pPr>
    </w:p>
    <w:p w14:paraId="3520881A">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422" w:firstLineChars="200"/>
        <w:textAlignment w:val="auto"/>
        <w:outlineLvl w:val="1"/>
        <w:rPr>
          <w:rFonts w:hint="eastAsia" w:ascii="宋体" w:hAnsi="宋体" w:eastAsia="宋体" w:cs="宋体"/>
          <w:b/>
          <w:bCs/>
          <w:color w:val="auto"/>
          <w:highlight w:val="none"/>
        </w:rPr>
      </w:pPr>
      <w:bookmarkStart w:id="109" w:name="_Toc19729"/>
      <w:bookmarkStart w:id="110" w:name="_Toc5062"/>
      <w:r>
        <w:rPr>
          <w:rFonts w:hint="eastAsia" w:ascii="宋体" w:hAnsi="宋体" w:eastAsia="宋体" w:cs="宋体"/>
          <w:b/>
          <w:bCs/>
          <w:color w:val="auto"/>
          <w:highlight w:val="none"/>
        </w:rPr>
        <w:t>二、技术要求</w:t>
      </w:r>
      <w:bookmarkEnd w:id="109"/>
      <w:bookmarkEnd w:id="110"/>
    </w:p>
    <w:p w14:paraId="029111DF">
      <w:pPr>
        <w:widowControl/>
        <w:numPr>
          <w:ilvl w:val="0"/>
          <w:numId w:val="0"/>
        </w:numPr>
        <w:shd w:val="clear"/>
        <w:topLinePunct/>
        <w:snapToGrid w:val="0"/>
        <w:spacing w:before="0" w:beforeAutospacing="0" w:after="0" w:afterAutospacing="0" w:line="400" w:lineRule="exact"/>
        <w:ind w:firstLine="422" w:firstLineChars="200"/>
        <w:jc w:val="left"/>
        <w:outlineLvl w:val="9"/>
        <w:rPr>
          <w:rFonts w:hint="eastAsia" w:ascii="宋体" w:hAnsi="宋体" w:eastAsia="宋体" w:cs="宋体"/>
          <w:b/>
          <w:bCs/>
          <w:color w:val="auto"/>
          <w:kern w:val="2"/>
          <w:sz w:val="21"/>
          <w:szCs w:val="21"/>
          <w:highlight w:val="none"/>
          <w:lang w:val="en-US" w:eastAsia="zh-CN" w:bidi="ar-SA"/>
        </w:rPr>
      </w:pPr>
      <w:bookmarkStart w:id="111" w:name="_Toc12018"/>
    </w:p>
    <w:tbl>
      <w:tblPr>
        <w:tblStyle w:val="35"/>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8"/>
        <w:gridCol w:w="628"/>
        <w:gridCol w:w="790"/>
        <w:gridCol w:w="6504"/>
      </w:tblGrid>
      <w:tr w14:paraId="0E88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28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432DB1E">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303B867">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47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C22034">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数量及单位</w:t>
            </w:r>
          </w:p>
        </w:tc>
        <w:tc>
          <w:tcPr>
            <w:tcW w:w="38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C254DC0">
            <w:pPr>
              <w:keepNext w:val="0"/>
              <w:keepLines w:val="0"/>
              <w:suppressLineNumbers w:val="0"/>
              <w:snapToGrid w:val="0"/>
              <w:spacing w:before="120" w:after="60" w:line="240" w:lineRule="auto"/>
              <w:ind w:left="0" w:right="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技术需求或者服务要求</w:t>
            </w:r>
          </w:p>
        </w:tc>
      </w:tr>
      <w:tr w14:paraId="4039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6" w:hRule="atLeast"/>
        </w:trPr>
        <w:tc>
          <w:tcPr>
            <w:tcW w:w="284"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D8C2897">
            <w:pPr>
              <w:keepNext w:val="0"/>
              <w:keepLines w:val="0"/>
              <w:numPr>
                <w:ilvl w:val="0"/>
                <w:numId w:val="0"/>
              </w:numPr>
              <w:suppressLineNumbers w:val="0"/>
              <w:snapToGrid w:val="0"/>
              <w:spacing w:before="120" w:after="60" w:line="360" w:lineRule="exact"/>
              <w:ind w:left="1573" w:leftChars="0" w:right="0" w:hanging="1432" w:firstLineChars="0"/>
              <w:jc w:val="center"/>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SA"/>
              </w:rPr>
              <w:t>1</w:t>
            </w:r>
          </w:p>
        </w:tc>
        <w:tc>
          <w:tcPr>
            <w:tcW w:w="373"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0F83C5">
            <w:pPr>
              <w:keepNext w:val="0"/>
              <w:keepLines w:val="0"/>
              <w:widowControl/>
              <w:suppressLineNumbers w:val="0"/>
              <w:snapToGrid w:val="0"/>
              <w:spacing w:before="120" w:after="60" w:line="360" w:lineRule="exact"/>
              <w:ind w:left="0" w:right="0"/>
              <w:jc w:val="center"/>
              <w:rPr>
                <w:rFonts w:hint="eastAsia" w:ascii="宋体" w:hAnsi="宋体" w:eastAsia="宋体" w:cs="宋体"/>
                <w:color w:val="auto"/>
                <w:szCs w:val="21"/>
                <w:highlight w:val="none"/>
                <w:lang w:eastAsia="zh-CN"/>
              </w:rPr>
            </w:pPr>
            <w:r>
              <w:rPr>
                <w:rFonts w:hint="eastAsia" w:ascii="宋体" w:hAnsi="宋体" w:cs="宋体"/>
                <w:color w:val="auto"/>
                <w:sz w:val="21"/>
                <w:szCs w:val="21"/>
                <w:highlight w:val="none"/>
                <w:lang w:eastAsia="zh-CN"/>
              </w:rPr>
              <w:t>国家税务总局南宁市西乡塘区税务局2026年物业管理项目</w:t>
            </w:r>
          </w:p>
        </w:tc>
        <w:tc>
          <w:tcPr>
            <w:tcW w:w="470"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EBB02BD">
            <w:pPr>
              <w:keepNext w:val="0"/>
              <w:keepLines w:val="0"/>
              <w:widowControl/>
              <w:suppressLineNumbers w:val="0"/>
              <w:snapToGrid w:val="0"/>
              <w:spacing w:before="120" w:after="60" w:line="36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项</w:t>
            </w:r>
          </w:p>
        </w:tc>
        <w:tc>
          <w:tcPr>
            <w:tcW w:w="3871" w:type="pct"/>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tcPr>
          <w:p w14:paraId="12E73E50">
            <w:pPr>
              <w:keepNext w:val="0"/>
              <w:keepLines w:val="0"/>
              <w:pageBreakBefore w:val="0"/>
              <w:widowControl/>
              <w:numPr>
                <w:ilvl w:val="0"/>
                <w:numId w:val="0"/>
              </w:numPr>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一、项目基本概况</w:t>
            </w:r>
          </w:p>
          <w:p w14:paraId="12E73E50">
            <w:pPr>
              <w:keepNext w:val="0"/>
              <w:keepLines w:val="0"/>
              <w:pageBreakBefore w:val="0"/>
              <w:widowControl/>
              <w:numPr>
                <w:ilvl w:val="0"/>
                <w:numId w:val="0"/>
              </w:numPr>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cs="仿宋_GB2312"/>
                <w:bCs/>
                <w:color w:val="auto"/>
                <w:szCs w:val="21"/>
                <w:highlight w:val="none"/>
              </w:rPr>
              <w:t>国家税务总局南宁市西乡塘区税务局位于南宁市明秀西路25号、明秀东路135号</w:t>
            </w:r>
            <w:r>
              <w:rPr>
                <w:rFonts w:hint="eastAsia" w:ascii="宋体" w:hAnsi="宋体" w:cs="仿宋_GB2312"/>
                <w:bCs/>
                <w:color w:val="auto"/>
                <w:szCs w:val="21"/>
                <w:highlight w:val="none"/>
                <w:lang w:eastAsia="zh-CN"/>
              </w:rPr>
              <w:t>、人民西路</w:t>
            </w:r>
            <w:r>
              <w:rPr>
                <w:rFonts w:hint="eastAsia" w:ascii="宋体" w:hAnsi="宋体" w:cs="仿宋_GB2312"/>
                <w:bCs/>
                <w:color w:val="auto"/>
                <w:szCs w:val="21"/>
                <w:highlight w:val="none"/>
                <w:lang w:val="en-US" w:eastAsia="zh-CN"/>
              </w:rPr>
              <w:t>21号</w:t>
            </w:r>
            <w:r>
              <w:rPr>
                <w:rFonts w:hint="eastAsia" w:ascii="宋体" w:hAnsi="宋体" w:cs="仿宋_GB2312"/>
                <w:bCs/>
                <w:color w:val="auto"/>
                <w:szCs w:val="21"/>
                <w:highlight w:val="none"/>
              </w:rPr>
              <w:t>，连同未出售</w:t>
            </w:r>
            <w:r>
              <w:rPr>
                <w:rFonts w:hint="eastAsia" w:ascii="宋体" w:hAnsi="宋体" w:cs="仿宋_GB2312"/>
                <w:bCs/>
                <w:color w:val="auto"/>
                <w:szCs w:val="21"/>
                <w:highlight w:val="none"/>
                <w:lang w:eastAsia="zh-CN"/>
              </w:rPr>
              <w:t>唐山路、明秀东路院内、明秀西路院内</w:t>
            </w:r>
            <w:r>
              <w:rPr>
                <w:rFonts w:hint="eastAsia" w:ascii="宋体" w:hAnsi="宋体" w:cs="仿宋_GB2312"/>
                <w:bCs/>
                <w:color w:val="auto"/>
                <w:szCs w:val="21"/>
                <w:highlight w:val="none"/>
              </w:rPr>
              <w:t>共有住房的面积，总建筑面积约为</w:t>
            </w:r>
            <w:r>
              <w:rPr>
                <w:rFonts w:hint="eastAsia" w:ascii="宋体" w:hAnsi="宋体" w:cs="仿宋_GB2312"/>
                <w:bCs/>
                <w:color w:val="auto"/>
                <w:szCs w:val="21"/>
                <w:highlight w:val="none"/>
                <w:lang w:val="en-US" w:eastAsia="zh-CN"/>
              </w:rPr>
              <w:t>9576.98</w:t>
            </w:r>
            <w:r>
              <w:rPr>
                <w:rFonts w:hint="eastAsia" w:ascii="宋体" w:hAnsi="宋体" w:cs="仿宋_GB2312"/>
                <w:bCs/>
                <w:color w:val="auto"/>
                <w:szCs w:val="21"/>
                <w:highlight w:val="none"/>
              </w:rPr>
              <w:t>平方米。项目主要建筑为南宁市西乡塘区税务局明秀西路25号办公区九层办公楼、明秀</w:t>
            </w:r>
            <w:r>
              <w:rPr>
                <w:rFonts w:hint="eastAsia" w:ascii="宋体" w:hAnsi="宋体" w:cs="仿宋_GB2312"/>
                <w:bCs/>
                <w:color w:val="auto"/>
                <w:szCs w:val="21"/>
                <w:highlight w:val="none"/>
                <w:lang w:eastAsia="zh-CN"/>
              </w:rPr>
              <w:t>东</w:t>
            </w:r>
            <w:r>
              <w:rPr>
                <w:rFonts w:hint="eastAsia" w:ascii="宋体" w:hAnsi="宋体" w:cs="仿宋_GB2312"/>
                <w:bCs/>
                <w:color w:val="auto"/>
                <w:szCs w:val="21"/>
                <w:highlight w:val="none"/>
              </w:rPr>
              <w:t>路</w:t>
            </w:r>
            <w:r>
              <w:rPr>
                <w:rFonts w:hint="eastAsia" w:ascii="宋体" w:hAnsi="宋体" w:cs="仿宋_GB2312"/>
                <w:bCs/>
                <w:color w:val="auto"/>
                <w:szCs w:val="21"/>
                <w:highlight w:val="none"/>
                <w:lang w:val="en-US" w:eastAsia="zh-CN"/>
              </w:rPr>
              <w:t>135</w:t>
            </w:r>
            <w:r>
              <w:rPr>
                <w:rFonts w:hint="eastAsia" w:ascii="宋体" w:hAnsi="宋体" w:cs="仿宋_GB2312"/>
                <w:bCs/>
                <w:color w:val="auto"/>
                <w:szCs w:val="21"/>
                <w:highlight w:val="none"/>
              </w:rPr>
              <w:t>号办公区九层办</w:t>
            </w:r>
            <w:r>
              <w:rPr>
                <w:rFonts w:hint="eastAsia" w:ascii="宋体" w:hAnsi="宋体" w:eastAsia="宋体" w:cs="仿宋_GB2312"/>
                <w:bCs/>
                <w:color w:val="auto"/>
                <w:szCs w:val="21"/>
                <w:highlight w:val="none"/>
              </w:rPr>
              <w:t>公楼</w:t>
            </w:r>
            <w:r>
              <w:rPr>
                <w:rFonts w:hint="eastAsia" w:ascii="宋体" w:hAnsi="宋体" w:cs="仿宋_GB2312"/>
                <w:bCs/>
                <w:color w:val="auto"/>
                <w:szCs w:val="21"/>
                <w:highlight w:val="none"/>
                <w:lang w:val="en-US" w:eastAsia="zh-CN"/>
              </w:rPr>
              <w:t>和五层附属楼</w:t>
            </w:r>
            <w:r>
              <w:rPr>
                <w:rFonts w:hint="eastAsia" w:ascii="宋体" w:hAnsi="宋体" w:eastAsia="宋体" w:cs="仿宋_GB2312"/>
                <w:bCs/>
                <w:color w:val="auto"/>
                <w:szCs w:val="21"/>
                <w:highlight w:val="none"/>
                <w:lang w:eastAsia="zh-CN"/>
              </w:rPr>
              <w:t>、</w:t>
            </w:r>
            <w:r>
              <w:rPr>
                <w:rFonts w:hint="eastAsia" w:ascii="宋体" w:hAnsi="宋体" w:eastAsia="宋体" w:cs="仿宋_GB2312"/>
                <w:bCs/>
                <w:color w:val="auto"/>
                <w:szCs w:val="21"/>
                <w:highlight w:val="none"/>
              </w:rPr>
              <w:t>地面停车位25个。</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outlineLvl w:val="9"/>
              <w:rPr>
                <w:rFonts w:hint="eastAsia" w:ascii="宋体" w:hAnsi="宋体" w:cs="黑体"/>
                <w:b/>
                <w:bCs/>
                <w:color w:val="auto"/>
                <w:szCs w:val="21"/>
                <w:highlight w:val="none"/>
              </w:rPr>
            </w:pPr>
            <w:r>
              <w:rPr>
                <w:rFonts w:hint="eastAsia" w:ascii="宋体" w:hAnsi="宋体" w:cs="黑体"/>
                <w:b/>
                <w:bCs/>
                <w:color w:val="auto"/>
                <w:szCs w:val="21"/>
                <w:highlight w:val="none"/>
                <w:lang w:val="en-US" w:eastAsia="zh-CN"/>
              </w:rPr>
              <w:t>二</w:t>
            </w:r>
            <w:r>
              <w:rPr>
                <w:rFonts w:hint="eastAsia" w:ascii="宋体" w:hAnsi="宋体" w:cs="黑体"/>
                <w:b/>
                <w:bCs/>
                <w:color w:val="auto"/>
                <w:szCs w:val="21"/>
                <w:highlight w:val="none"/>
              </w:rPr>
              <w:t>、服务需求范围</w:t>
            </w:r>
          </w:p>
          <w:p w14:paraId="37E8445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（一）</w:t>
            </w:r>
            <w:r>
              <w:rPr>
                <w:rFonts w:hint="eastAsia" w:ascii="宋体" w:hAnsi="宋体" w:cs="仿宋_GB2312"/>
                <w:bCs/>
                <w:color w:val="auto"/>
                <w:szCs w:val="21"/>
                <w:highlight w:val="none"/>
              </w:rPr>
              <w:t>物业公共部位的维修、养护和管理，公共部位和相关场地及办公室的卫生清洁、保洁、垃圾收集、清运，排污管道的疏通，所有物业范围内的除“四害”以及下水道、化粪池的定期清理。</w:t>
            </w:r>
          </w:p>
          <w:p w14:paraId="21083D2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（二）</w:t>
            </w:r>
            <w:r>
              <w:rPr>
                <w:rFonts w:hint="eastAsia" w:ascii="宋体" w:hAnsi="宋体" w:cs="仿宋_GB2312"/>
                <w:bCs/>
                <w:color w:val="auto"/>
                <w:szCs w:val="21"/>
                <w:highlight w:val="none"/>
              </w:rPr>
              <w:t>物业公共设施、设备的维修、养护、运行、清洁、保洁和管理。</w:t>
            </w:r>
          </w:p>
          <w:p w14:paraId="5473813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（三）</w:t>
            </w:r>
            <w:r>
              <w:rPr>
                <w:rFonts w:hint="eastAsia" w:ascii="宋体" w:hAnsi="宋体" w:cs="仿宋_GB2312"/>
                <w:bCs/>
                <w:color w:val="auto"/>
                <w:szCs w:val="21"/>
                <w:highlight w:val="none"/>
              </w:rPr>
              <w:t>物业公共部分部位、会议室、办公室绿色植物等摆放与护理。</w:t>
            </w:r>
          </w:p>
          <w:p w14:paraId="0C4D88A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（四）</w:t>
            </w:r>
            <w:r>
              <w:rPr>
                <w:rFonts w:hint="eastAsia" w:ascii="宋体" w:hAnsi="宋体" w:cs="仿宋_GB2312"/>
                <w:bCs/>
                <w:color w:val="auto"/>
                <w:szCs w:val="21"/>
                <w:highlight w:val="none"/>
              </w:rPr>
              <w:t>公共绿化的养护和管理。</w:t>
            </w:r>
          </w:p>
          <w:p w14:paraId="0822989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（五）</w:t>
            </w:r>
            <w:r>
              <w:rPr>
                <w:rFonts w:hint="eastAsia" w:ascii="宋体" w:hAnsi="宋体" w:cs="仿宋_GB2312"/>
                <w:bCs/>
                <w:color w:val="auto"/>
                <w:szCs w:val="21"/>
                <w:highlight w:val="none"/>
              </w:rPr>
              <w:t>物业区域内车辆行驶、停放、保管及交通设施、设备的维护和管理。</w:t>
            </w:r>
          </w:p>
          <w:p w14:paraId="5FF325D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（六）</w:t>
            </w:r>
            <w:r>
              <w:rPr>
                <w:rFonts w:hint="eastAsia" w:ascii="宋体" w:hAnsi="宋体" w:cs="仿宋_GB2312"/>
                <w:bCs/>
                <w:color w:val="auto"/>
                <w:szCs w:val="21"/>
                <w:highlight w:val="none"/>
              </w:rPr>
              <w:t>公共秩序维护、安全防范等事项的管理和服务（包括执勤、巡视、安全监护和违禁危险品监控及避雷、防火、防盗、防破坏、防事故、抢险及协助处理突发事件等工作）。</w:t>
            </w:r>
          </w:p>
          <w:p w14:paraId="3603326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（七）</w:t>
            </w:r>
            <w:r>
              <w:rPr>
                <w:rFonts w:hint="eastAsia" w:ascii="宋体" w:hAnsi="宋体" w:cs="仿宋_GB2312"/>
                <w:bCs/>
                <w:color w:val="auto"/>
                <w:szCs w:val="21"/>
                <w:highlight w:val="none"/>
              </w:rPr>
              <w:t>办税服务大厅秩序维护、安全防范，引导纳税人填报各类办税表格、复印资料等。</w:t>
            </w:r>
          </w:p>
          <w:p w14:paraId="6235B3C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eastAsia="宋体" w:cs="仿宋_GB2312"/>
                <w:bCs/>
                <w:color w:val="auto"/>
                <w:szCs w:val="21"/>
                <w:highlight w:val="none"/>
                <w:lang w:eastAsia="zh-CN"/>
              </w:rPr>
            </w:pPr>
            <w:r>
              <w:rPr>
                <w:rFonts w:hint="eastAsia" w:ascii="宋体" w:hAnsi="宋体" w:cs="仿宋_GB2312"/>
                <w:bCs/>
                <w:color w:val="auto"/>
                <w:szCs w:val="21"/>
                <w:highlight w:val="none"/>
                <w:lang w:eastAsia="zh-CN"/>
              </w:rPr>
              <w:t>（八）午休房管理（统计、调整）</w:t>
            </w:r>
          </w:p>
          <w:p w14:paraId="3C6ECC2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w:t>
            </w:r>
            <w:r>
              <w:rPr>
                <w:rFonts w:hint="eastAsia" w:ascii="宋体" w:hAnsi="宋体" w:cs="楷体_GB2312"/>
                <w:bCs/>
                <w:color w:val="auto"/>
                <w:szCs w:val="21"/>
                <w:highlight w:val="none"/>
                <w:lang w:eastAsia="zh-CN"/>
              </w:rPr>
              <w:t>九</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物业管理区域内装饰、装修物业的行为管理。</w:t>
            </w:r>
          </w:p>
          <w:p w14:paraId="759EB86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w:t>
            </w:r>
            <w:r>
              <w:rPr>
                <w:rFonts w:hint="eastAsia" w:ascii="宋体" w:hAnsi="宋体" w:cs="楷体_GB2312"/>
                <w:bCs/>
                <w:color w:val="auto"/>
                <w:szCs w:val="21"/>
                <w:highlight w:val="none"/>
                <w:lang w:eastAsia="zh-CN"/>
              </w:rPr>
              <w:t>十</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物业档案资料管理。</w:t>
            </w:r>
          </w:p>
          <w:p w14:paraId="4B9E6B3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（十</w:t>
            </w:r>
            <w:r>
              <w:rPr>
                <w:rFonts w:hint="eastAsia" w:ascii="宋体" w:hAnsi="宋体" w:cs="楷体_GB2312"/>
                <w:bCs/>
                <w:color w:val="auto"/>
                <w:szCs w:val="21"/>
                <w:highlight w:val="none"/>
                <w:lang w:eastAsia="zh-CN"/>
              </w:rPr>
              <w:t>一</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对各办公室内的日常使用的报刊、物业用品等物资配送、发放。</w:t>
            </w:r>
          </w:p>
          <w:p w14:paraId="38C7457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（十</w:t>
            </w:r>
            <w:r>
              <w:rPr>
                <w:rFonts w:hint="eastAsia" w:ascii="宋体" w:hAnsi="宋体" w:cs="楷体_GB2312"/>
                <w:bCs/>
                <w:color w:val="auto"/>
                <w:szCs w:val="21"/>
                <w:highlight w:val="none"/>
                <w:lang w:eastAsia="zh-CN"/>
              </w:rPr>
              <w:t>二</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各办公室订阅（含个人订阅）的报刊、杂志、邮件等得分类及发放签收。</w:t>
            </w:r>
          </w:p>
          <w:p w14:paraId="0EB34C3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lang w:eastAsia="zh-CN"/>
              </w:rPr>
            </w:pPr>
            <w:r>
              <w:rPr>
                <w:rFonts w:hint="eastAsia" w:ascii="宋体" w:hAnsi="宋体" w:cs="仿宋_GB2312"/>
                <w:bCs/>
                <w:color w:val="auto"/>
                <w:szCs w:val="21"/>
                <w:highlight w:val="none"/>
                <w:lang w:eastAsia="zh-CN"/>
              </w:rPr>
              <w:t>（十三）会务及其他服务（包括会标、座位牌、视频音响播放、茶水服务、音响设备专业管理、重要楼层的接待服务）。</w:t>
            </w:r>
          </w:p>
          <w:p w14:paraId="4331A37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default" w:ascii="宋体" w:hAnsi="宋体" w:cs="仿宋_GB2312"/>
                <w:bCs/>
                <w:color w:val="auto"/>
                <w:szCs w:val="21"/>
                <w:highlight w:val="none"/>
                <w:lang w:val="en-US" w:eastAsia="zh-CN"/>
              </w:rPr>
            </w:pPr>
            <w:r>
              <w:rPr>
                <w:rFonts w:hint="eastAsia" w:ascii="宋体" w:hAnsi="宋体" w:cs="仿宋_GB2312"/>
                <w:bCs/>
                <w:color w:val="auto"/>
                <w:szCs w:val="21"/>
                <w:highlight w:val="none"/>
                <w:lang w:val="en-US" w:eastAsia="zh-CN"/>
              </w:rPr>
              <w:t>（十四）协助税局对其下属的其他办公点及房产进行巡检工作。</w:t>
            </w:r>
          </w:p>
          <w:p w14:paraId="63796CB0">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（十</w:t>
            </w:r>
            <w:r>
              <w:rPr>
                <w:rFonts w:hint="eastAsia" w:ascii="宋体" w:hAnsi="宋体" w:cs="楷体_GB2312"/>
                <w:bCs/>
                <w:color w:val="auto"/>
                <w:szCs w:val="21"/>
                <w:highlight w:val="none"/>
                <w:lang w:eastAsia="zh-CN"/>
              </w:rPr>
              <w:t>五</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采购人与成交人协商后，认为有必要交给物业公司管理的其他项目。</w:t>
            </w:r>
          </w:p>
          <w:p w14:paraId="2D0287C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（十</w:t>
            </w:r>
            <w:r>
              <w:rPr>
                <w:rFonts w:hint="eastAsia" w:ascii="宋体" w:hAnsi="宋体" w:cs="楷体_GB2312"/>
                <w:bCs/>
                <w:color w:val="auto"/>
                <w:szCs w:val="21"/>
                <w:highlight w:val="none"/>
                <w:lang w:eastAsia="zh-CN"/>
              </w:rPr>
              <w:t>六</w:t>
            </w:r>
            <w:r>
              <w:rPr>
                <w:rFonts w:hint="eastAsia" w:ascii="宋体" w:hAnsi="宋体" w:cs="楷体_GB2312"/>
                <w:bCs/>
                <w:color w:val="auto"/>
                <w:szCs w:val="21"/>
                <w:highlight w:val="none"/>
              </w:rPr>
              <w:t>）</w:t>
            </w:r>
            <w:r>
              <w:rPr>
                <w:rFonts w:hint="eastAsia" w:ascii="宋体" w:hAnsi="宋体" w:cs="仿宋_GB2312"/>
                <w:bCs/>
                <w:color w:val="auto"/>
                <w:szCs w:val="21"/>
                <w:highlight w:val="none"/>
              </w:rPr>
              <w:t>采购人认可的：竞标人在竞标文件中承诺的其他事项。</w:t>
            </w:r>
          </w:p>
          <w:p w14:paraId="6D50B533">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附各项明细：</w:t>
            </w:r>
          </w:p>
          <w:p w14:paraId="1BFFF5A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1.物业公共部位明细</w:t>
            </w:r>
          </w:p>
          <w:p w14:paraId="3319EE42">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（1）房屋承重结构；</w:t>
            </w:r>
          </w:p>
          <w:p w14:paraId="64E87C72">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（2）房屋主体结构；</w:t>
            </w:r>
          </w:p>
          <w:p w14:paraId="108EC6E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（3）户外墙面；</w:t>
            </w:r>
          </w:p>
          <w:p w14:paraId="390B7620">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（4）房屋顶面；</w:t>
            </w:r>
          </w:p>
          <w:p w14:paraId="7E5166F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（5）公共楼梯间；</w:t>
            </w:r>
          </w:p>
          <w:p w14:paraId="16F47B7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（6）公共门厅、卫生间、水电用房；</w:t>
            </w:r>
          </w:p>
          <w:p w14:paraId="2454A8A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（7）公共走廊、楼梯扶手；</w:t>
            </w:r>
          </w:p>
          <w:p w14:paraId="5BADFC43">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（8）办税服务大厅；</w:t>
            </w:r>
          </w:p>
          <w:p w14:paraId="77CD23B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（9）更衣室、会议室、值班室、食堂等。</w:t>
            </w:r>
          </w:p>
          <w:p w14:paraId="21A6B6A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2.部分纳税人约谈室、纳税人培训学校、电教室、会议室明细</w:t>
            </w:r>
          </w:p>
          <w:p w14:paraId="7879C07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（1）明秀西路25号办公大楼九、五楼会议室；</w:t>
            </w:r>
          </w:p>
          <w:p w14:paraId="4E2C7AD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（2）明秀西路办公大楼九楼电教室。</w:t>
            </w:r>
          </w:p>
          <w:p w14:paraId="5768FE5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3</w:t>
            </w:r>
            <w:r>
              <w:rPr>
                <w:rFonts w:hint="eastAsia" w:ascii="宋体" w:hAnsi="宋体" w:cs="仿宋_GB2312"/>
                <w:bCs/>
                <w:color w:val="auto"/>
                <w:szCs w:val="21"/>
                <w:highlight w:val="none"/>
              </w:rPr>
              <w:t>）明秀</w:t>
            </w:r>
            <w:r>
              <w:rPr>
                <w:rFonts w:hint="eastAsia" w:ascii="宋体" w:hAnsi="宋体" w:cs="仿宋_GB2312"/>
                <w:bCs/>
                <w:color w:val="auto"/>
                <w:szCs w:val="21"/>
                <w:highlight w:val="none"/>
                <w:lang w:eastAsia="zh-CN"/>
              </w:rPr>
              <w:t>东</w:t>
            </w:r>
            <w:r>
              <w:rPr>
                <w:rFonts w:hint="eastAsia" w:ascii="宋体" w:hAnsi="宋体" w:cs="仿宋_GB2312"/>
                <w:bCs/>
                <w:color w:val="auto"/>
                <w:szCs w:val="21"/>
                <w:highlight w:val="none"/>
              </w:rPr>
              <w:t>路办公大楼九楼</w:t>
            </w:r>
            <w:r>
              <w:rPr>
                <w:rFonts w:hint="eastAsia" w:ascii="宋体" w:hAnsi="宋体" w:cs="仿宋_GB2312"/>
                <w:bCs/>
                <w:color w:val="auto"/>
                <w:szCs w:val="21"/>
                <w:highlight w:val="none"/>
                <w:lang w:eastAsia="zh-CN"/>
              </w:rPr>
              <w:t>会议室</w:t>
            </w:r>
            <w:r>
              <w:rPr>
                <w:rFonts w:hint="eastAsia" w:ascii="宋体" w:hAnsi="宋体" w:cs="仿宋_GB2312"/>
                <w:bCs/>
                <w:color w:val="auto"/>
                <w:szCs w:val="21"/>
                <w:highlight w:val="none"/>
              </w:rPr>
              <w:t>。</w:t>
            </w:r>
          </w:p>
          <w:p w14:paraId="248CACC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4</w:t>
            </w:r>
            <w:r>
              <w:rPr>
                <w:rFonts w:hint="eastAsia" w:ascii="宋体" w:hAnsi="宋体" w:cs="仿宋_GB2312"/>
                <w:bCs/>
                <w:color w:val="auto"/>
                <w:szCs w:val="21"/>
                <w:highlight w:val="none"/>
              </w:rPr>
              <w:t>）明秀</w:t>
            </w:r>
            <w:r>
              <w:rPr>
                <w:rFonts w:hint="eastAsia" w:ascii="宋体" w:hAnsi="宋体" w:cs="仿宋_GB2312"/>
                <w:bCs/>
                <w:color w:val="auto"/>
                <w:szCs w:val="21"/>
                <w:highlight w:val="none"/>
                <w:lang w:eastAsia="zh-CN"/>
              </w:rPr>
              <w:t>东</w:t>
            </w:r>
            <w:r>
              <w:rPr>
                <w:rFonts w:hint="eastAsia" w:ascii="宋体" w:hAnsi="宋体" w:cs="仿宋_GB2312"/>
                <w:bCs/>
                <w:color w:val="auto"/>
                <w:szCs w:val="21"/>
                <w:highlight w:val="none"/>
              </w:rPr>
              <w:t>路</w:t>
            </w:r>
            <w:r>
              <w:rPr>
                <w:rFonts w:hint="eastAsia" w:ascii="宋体" w:hAnsi="宋体" w:cs="仿宋_GB2312"/>
                <w:bCs/>
                <w:color w:val="auto"/>
                <w:szCs w:val="21"/>
                <w:highlight w:val="none"/>
                <w:lang w:eastAsia="zh-CN"/>
              </w:rPr>
              <w:t>附属楼二楼老干活动中心</w:t>
            </w:r>
            <w:r>
              <w:rPr>
                <w:rFonts w:hint="eastAsia" w:ascii="宋体" w:hAnsi="宋体" w:cs="仿宋_GB2312"/>
                <w:bCs/>
                <w:color w:val="auto"/>
                <w:szCs w:val="21"/>
                <w:highlight w:val="none"/>
              </w:rPr>
              <w:t>。</w:t>
            </w:r>
          </w:p>
          <w:p w14:paraId="13FD841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5</w:t>
            </w:r>
            <w:r>
              <w:rPr>
                <w:rFonts w:hint="eastAsia" w:ascii="宋体" w:hAnsi="宋体" w:cs="仿宋_GB2312"/>
                <w:bCs/>
                <w:color w:val="auto"/>
                <w:szCs w:val="21"/>
                <w:highlight w:val="none"/>
              </w:rPr>
              <w:t>）明秀</w:t>
            </w:r>
            <w:r>
              <w:rPr>
                <w:rFonts w:hint="eastAsia" w:ascii="宋体" w:hAnsi="宋体" w:cs="仿宋_GB2312"/>
                <w:bCs/>
                <w:color w:val="auto"/>
                <w:szCs w:val="21"/>
                <w:highlight w:val="none"/>
                <w:lang w:eastAsia="zh-CN"/>
              </w:rPr>
              <w:t>东</w:t>
            </w:r>
            <w:r>
              <w:rPr>
                <w:rFonts w:hint="eastAsia" w:ascii="宋体" w:hAnsi="宋体" w:cs="仿宋_GB2312"/>
                <w:bCs/>
                <w:color w:val="auto"/>
                <w:szCs w:val="21"/>
                <w:highlight w:val="none"/>
              </w:rPr>
              <w:t>路</w:t>
            </w:r>
            <w:r>
              <w:rPr>
                <w:rFonts w:hint="eastAsia" w:ascii="宋体" w:hAnsi="宋体" w:cs="仿宋_GB2312"/>
                <w:bCs/>
                <w:color w:val="auto"/>
                <w:szCs w:val="21"/>
                <w:highlight w:val="none"/>
                <w:lang w:eastAsia="zh-CN"/>
              </w:rPr>
              <w:t>办公楼</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lang w:eastAsia="zh-CN"/>
              </w:rPr>
              <w:t>楼约谈室</w:t>
            </w:r>
            <w:r>
              <w:rPr>
                <w:rFonts w:hint="eastAsia" w:ascii="宋体" w:hAnsi="宋体" w:cs="仿宋_GB2312"/>
                <w:bCs/>
                <w:color w:val="auto"/>
                <w:szCs w:val="21"/>
                <w:highlight w:val="none"/>
              </w:rPr>
              <w:t>。</w:t>
            </w:r>
          </w:p>
          <w:p w14:paraId="7807286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3.物业公共设施、设备明细</w:t>
            </w:r>
          </w:p>
          <w:p w14:paraId="527CCB3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（1）共用的上下水管道、落水管；</w:t>
            </w:r>
          </w:p>
          <w:p w14:paraId="4BBF419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（2）共用照明；</w:t>
            </w:r>
          </w:p>
          <w:p w14:paraId="7DA51853">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（3）楼内消防系统；</w:t>
            </w:r>
          </w:p>
          <w:p w14:paraId="619B27D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（4）供配电系统；</w:t>
            </w:r>
          </w:p>
          <w:p w14:paraId="31118A8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default" w:ascii="宋体" w:hAnsi="宋体" w:eastAsia="宋体" w:cs="仿宋_GB2312"/>
                <w:bCs/>
                <w:color w:val="auto"/>
                <w:szCs w:val="21"/>
                <w:highlight w:val="none"/>
                <w:lang w:val="en-US" w:eastAsia="zh-CN"/>
              </w:rPr>
            </w:pPr>
            <w:r>
              <w:rPr>
                <w:rFonts w:hint="eastAsia" w:ascii="宋体" w:hAnsi="宋体" w:cs="仿宋_GB2312"/>
                <w:bCs/>
                <w:color w:val="auto"/>
                <w:szCs w:val="21"/>
                <w:highlight w:val="none"/>
                <w:lang w:eastAsia="zh-CN"/>
              </w:rPr>
              <w:t>（</w:t>
            </w:r>
            <w:r>
              <w:rPr>
                <w:rFonts w:hint="eastAsia" w:ascii="宋体" w:hAnsi="宋体" w:cs="仿宋_GB2312"/>
                <w:bCs/>
                <w:color w:val="auto"/>
                <w:szCs w:val="21"/>
                <w:highlight w:val="none"/>
                <w:lang w:val="en-US" w:eastAsia="zh-CN"/>
              </w:rPr>
              <w:t>5）电梯2台；</w:t>
            </w:r>
          </w:p>
          <w:p w14:paraId="50CA3DF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6</w:t>
            </w:r>
            <w:r>
              <w:rPr>
                <w:rFonts w:hint="eastAsia" w:ascii="宋体" w:hAnsi="宋体" w:cs="仿宋_GB2312"/>
                <w:bCs/>
                <w:color w:val="auto"/>
                <w:szCs w:val="21"/>
                <w:highlight w:val="none"/>
              </w:rPr>
              <w:t>）空调；</w:t>
            </w:r>
          </w:p>
          <w:p w14:paraId="0D4F313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7</w:t>
            </w:r>
            <w:r>
              <w:rPr>
                <w:rFonts w:hint="eastAsia" w:ascii="宋体" w:hAnsi="宋体" w:cs="仿宋_GB2312"/>
                <w:bCs/>
                <w:color w:val="auto"/>
                <w:szCs w:val="21"/>
                <w:highlight w:val="none"/>
              </w:rPr>
              <w:t>）二次加压供水系统；</w:t>
            </w:r>
          </w:p>
          <w:p w14:paraId="7E6DBF9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8</w:t>
            </w:r>
            <w:r>
              <w:rPr>
                <w:rFonts w:hint="eastAsia" w:ascii="宋体" w:hAnsi="宋体" w:cs="仿宋_GB2312"/>
                <w:bCs/>
                <w:color w:val="auto"/>
                <w:szCs w:val="21"/>
                <w:highlight w:val="none"/>
              </w:rPr>
              <w:t>）设备机房；</w:t>
            </w:r>
          </w:p>
          <w:p w14:paraId="2E0ED9D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default" w:ascii="宋体" w:hAnsi="宋体" w:eastAsia="宋体" w:cs="仿宋_GB2312"/>
                <w:bCs/>
                <w:color w:val="auto"/>
                <w:szCs w:val="21"/>
                <w:highlight w:val="none"/>
                <w:lang w:val="en-US" w:eastAsia="zh-CN"/>
              </w:rPr>
            </w:pPr>
            <w:r>
              <w:rPr>
                <w:rFonts w:hint="eastAsia" w:ascii="宋体" w:hAnsi="宋体" w:cs="仿宋_GB2312"/>
                <w:bCs/>
                <w:color w:val="auto"/>
                <w:szCs w:val="21"/>
                <w:highlight w:val="none"/>
              </w:rPr>
              <w:t>（</w:t>
            </w:r>
            <w:r>
              <w:rPr>
                <w:rFonts w:hint="eastAsia" w:ascii="宋体" w:hAnsi="宋体" w:cs="仿宋_GB2312"/>
                <w:bCs/>
                <w:color w:val="auto"/>
                <w:szCs w:val="21"/>
                <w:highlight w:val="none"/>
                <w:lang w:val="en-US" w:eastAsia="zh-CN"/>
              </w:rPr>
              <w:t>9</w:t>
            </w:r>
            <w:r>
              <w:rPr>
                <w:rFonts w:hint="eastAsia" w:ascii="宋体" w:hAnsi="宋体" w:cs="仿宋_GB2312"/>
                <w:bCs/>
                <w:color w:val="auto"/>
                <w:szCs w:val="21"/>
                <w:highlight w:val="none"/>
              </w:rPr>
              <w:t>）监控及安防系统；</w:t>
            </w:r>
          </w:p>
          <w:p w14:paraId="6B4F00C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4.清洁保洁</w:t>
            </w:r>
          </w:p>
          <w:p w14:paraId="7759026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（1）清洁和清洁需要的各种物品及消杀药物的费用由物业管理公司负责；</w:t>
            </w:r>
          </w:p>
          <w:p w14:paraId="7DECEE3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w:t>
            </w:r>
            <w:r>
              <w:rPr>
                <w:rFonts w:hint="eastAsia" w:ascii="宋体" w:hAnsi="宋体" w:cs="仿宋_GB2312"/>
                <w:bCs/>
                <w:color w:val="auto"/>
                <w:szCs w:val="21"/>
                <w:highlight w:val="none"/>
                <w:lang w:val="en-US" w:eastAsia="zh-CN"/>
              </w:rPr>
              <w:t>生活</w:t>
            </w:r>
            <w:r>
              <w:rPr>
                <w:rFonts w:hint="eastAsia" w:ascii="宋体" w:hAnsi="宋体" w:cs="仿宋_GB2312"/>
                <w:bCs/>
                <w:color w:val="auto"/>
                <w:szCs w:val="21"/>
                <w:highlight w:val="none"/>
              </w:rPr>
              <w:t>垃圾的清运由物业管理公司与环卫部门商定，费用由物业管理公司负责（不含绿化及建筑垃圾清运费）；</w:t>
            </w:r>
          </w:p>
          <w:p w14:paraId="5B29871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（3）绿化植物的修剪、养护、杀虫；</w:t>
            </w:r>
          </w:p>
          <w:p w14:paraId="2F1DF83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default" w:ascii="宋体" w:hAnsi="宋体" w:cs="仿宋_GB2312"/>
                <w:bCs/>
                <w:color w:val="auto"/>
                <w:szCs w:val="21"/>
                <w:highlight w:val="none"/>
                <w:lang w:val="en-US" w:eastAsia="zh-CN"/>
              </w:rPr>
            </w:pPr>
            <w:r>
              <w:rPr>
                <w:rFonts w:hint="eastAsia" w:ascii="宋体" w:hAnsi="宋体" w:cs="仿宋_GB2312"/>
                <w:bCs/>
                <w:color w:val="auto"/>
                <w:szCs w:val="21"/>
                <w:highlight w:val="none"/>
                <w:lang w:val="en-US" w:eastAsia="zh-CN"/>
              </w:rPr>
              <w:t>（4）办公室室内每日清洁；</w:t>
            </w:r>
          </w:p>
          <w:p w14:paraId="43C5A0F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5.大楼公共部位的材质</w:t>
            </w:r>
          </w:p>
          <w:p w14:paraId="6332AAA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（1）地面瓷砖，墙面刮腻子；</w:t>
            </w:r>
          </w:p>
          <w:p w14:paraId="0E8CE7F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（2）卫生间：地面瓷砖，墙面瓷砖，铝塑钢扣板天花，花岗石洗手池台面、挂式小便器、台上洗脸盆、洗涤池。</w:t>
            </w:r>
          </w:p>
          <w:p w14:paraId="72EFEF0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rPr>
              <w:t>6.大楼</w:t>
            </w:r>
            <w:r>
              <w:rPr>
                <w:rFonts w:hint="eastAsia" w:ascii="宋体" w:hAnsi="宋体" w:cs="仿宋_GB2312"/>
                <w:bCs/>
                <w:color w:val="auto"/>
                <w:szCs w:val="21"/>
                <w:highlight w:val="none"/>
                <w:lang w:eastAsia="zh-CN"/>
              </w:rPr>
              <w:t>物业</w:t>
            </w:r>
            <w:r>
              <w:rPr>
                <w:rFonts w:hint="eastAsia" w:ascii="宋体" w:hAnsi="宋体" w:cs="仿宋_GB2312"/>
                <w:bCs/>
                <w:color w:val="auto"/>
                <w:szCs w:val="21"/>
                <w:highlight w:val="none"/>
              </w:rPr>
              <w:t>工作人员上班时间</w:t>
            </w:r>
          </w:p>
          <w:p w14:paraId="6649B03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lang w:val="en-US" w:eastAsia="zh-CN"/>
              </w:rPr>
              <w:t>物业人员24小时提供管理服务</w:t>
            </w:r>
            <w:r>
              <w:rPr>
                <w:rFonts w:hint="eastAsia" w:ascii="宋体" w:hAnsi="宋体" w:cs="仿宋_GB2312"/>
                <w:bCs/>
                <w:color w:val="auto"/>
                <w:szCs w:val="21"/>
                <w:highlight w:val="none"/>
              </w:rPr>
              <w:t>。</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outlineLvl w:val="9"/>
              <w:rPr>
                <w:rFonts w:hint="eastAsia" w:ascii="宋体" w:hAnsi="宋体" w:cs="黑体"/>
                <w:b/>
                <w:bCs/>
                <w:color w:val="auto"/>
                <w:szCs w:val="21"/>
                <w:highlight w:val="none"/>
              </w:rPr>
            </w:pPr>
            <w:r>
              <w:rPr>
                <w:rFonts w:hint="eastAsia" w:ascii="宋体" w:hAnsi="宋体" w:cs="黑体"/>
                <w:b/>
                <w:bCs/>
                <w:color w:val="auto"/>
                <w:szCs w:val="21"/>
                <w:highlight w:val="none"/>
                <w:lang w:val="en-US" w:eastAsia="zh-CN"/>
              </w:rPr>
              <w:t>三</w:t>
            </w:r>
            <w:r>
              <w:rPr>
                <w:rFonts w:hint="eastAsia" w:ascii="宋体" w:hAnsi="宋体" w:cs="黑体"/>
                <w:b/>
                <w:bCs/>
                <w:color w:val="auto"/>
                <w:szCs w:val="21"/>
                <w:highlight w:val="none"/>
              </w:rPr>
              <w:t>、服务质量要求</w:t>
            </w:r>
          </w:p>
          <w:p w14:paraId="5CCEB2A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（一）</w:t>
            </w:r>
            <w:r>
              <w:rPr>
                <w:rFonts w:hint="eastAsia" w:ascii="宋体" w:hAnsi="宋体" w:cs="仿宋_GB2312"/>
                <w:bCs/>
                <w:color w:val="auto"/>
                <w:szCs w:val="21"/>
                <w:highlight w:val="none"/>
              </w:rPr>
              <w:t>参照国家建设部制定的《全国物业管理示范大厦标准及评分细则》提供服务。</w:t>
            </w:r>
          </w:p>
          <w:p w14:paraId="7003583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（二）</w:t>
            </w:r>
            <w:r>
              <w:rPr>
                <w:rFonts w:hint="eastAsia" w:ascii="宋体" w:hAnsi="宋体" w:cs="仿宋_GB2312"/>
                <w:bCs/>
                <w:color w:val="auto"/>
                <w:szCs w:val="21"/>
                <w:highlight w:val="none"/>
              </w:rPr>
              <w:t>为本项目配置的项目经理需持有</w:t>
            </w:r>
            <w:r>
              <w:rPr>
                <w:rFonts w:hint="eastAsia" w:ascii="宋体" w:hAnsi="宋体" w:cs="仿宋_GB2312"/>
                <w:bCs/>
                <w:color w:val="auto"/>
                <w:szCs w:val="21"/>
                <w:highlight w:val="none"/>
                <w:lang w:eastAsia="zh-CN"/>
              </w:rPr>
              <w:t>国家注册物业管理师资格证书</w:t>
            </w:r>
            <w:r>
              <w:rPr>
                <w:rFonts w:hint="eastAsia" w:ascii="宋体" w:hAnsi="宋体" w:cs="仿宋_GB2312"/>
                <w:bCs/>
                <w:color w:val="auto"/>
                <w:szCs w:val="21"/>
                <w:highlight w:val="none"/>
              </w:rPr>
              <w:t>。</w:t>
            </w:r>
          </w:p>
          <w:p w14:paraId="172FD230">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（四）</w:t>
            </w:r>
            <w:r>
              <w:rPr>
                <w:rFonts w:hint="eastAsia" w:ascii="宋体" w:hAnsi="宋体" w:cs="仿宋_GB2312"/>
                <w:bCs/>
                <w:color w:val="auto"/>
                <w:szCs w:val="21"/>
                <w:highlight w:val="none"/>
              </w:rPr>
              <w:t>为项目配置的工程技术人员需持有电工</w:t>
            </w:r>
            <w:r>
              <w:rPr>
                <w:rFonts w:hint="eastAsia" w:ascii="宋体" w:hAnsi="宋体" w:cs="仿宋_GB2312"/>
                <w:bCs/>
                <w:color w:val="auto"/>
                <w:szCs w:val="21"/>
                <w:highlight w:val="none"/>
                <w:lang w:eastAsia="zh-CN"/>
              </w:rPr>
              <w:t>高级技工证、电梯安全员证</w:t>
            </w:r>
            <w:r>
              <w:rPr>
                <w:rFonts w:hint="eastAsia" w:ascii="宋体" w:hAnsi="宋体" w:cs="仿宋_GB2312"/>
                <w:bCs/>
                <w:color w:val="auto"/>
                <w:szCs w:val="21"/>
                <w:highlight w:val="none"/>
              </w:rPr>
              <w:t>上岗证，并有同类设备管理经验</w:t>
            </w:r>
            <w:r>
              <w:rPr>
                <w:rFonts w:hint="eastAsia" w:ascii="宋体" w:hAnsi="宋体" w:cs="仿宋_GB2312"/>
                <w:bCs/>
                <w:color w:val="auto"/>
                <w:szCs w:val="21"/>
                <w:highlight w:val="none"/>
                <w:lang w:eastAsia="zh-CN"/>
              </w:rPr>
              <w:t>五</w:t>
            </w:r>
            <w:r>
              <w:rPr>
                <w:rFonts w:hint="eastAsia" w:ascii="宋体" w:hAnsi="宋体" w:cs="仿宋_GB2312"/>
                <w:bCs/>
                <w:color w:val="auto"/>
                <w:szCs w:val="21"/>
                <w:highlight w:val="none"/>
              </w:rPr>
              <w:t>年以上。</w:t>
            </w:r>
          </w:p>
          <w:p w14:paraId="3C66F1D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（五）</w:t>
            </w:r>
            <w:r>
              <w:rPr>
                <w:rFonts w:hint="eastAsia" w:ascii="宋体" w:hAnsi="宋体" w:cs="宋体"/>
                <w:color w:val="auto"/>
                <w:kern w:val="0"/>
                <w:szCs w:val="21"/>
                <w:highlight w:val="none"/>
              </w:rPr>
              <w:t>支付给物业人员的工资应不低于南宁市最低工资标准，物业</w:t>
            </w:r>
            <w:r>
              <w:rPr>
                <w:rFonts w:hint="eastAsia" w:ascii="宋体" w:hAnsi="宋体" w:cs="宋体"/>
                <w:color w:val="auto"/>
                <w:kern w:val="0"/>
                <w:szCs w:val="21"/>
                <w:highlight w:val="none"/>
                <w:lang w:eastAsia="zh-CN"/>
              </w:rPr>
              <w:t>从业</w:t>
            </w:r>
            <w:r>
              <w:rPr>
                <w:rFonts w:hint="eastAsia" w:ascii="宋体" w:hAnsi="宋体" w:cs="宋体"/>
                <w:color w:val="auto"/>
                <w:kern w:val="0"/>
                <w:szCs w:val="21"/>
                <w:highlight w:val="none"/>
              </w:rPr>
              <w:t>人员</w:t>
            </w:r>
            <w:r>
              <w:rPr>
                <w:rFonts w:hint="eastAsia" w:ascii="宋体" w:hAnsi="宋体" w:cs="宋体"/>
                <w:color w:val="auto"/>
                <w:kern w:val="0"/>
                <w:szCs w:val="21"/>
                <w:highlight w:val="none"/>
                <w:lang w:eastAsia="zh-CN"/>
              </w:rPr>
              <w:t>需缴纳</w:t>
            </w:r>
            <w:r>
              <w:rPr>
                <w:rFonts w:hint="eastAsia" w:ascii="宋体" w:hAnsi="宋体" w:cs="宋体"/>
                <w:color w:val="auto"/>
                <w:kern w:val="0"/>
                <w:szCs w:val="21"/>
                <w:highlight w:val="none"/>
              </w:rPr>
              <w:t>社会保险</w:t>
            </w:r>
            <w:r>
              <w:rPr>
                <w:rFonts w:hint="eastAsia" w:ascii="宋体" w:hAnsi="宋体" w:cs="宋体"/>
                <w:color w:val="auto"/>
                <w:kern w:val="0"/>
                <w:szCs w:val="21"/>
                <w:highlight w:val="none"/>
                <w:lang w:eastAsia="zh-CN"/>
              </w:rPr>
              <w:t>，社会保险</w:t>
            </w:r>
            <w:r>
              <w:rPr>
                <w:rFonts w:hint="eastAsia" w:ascii="宋体" w:hAnsi="宋体" w:cs="宋体"/>
                <w:color w:val="auto"/>
                <w:kern w:val="0"/>
                <w:szCs w:val="21"/>
                <w:highlight w:val="none"/>
              </w:rPr>
              <w:t>由成交人</w:t>
            </w:r>
            <w:r>
              <w:rPr>
                <w:rFonts w:hint="eastAsia" w:ascii="宋体" w:hAnsi="宋体" w:cs="宋体"/>
                <w:color w:val="auto"/>
                <w:kern w:val="0"/>
                <w:szCs w:val="21"/>
                <w:highlight w:val="none"/>
                <w:lang w:eastAsia="zh-CN"/>
              </w:rPr>
              <w:t>按规定</w:t>
            </w:r>
            <w:r>
              <w:rPr>
                <w:rFonts w:hint="eastAsia" w:ascii="宋体" w:hAnsi="宋体" w:cs="宋体"/>
                <w:color w:val="auto"/>
                <w:kern w:val="0"/>
                <w:szCs w:val="21"/>
                <w:highlight w:val="none"/>
              </w:rPr>
              <w:t>缴纳。</w:t>
            </w:r>
          </w:p>
          <w:p w14:paraId="0813F87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（六）</w:t>
            </w:r>
            <w:r>
              <w:rPr>
                <w:rFonts w:hint="eastAsia" w:ascii="宋体" w:hAnsi="宋体" w:cs="仿宋_GB2312"/>
                <w:bCs/>
                <w:color w:val="auto"/>
                <w:szCs w:val="21"/>
                <w:highlight w:val="none"/>
              </w:rPr>
              <w:t>提供24小时设备管理服务及24小时保安服务。</w:t>
            </w:r>
          </w:p>
          <w:p w14:paraId="521363F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楷体_GB2312"/>
                <w:bCs/>
                <w:color w:val="auto"/>
                <w:szCs w:val="21"/>
                <w:highlight w:val="none"/>
              </w:rPr>
              <w:t>（七）</w:t>
            </w:r>
            <w:r>
              <w:rPr>
                <w:rFonts w:hint="eastAsia" w:ascii="宋体" w:hAnsi="宋体" w:cs="仿宋_GB2312"/>
                <w:bCs/>
                <w:color w:val="auto"/>
                <w:szCs w:val="21"/>
                <w:highlight w:val="none"/>
              </w:rPr>
              <w:t>中标单位每</w:t>
            </w:r>
            <w:r>
              <w:rPr>
                <w:rFonts w:hint="eastAsia" w:ascii="宋体" w:hAnsi="宋体" w:cs="仿宋_GB2312"/>
                <w:bCs/>
                <w:color w:val="auto"/>
                <w:szCs w:val="21"/>
                <w:highlight w:val="none"/>
                <w:lang w:eastAsia="zh-CN"/>
              </w:rPr>
              <w:t>季</w:t>
            </w:r>
            <w:r>
              <w:rPr>
                <w:rFonts w:hint="eastAsia" w:ascii="宋体" w:hAnsi="宋体" w:cs="仿宋_GB2312"/>
                <w:bCs/>
                <w:color w:val="auto"/>
                <w:szCs w:val="21"/>
                <w:highlight w:val="none"/>
              </w:rPr>
              <w:t>需接受业主单位的服务质量考核，如未能按上述相关标准提供服务的，须在合同中约定承担违约责任，情节严重的将解除合同。</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outlineLvl w:val="9"/>
              <w:rPr>
                <w:rFonts w:hint="eastAsia" w:ascii="宋体" w:hAnsi="宋体" w:cs="黑体"/>
                <w:b/>
                <w:bCs/>
                <w:color w:val="auto"/>
                <w:szCs w:val="21"/>
                <w:highlight w:val="none"/>
              </w:rPr>
            </w:pPr>
            <w:r>
              <w:rPr>
                <w:rFonts w:hint="eastAsia" w:ascii="宋体" w:hAnsi="宋体" w:cs="黑体"/>
                <w:b/>
                <w:bCs/>
                <w:color w:val="auto"/>
                <w:szCs w:val="21"/>
                <w:highlight w:val="none"/>
                <w:lang w:val="en-US" w:eastAsia="zh-CN"/>
              </w:rPr>
              <w:t>四</w:t>
            </w:r>
            <w:r>
              <w:rPr>
                <w:rFonts w:hint="eastAsia" w:ascii="宋体" w:hAnsi="宋体" w:cs="黑体"/>
                <w:b/>
                <w:bCs/>
                <w:color w:val="auto"/>
                <w:szCs w:val="21"/>
                <w:highlight w:val="none"/>
              </w:rPr>
              <w:t>、服务质量标准</w:t>
            </w:r>
          </w:p>
          <w:p w14:paraId="647BCE73">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仿宋_GB2312"/>
                <w:bCs/>
                <w:color w:val="auto"/>
                <w:szCs w:val="21"/>
                <w:highlight w:val="none"/>
              </w:rPr>
            </w:pPr>
            <w:r>
              <w:rPr>
                <w:rFonts w:hint="eastAsia" w:ascii="宋体" w:hAnsi="宋体" w:cs="仿宋_GB2312"/>
                <w:bCs/>
                <w:color w:val="auto"/>
                <w:szCs w:val="21"/>
                <w:highlight w:val="none"/>
                <w:lang w:val="zh-CN"/>
              </w:rPr>
              <w:t>参照国家建设部制定的《全国物业管理示范大厦标准及评分细则》提供服务，服务质量达到广西壮族自治区物业管理优秀大厦的管理水平。</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（一）综合管理</w:t>
            </w:r>
          </w:p>
          <w:p w14:paraId="7BFE768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设立本小区物业管理机构，设立固定办公场所，按专业化的要求配置管理服务人员，管理人员、专业操作人员按照国家有关规定取得物业管理职业资格证书或者岗位证书，管理服务人员统一着装、佩戴标志、行为规范，服务主动、热情。</w:t>
            </w:r>
          </w:p>
          <w:p w14:paraId="2693D33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2.制定各级各类管理人员岗位责任制，建立内部管理运作及考核体系，管理规章制度健全，服务质量标准完善。</w:t>
            </w:r>
          </w:p>
          <w:p w14:paraId="44CAB24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3.建立起应对各种公共突发事件的处理机制和预案，包括组织机构、人员和具体措施等。</w:t>
            </w:r>
          </w:p>
          <w:p w14:paraId="53E95AE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4.供水、供电、电信、移动、联通等专业单位在物业管理区域内对相关管线、设施维修养护时，进行必要的协调和管理。</w:t>
            </w:r>
          </w:p>
          <w:p w14:paraId="01AE44C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6.物业档案资料的保管。</w:t>
            </w:r>
          </w:p>
          <w:p w14:paraId="5FB34B7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7.物业管理区域内甲方装饰装修的管理服务。</w:t>
            </w:r>
          </w:p>
          <w:p w14:paraId="24ABB14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8.根据甲方需求，提供物业服务合同之外的特约服务和代办服务的，公示服务项目与收费价目。</w:t>
            </w:r>
          </w:p>
          <w:p w14:paraId="49697AA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10.每年至少一次征询采购单位对物业服务的意见，满意率90%以上。</w:t>
            </w:r>
          </w:p>
          <w:p w14:paraId="489D841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11.设有24小时服务接待室，公示24小时服务电话，处理服务范围内的公共性事务，受理采购单位或纳税人的咨询和投诉。急修20分钟内、其它报修按双方约定时间到达现场，有完整的报修、维修和回访记录。</w:t>
            </w:r>
          </w:p>
          <w:p w14:paraId="7E1AE18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12.物业管理档案资料齐全、管理完善、分类合理、方便检索。</w:t>
            </w:r>
          </w:p>
          <w:p w14:paraId="5991CC0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13.成交供应商每个季度须接受业主单位的服务质量考核，</w:t>
            </w:r>
            <w:r>
              <w:rPr>
                <w:rFonts w:hint="eastAsia" w:ascii="宋体" w:hAnsi="宋体" w:cs="楷体_GB2312"/>
                <w:bCs/>
                <w:color w:val="auto"/>
                <w:szCs w:val="21"/>
                <w:highlight w:val="none"/>
                <w:lang w:val="zh-CN" w:eastAsia="zh-CN"/>
              </w:rPr>
              <w:t>确保足额配备人员，</w:t>
            </w:r>
            <w:r>
              <w:rPr>
                <w:rFonts w:hint="eastAsia" w:ascii="宋体" w:hAnsi="宋体" w:cs="楷体_GB2312"/>
                <w:bCs/>
                <w:color w:val="auto"/>
                <w:szCs w:val="21"/>
                <w:highlight w:val="none"/>
                <w:lang w:val="zh-CN"/>
              </w:rPr>
              <w:t>具体考核办法另行签订。</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（二）物业共用设施、设备维修养护。</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1、设施设备管理</w:t>
            </w:r>
          </w:p>
          <w:p w14:paraId="1BE3A44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（1）建立共用设施、设备档案（</w:t>
            </w:r>
            <w:r>
              <w:rPr>
                <w:rFonts w:hint="eastAsia" w:ascii="宋体" w:hAnsi="宋体" w:cs="楷体_GB2312"/>
                <w:bCs/>
                <w:color w:val="auto"/>
                <w:szCs w:val="21"/>
                <w:highlight w:val="none"/>
                <w:lang w:val="zh-CN"/>
              </w:rPr>
              <w:t>台账</w:t>
            </w:r>
            <w:r>
              <w:rPr>
                <w:rFonts w:hint="eastAsia" w:ascii="宋体" w:hAnsi="宋体" w:cs="楷体_GB2312"/>
                <w:bCs/>
                <w:color w:val="auto"/>
                <w:szCs w:val="21"/>
                <w:highlight w:val="none"/>
                <w:lang w:val="zh-CN"/>
              </w:rPr>
              <w:t>），设施设备的运行、检查、维修、保养等记录齐全。</w:t>
            </w:r>
          </w:p>
          <w:p w14:paraId="50B4E24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（2）设施设备标志齐全、规范，责任人明确；操作维护人员严格执行设施设备操作规程及保养规范；设施设备运行正常。</w:t>
            </w:r>
          </w:p>
          <w:p w14:paraId="599086A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对共用设施设备定期组织巡查，做好巡查记录，需要维修，属于小修范围的，及时组织修复；属于大、中修范围或者需要更新改造的，及时编制维修、更新改造计划，向采购单位提出报告与建议，根据采购单位的决定，协助维修或者更新改造。</w:t>
            </w:r>
          </w:p>
          <w:p w14:paraId="06BD5E6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（4）严格执行管理处24小时值班制度，维修及时率100%，返修率不高于1%，建立回访制度，并做好回访记录。</w:t>
            </w:r>
          </w:p>
          <w:p w14:paraId="12EE083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（5）制定年度房屋共用部位及共用设施设备养护计划并抓好落实，房屋完好率</w:t>
            </w:r>
            <w:r>
              <w:rPr>
                <w:rFonts w:hint="eastAsia" w:ascii="宋体" w:hAnsi="宋体" w:cs="楷体_GB2312"/>
                <w:bCs/>
                <w:color w:val="auto"/>
                <w:szCs w:val="21"/>
                <w:highlight w:val="none"/>
                <w:lang w:val="en-US" w:eastAsia="zh-CN"/>
              </w:rPr>
              <w:t>95</w:t>
            </w:r>
            <w:r>
              <w:rPr>
                <w:rFonts w:hint="eastAsia" w:ascii="宋体" w:hAnsi="宋体" w:cs="楷体_GB2312"/>
                <w:bCs/>
                <w:color w:val="auto"/>
                <w:szCs w:val="21"/>
                <w:highlight w:val="none"/>
                <w:lang w:val="zh-CN"/>
              </w:rPr>
              <w:t>%，设备完好率98%以上。</w:t>
            </w:r>
          </w:p>
          <w:p w14:paraId="3C7DDFC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（6）消防设施设备完好，可随时启用；消防通道畅通。</w:t>
            </w:r>
          </w:p>
          <w:p w14:paraId="007490E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（7）设备房保持整洁、通风，无跑、冒、滴、漏和鼠害现象。</w:t>
            </w:r>
          </w:p>
          <w:p w14:paraId="02EDD1E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（8）办公大院道路平整，主要道路及停车场交通标志齐全、规范。</w:t>
            </w:r>
          </w:p>
          <w:p w14:paraId="64D9C48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（9）路灯、楼道灯完好率不低于95%。</w:t>
            </w:r>
          </w:p>
          <w:p w14:paraId="19613D03">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（10）容易危及人身安全的设施设备有明显警示标志和防范措施；对可能发生的各种突出设备故障有应急方案。</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2.房屋管理。</w:t>
            </w:r>
          </w:p>
          <w:p w14:paraId="131F8C5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（1）对房屋公用部位进行日常管理，检查记录和保养记录齐全。</w:t>
            </w:r>
          </w:p>
          <w:p w14:paraId="678B16D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（2）根据房屋实际使用的年限，定期检查房屋共用部位的使用状况，需要维修，属于小修范围的，及时组织修复； 属于大、中修范围的，及时编制维修计划和住房专项维修资金使用计划，向采购单位提出报告与建议，根据采购单位的决定，协助维修。</w:t>
            </w:r>
          </w:p>
          <w:p w14:paraId="304FD43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（3）定期巡视检查办公楼楼梯通道以及其他共用部位的门窗、玻璃等，做好巡查记录，并及时维修养护。</w:t>
            </w:r>
          </w:p>
          <w:p w14:paraId="6D306F3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（4）确保雨水、污水管道保持畅通，定期清淘化粪池、雨水井，相关设施无破损。</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3.配电室、给排水系统、智能化系统的管理。</w:t>
            </w:r>
          </w:p>
          <w:p w14:paraId="1FF7648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（1）配电室。</w:t>
            </w:r>
          </w:p>
          <w:p w14:paraId="364AA9A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a.配电室是办公供电系统的关键部位，按规定巡视，并严格执行门禁制度。</w:t>
            </w:r>
          </w:p>
          <w:p w14:paraId="709E402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b.值班员必须持证上岗，熟悉配电设备状况、操作方法和安全注意事项。</w:t>
            </w:r>
          </w:p>
          <w:p w14:paraId="7F1D749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c.做好配电室的防水、防潮工作，堵塞漏洞，严防小动物进入配电室。</w:t>
            </w:r>
          </w:p>
          <w:p w14:paraId="35D0671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d.值班员应认真做好值班记录和巡查记录，认真执行交接班制度。</w:t>
            </w:r>
          </w:p>
          <w:p w14:paraId="2B1435D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（2）给排水系统。</w:t>
            </w:r>
          </w:p>
          <w:p w14:paraId="6046684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a.定期对泵房进行日常巡视，检查水泵、管道接头和阀门有无渗漏水，有记录。</w:t>
            </w:r>
          </w:p>
          <w:p w14:paraId="04D76BA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b.每年至少1次清洗、消毒生活水箱，取得卫生许可证；水箱观察孔应加盖并上锁，钥匙由专人管理。</w:t>
            </w:r>
          </w:p>
          <w:p w14:paraId="18806E2A">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c.定期对水泵及管道进行保养，有记录。</w:t>
            </w:r>
          </w:p>
          <w:p w14:paraId="368954D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d.保证采购单位正常用水，有停水处置预案。</w:t>
            </w:r>
          </w:p>
          <w:p w14:paraId="5F6E41A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e.保证水泵房应急灯在停电状态下能正常使用。</w:t>
            </w:r>
          </w:p>
          <w:p w14:paraId="14D12C0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（3）智能化系统。</w:t>
            </w:r>
          </w:p>
          <w:p w14:paraId="1B48B6C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a.智能化系统包括：安保视频监控系统、消防报警系统等，发现问题及时向业主单位报告，并协助做好安保工作。</w:t>
            </w:r>
          </w:p>
          <w:p w14:paraId="59EBEBC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b.定期对智能化系统进行巡视、检查、检测及维修保养并做好记录。</w:t>
            </w:r>
          </w:p>
          <w:p w14:paraId="464DF03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c.对由服务方提供维修保养的系统进行工作的监督检查。</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（三）协助维护公共秩序</w:t>
            </w:r>
          </w:p>
          <w:p w14:paraId="133E71A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1.办公楼做到出入口24小时有专人值守，在出入口做好来访登记工作，携物出门实施严格管理。</w:t>
            </w:r>
          </w:p>
          <w:p w14:paraId="1A0061A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2.维护好办公楼主要出入口的交通秩序，疏导车辆的行驶及引导行人的过往，保障车辆及行人安全，使门前及三包地段出入畅通。</w:t>
            </w:r>
          </w:p>
          <w:p w14:paraId="57A13C4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3.维护好办税服务厅公共秩序，引导并分流纳税人按照办税流程办理各项业务，保证纳税服务厅良好的正常办公秩序。</w:t>
            </w:r>
          </w:p>
          <w:p w14:paraId="777ACC4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4.防止无关闲杂人员进入办公楼，并负责检查出入人员所携带的大件物品及进出车辆输送的货物、维护办公楼公共秩序。对进出办公楼的装修、家政等劳务人员实行临时出入证管理。</w:t>
            </w:r>
          </w:p>
          <w:p w14:paraId="7FB3908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5.有发生治安案件、刑事案件、交通事故的处置预案；发生时应立即采取应急措施，并及时报警和配合公安部门进行处理。</w:t>
            </w:r>
          </w:p>
          <w:p w14:paraId="0B16108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6.维护交通秩序。包括对机动车辆和非机动车辆的行驶方向、速度临时停放位置进行管理，保持车辆行驶畅通。</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（四）消防管理</w:t>
            </w:r>
          </w:p>
          <w:p w14:paraId="1E1BD4E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1.有健全的消防管理制度，组建义务消防队，建立消防责任制及火灾预案。</w:t>
            </w:r>
          </w:p>
          <w:p w14:paraId="18D07530">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2.建立健全消防设施设备档案，消防设施有明显标志。</w:t>
            </w:r>
          </w:p>
          <w:p w14:paraId="57742232">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3.定期对消防设施设备、器材进行巡视、检查、检测和保养，保证消防系统设施设备完好无损，可随时启用（配备的灭火器一年检验一次）。</w:t>
            </w:r>
          </w:p>
          <w:p w14:paraId="4E4F5EF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4.组织开展经常性的消防宣传和培训工作。定期进行消防训练，保证有关人员掌握消防基本技能。</w:t>
            </w:r>
          </w:p>
          <w:p w14:paraId="002BC8A1">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5.发生火灾及时报警，协助消防人员疏散、救助人员等。</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（五）停车管理</w:t>
            </w:r>
          </w:p>
          <w:p w14:paraId="3FF01C3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1.有健全的机动车、非机动车存车管理制度和管理方案。</w:t>
            </w:r>
          </w:p>
          <w:p w14:paraId="4690C85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2.加强对非机动车辆的管理，在指定区域内摆放整齐，管理有序。</w:t>
            </w:r>
          </w:p>
          <w:p w14:paraId="06F112C6">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en-US" w:eastAsia="zh-CN"/>
              </w:rPr>
              <w:t>3</w:t>
            </w:r>
            <w:r>
              <w:rPr>
                <w:rFonts w:hint="eastAsia" w:ascii="宋体" w:hAnsi="宋体" w:cs="楷体_GB2312"/>
                <w:bCs/>
                <w:color w:val="auto"/>
                <w:szCs w:val="21"/>
                <w:highlight w:val="none"/>
                <w:lang w:val="zh-CN"/>
              </w:rPr>
              <w:t>.严格执行车辆管理制度，避免因物业管理公司责任造成用户车辆损坏或丢失。</w:t>
            </w:r>
          </w:p>
          <w:p w14:paraId="5F7E411C">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（六）保洁服务</w:t>
            </w:r>
          </w:p>
          <w:p w14:paraId="22F5AD5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1.环境卫生实行一体化管理，有专业的保洁队伍。</w:t>
            </w:r>
          </w:p>
          <w:p w14:paraId="71DED5D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2.有健全的保洁制度，清洁卫生实行责任制，有明确的分工和职责范围。</w:t>
            </w:r>
          </w:p>
          <w:p w14:paraId="5888528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3.环卫设施齐全完好，设立垃圾集纳地点。</w:t>
            </w:r>
          </w:p>
          <w:p w14:paraId="1D30FCA4">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4.对保洁服务范围内的区域进行清扫，做到服务范围内无废弃杂物。</w:t>
            </w:r>
          </w:p>
          <w:p w14:paraId="6BE1A07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5.按层设置垃圾桶，每日清运1次。垃圾袋装化，保持垃圾桶清洁、无异味。</w:t>
            </w:r>
          </w:p>
          <w:p w14:paraId="594A47F2">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6.合理设置果壳箱或者垃圾桶，每日清运1次。</w:t>
            </w:r>
          </w:p>
          <w:p w14:paraId="1E4F62F0">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7.办公楼道路、广场、停车场、绿地等每日清扫1次；一层共用大厅、楼道每日清扫1次，每日拖洗1次；楼梯扶手每日擦洗1次；共用部位玻璃每月清洁1次；路灯、楼道灯每月清洁1次。</w:t>
            </w:r>
          </w:p>
          <w:p w14:paraId="67B9DA6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8.共用雨、污水管道每年疏通1次；雨、污水井每月检查1次，视检查情况及时清掏；化粪池每季度检查1次，每年清掏1次，发现异常及时清掏。</w:t>
            </w:r>
          </w:p>
          <w:p w14:paraId="45535DA7">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9.根据实际情况定期进行消毒和灭虫除害。</w:t>
            </w:r>
          </w:p>
          <w:p w14:paraId="51F6292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10.</w:t>
            </w:r>
            <w:r>
              <w:rPr>
                <w:rFonts w:hint="eastAsia" w:ascii="宋体" w:hAnsi="宋体" w:cs="楷体_GB2312"/>
                <w:bCs/>
                <w:color w:val="auto"/>
                <w:szCs w:val="21"/>
                <w:highlight w:val="none"/>
                <w:lang w:val="en-US" w:eastAsia="zh-CN"/>
              </w:rPr>
              <w:t>公共区域及</w:t>
            </w:r>
            <w:r>
              <w:rPr>
                <w:rFonts w:hint="eastAsia" w:ascii="宋体" w:hAnsi="宋体" w:cs="楷体_GB2312"/>
                <w:bCs/>
                <w:color w:val="auto"/>
                <w:szCs w:val="21"/>
                <w:highlight w:val="none"/>
                <w:lang w:val="zh-CN"/>
              </w:rPr>
              <w:t>卫生间用卷筒纸、擦手纸、洗手液和各办公室内工作人员用的垃圾袋不需物业管理公司负责；除上述外，其他的部位清洁及清洁需要的各种物品及消杀药物由物业管理公司负责；</w:t>
            </w:r>
          </w:p>
          <w:p w14:paraId="7F6BAE85">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11.雨、污水井，化粪井清掏费用由物业管理公司负责。</w:t>
            </w:r>
          </w:p>
          <w:p w14:paraId="24BAF838">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12.物业范围内的除“四害” 费用由物业管理公司负责</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0" w:firstLineChars="200"/>
              <w:outlineLvl w:val="9"/>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（九）绿化养护服务</w:t>
            </w:r>
          </w:p>
          <w:p w14:paraId="19115ABE">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1.公共绿地、通道、广场、领导办公室、办公室、门厅、大门口、会议室、礼堂等公共区域绿化养护、管理、搬移等服务。</w:t>
            </w:r>
          </w:p>
          <w:p w14:paraId="023BF472">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2.树木、花卉、灌木、绿篱、盆景、草坪的灌溉、修剪、施肥、病虫害、杂草防治。</w:t>
            </w:r>
          </w:p>
          <w:p w14:paraId="2D468FD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3.树木修剪树枝、枯枝；修剪草坪，清扫。</w:t>
            </w:r>
          </w:p>
          <w:p w14:paraId="28DDE019">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（十）纳税大厅服务</w:t>
            </w:r>
          </w:p>
          <w:p w14:paraId="6665F01D">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1.对纳税大厅范围内的区域进行清扫，做到服务范围内无废弃杂物。纳税大厅垃圾桶，每日清运1次，垃圾袋装化，保持垃圾桶清洁、无异味。</w:t>
            </w:r>
          </w:p>
          <w:p w14:paraId="21FE395B">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eastAsia" w:ascii="宋体" w:hAnsi="宋体" w:cs="楷体_GB2312"/>
                <w:bCs/>
                <w:color w:val="auto"/>
                <w:szCs w:val="21"/>
                <w:highlight w:val="none"/>
                <w:lang w:val="zh-CN"/>
              </w:rPr>
            </w:pPr>
            <w:r>
              <w:rPr>
                <w:rFonts w:hint="eastAsia" w:ascii="宋体" w:hAnsi="宋体" w:cs="楷体_GB2312"/>
                <w:bCs/>
                <w:color w:val="auto"/>
                <w:szCs w:val="21"/>
                <w:highlight w:val="none"/>
                <w:lang w:val="zh-CN"/>
              </w:rPr>
              <w:t>2.维护好办税服务厅公共秩序，引导并分流纳税人按照办税流程办理各项业务，保证纳税服务厅良好的正常办公秩序。</w:t>
            </w:r>
          </w:p>
          <w:p w14:paraId="4A37B93F">
            <w:pPr>
              <w:keepNext w:val="0"/>
              <w:keepLines w:val="0"/>
              <w:widowControl/>
              <w:suppressLineNumbers w:val="0"/>
              <w:topLinePunct/>
              <w:adjustRightInd w:val="0"/>
              <w:snapToGrid w:val="0"/>
              <w:spacing w:before="60" w:beforeAutospacing="0" w:after="60" w:afterAutospacing="0" w:line="312" w:lineRule="auto"/>
              <w:ind w:left="0" w:right="0" w:firstLine="420" w:firstLineChars="200"/>
              <w:rPr>
                <w:rFonts w:hint="default" w:ascii="宋体" w:hAnsi="宋体" w:eastAsia="宋体" w:cs="楷体_GB2312"/>
                <w:bCs/>
                <w:color w:val="auto"/>
                <w:szCs w:val="21"/>
                <w:highlight w:val="none"/>
                <w:lang w:val="en-US" w:eastAsia="zh-CN"/>
              </w:rPr>
            </w:pPr>
            <w:r>
              <w:rPr>
                <w:rFonts w:hint="eastAsia" w:ascii="宋体" w:hAnsi="宋体" w:cs="楷体_GB2312"/>
                <w:bCs/>
                <w:color w:val="auto"/>
                <w:szCs w:val="21"/>
                <w:highlight w:val="none"/>
                <w:lang w:val="en-US" w:eastAsia="zh-CN"/>
              </w:rPr>
              <w:t>物业管理</w:t>
            </w:r>
            <w:r>
              <w:rPr>
                <w:rFonts w:hint="eastAsia" w:ascii="宋体" w:hAnsi="宋体" w:cs="楷体_GB2312"/>
                <w:bCs/>
                <w:color w:val="auto"/>
                <w:szCs w:val="21"/>
                <w:highlight w:val="none"/>
                <w:lang w:val="zh-CN"/>
              </w:rPr>
              <w:t>考核要求</w:t>
            </w:r>
            <w:r>
              <w:rPr>
                <w:rFonts w:hint="eastAsia" w:ascii="宋体" w:hAnsi="宋体" w:cs="楷体_GB2312"/>
                <w:bCs/>
                <w:color w:val="auto"/>
                <w:szCs w:val="21"/>
                <w:highlight w:val="none"/>
                <w:lang w:val="en-US" w:eastAsia="zh-CN"/>
              </w:rPr>
              <w:t>详见附件。</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outlineLvl w:val="9"/>
              <w:rPr>
                <w:rFonts w:hint="eastAsia" w:ascii="宋体" w:hAnsi="宋体" w:cs="黑体"/>
                <w:b/>
                <w:bCs/>
                <w:color w:val="auto"/>
                <w:szCs w:val="21"/>
                <w:highlight w:val="none"/>
                <w:lang w:val="zh-CN"/>
              </w:rPr>
            </w:pPr>
            <w:r>
              <w:rPr>
                <w:rFonts w:hint="eastAsia" w:ascii="宋体" w:hAnsi="宋体" w:cs="黑体"/>
                <w:b/>
                <w:bCs/>
                <w:color w:val="auto"/>
                <w:szCs w:val="21"/>
                <w:highlight w:val="none"/>
                <w:lang w:val="zh-CN"/>
              </w:rPr>
              <w:t>五、人员配置要求</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rPr>
                <w:rFonts w:hint="eastAsia" w:ascii="宋体" w:hAnsi="宋体" w:cs="黑体"/>
                <w:b/>
                <w:bCs/>
                <w:color w:val="auto"/>
                <w:szCs w:val="21"/>
                <w:highlight w:val="none"/>
                <w:lang w:val="zh-CN"/>
              </w:rPr>
            </w:pPr>
            <w:r>
              <w:rPr>
                <w:rFonts w:hint="eastAsia" w:ascii="宋体" w:hAnsi="宋体" w:cs="黑体"/>
                <w:b/>
                <w:bCs/>
                <w:color w:val="auto"/>
                <w:szCs w:val="21"/>
                <w:highlight w:val="none"/>
                <w:lang w:val="zh-CN"/>
              </w:rPr>
              <w:t>1.本项目服务人员总岗位总数不能低于</w:t>
            </w:r>
            <w:r>
              <w:rPr>
                <w:rFonts w:hint="eastAsia" w:ascii="宋体" w:hAnsi="宋体" w:cs="黑体"/>
                <w:b/>
                <w:bCs/>
                <w:color w:val="auto"/>
                <w:szCs w:val="21"/>
                <w:highlight w:val="none"/>
                <w:u w:val="single"/>
                <w:lang w:val="en-US" w:eastAsia="zh-CN"/>
              </w:rPr>
              <w:t xml:space="preserve">  21个</w:t>
            </w:r>
            <w:r>
              <w:rPr>
                <w:rFonts w:hint="eastAsia" w:ascii="宋体" w:hAnsi="宋体" w:cs="黑体"/>
                <w:b/>
                <w:bCs/>
                <w:color w:val="auto"/>
                <w:szCs w:val="21"/>
                <w:highlight w:val="none"/>
                <w:lang w:val="zh-CN"/>
              </w:rPr>
              <w:t>。</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rPr>
                <w:rFonts w:hint="eastAsia" w:ascii="宋体" w:hAnsi="宋体" w:cs="黑体"/>
                <w:b/>
                <w:bCs/>
                <w:color w:val="auto"/>
                <w:szCs w:val="21"/>
                <w:highlight w:val="none"/>
                <w:lang w:val="zh-CN"/>
              </w:rPr>
            </w:pPr>
            <w:r>
              <w:rPr>
                <w:rFonts w:hint="eastAsia" w:ascii="宋体" w:hAnsi="宋体" w:cs="黑体"/>
                <w:b/>
                <w:bCs/>
                <w:color w:val="auto"/>
                <w:szCs w:val="21"/>
                <w:highlight w:val="none"/>
                <w:lang w:val="zh-CN"/>
              </w:rPr>
              <w:t>2.为本项目配置的项目</w:t>
            </w:r>
            <w:r>
              <w:rPr>
                <w:rFonts w:hint="eastAsia" w:ascii="宋体" w:hAnsi="宋体" w:cs="黑体"/>
                <w:b/>
                <w:bCs/>
                <w:color w:val="auto"/>
                <w:szCs w:val="21"/>
                <w:highlight w:val="none"/>
                <w:lang w:val="en-US" w:eastAsia="zh-CN"/>
              </w:rPr>
              <w:t>经理</w:t>
            </w:r>
            <w:r>
              <w:rPr>
                <w:rFonts w:hint="eastAsia" w:ascii="宋体" w:hAnsi="宋体" w:cs="黑体"/>
                <w:b/>
                <w:bCs/>
                <w:color w:val="auto"/>
                <w:szCs w:val="21"/>
                <w:highlight w:val="none"/>
                <w:lang w:val="zh-CN"/>
              </w:rPr>
              <w:t>需持有</w:t>
            </w:r>
            <w:r>
              <w:rPr>
                <w:rFonts w:hint="eastAsia" w:ascii="宋体" w:hAnsi="宋体" w:cs="黑体"/>
                <w:b/>
                <w:bCs/>
                <w:color w:val="auto"/>
                <w:szCs w:val="21"/>
                <w:highlight w:val="none"/>
                <w:lang w:val="en-US" w:eastAsia="zh-CN"/>
              </w:rPr>
              <w:t>中级职称及</w:t>
            </w:r>
            <w:r>
              <w:rPr>
                <w:rFonts w:hint="eastAsia" w:ascii="宋体" w:hAnsi="宋体" w:cs="黑体"/>
                <w:b/>
                <w:bCs/>
                <w:color w:val="auto"/>
                <w:szCs w:val="21"/>
                <w:highlight w:val="none"/>
                <w:lang w:val="zh-CN"/>
              </w:rPr>
              <w:t>物业管理从业人员岗位证书（要求提供相关证书复印件并加盖供应商公章）。</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rPr>
                <w:rFonts w:hint="eastAsia"/>
                <w:color w:val="auto"/>
                <w:highlight w:val="none"/>
                <w:lang w:val="zh-CN"/>
              </w:rPr>
            </w:pPr>
            <w:r>
              <w:rPr>
                <w:rFonts w:hint="eastAsia" w:ascii="宋体" w:hAnsi="宋体" w:cs="黑体"/>
                <w:b/>
                <w:bCs/>
                <w:color w:val="auto"/>
                <w:szCs w:val="21"/>
                <w:highlight w:val="none"/>
                <w:lang w:val="en-US" w:eastAsia="zh-CN"/>
              </w:rPr>
              <w:t>3.秩序维护员应优先选用有保安证人员，其他岗位应优先选用有相关工作经验人员。</w:t>
            </w:r>
          </w:p>
          <w:p w14:paraId="12E73E50">
            <w:pPr>
              <w:keepNext w:val="0"/>
              <w:keepLines w:val="0"/>
              <w:widowControl/>
              <w:numPr>
                <w:ilvl w:val="0"/>
                <w:numId w:val="0"/>
              </w:numPr>
              <w:suppressLineNumbers w:val="0"/>
              <w:topLinePunct/>
              <w:adjustRightInd w:val="0"/>
              <w:snapToGrid w:val="0"/>
              <w:spacing w:before="60" w:beforeAutospacing="0" w:after="60" w:afterAutospacing="0" w:line="312" w:lineRule="auto"/>
              <w:ind w:left="0" w:right="0" w:firstLine="422" w:firstLineChars="200"/>
              <w:rPr>
                <w:rFonts w:hint="eastAsia" w:ascii="宋体" w:hAnsi="宋体" w:eastAsia="宋体" w:cs="黑体"/>
                <w:b/>
                <w:bCs/>
                <w:color w:val="auto"/>
                <w:szCs w:val="21"/>
                <w:highlight w:val="none"/>
                <w:lang w:val="en-US" w:eastAsia="zh-CN"/>
              </w:rPr>
            </w:pPr>
            <w:r>
              <w:rPr>
                <w:rFonts w:hint="eastAsia" w:ascii="宋体" w:hAnsi="宋体" w:cs="黑体"/>
                <w:b/>
                <w:bCs/>
                <w:color w:val="auto"/>
                <w:szCs w:val="21"/>
                <w:highlight w:val="none"/>
                <w:lang w:val="zh-CN"/>
              </w:rPr>
              <w:t>岗位具体配备如下：</w:t>
            </w:r>
          </w:p>
          <w:p w14:paraId="7D7E8580">
            <w:pPr>
              <w:keepNext w:val="0"/>
              <w:keepLines w:val="0"/>
              <w:widowControl/>
              <w:numPr>
                <w:ilvl w:val="0"/>
                <w:numId w:val="0"/>
              </w:numPr>
              <w:suppressLineNumbers w:val="0"/>
              <w:topLinePunct/>
              <w:adjustRightInd w:val="0"/>
              <w:snapToGrid w:val="0"/>
              <w:spacing w:before="60" w:beforeAutospacing="0" w:after="60" w:afterAutospacing="0" w:line="312" w:lineRule="auto"/>
              <w:ind w:left="0" w:leftChars="0" w:right="0" w:firstLine="420" w:firstLineChars="200"/>
              <w:rPr>
                <w:rFonts w:hint="eastAsia" w:ascii="宋体" w:hAnsi="宋体" w:cs="黑体"/>
                <w:b w:val="0"/>
                <w:bCs w:val="0"/>
                <w:color w:val="auto"/>
                <w:szCs w:val="21"/>
                <w:highlight w:val="none"/>
                <w:lang w:val="en-US" w:eastAsia="zh-CN"/>
              </w:rPr>
            </w:pPr>
            <w:r>
              <w:rPr>
                <w:rFonts w:hint="eastAsia" w:ascii="宋体" w:hAnsi="宋体" w:cs="黑体"/>
                <w:b w:val="0"/>
                <w:bCs w:val="0"/>
                <w:color w:val="auto"/>
                <w:szCs w:val="21"/>
                <w:highlight w:val="none"/>
                <w:lang w:val="en-US" w:eastAsia="zh-CN"/>
              </w:rPr>
              <w:t xml:space="preserve">（一）项目经理岗 </w:t>
            </w:r>
            <w:r>
              <w:rPr>
                <w:rFonts w:hint="eastAsia" w:ascii="宋体" w:hAnsi="宋体" w:cs="黑体"/>
                <w:b w:val="0"/>
                <w:bCs w:val="0"/>
                <w:color w:val="auto"/>
                <w:szCs w:val="21"/>
                <w:highlight w:val="none"/>
                <w:u w:val="single"/>
                <w:lang w:val="en-US" w:eastAsia="zh-CN"/>
              </w:rPr>
              <w:t xml:space="preserve"> 1 人</w:t>
            </w:r>
            <w:r>
              <w:rPr>
                <w:rFonts w:hint="eastAsia" w:ascii="宋体" w:hAnsi="宋体" w:cs="黑体"/>
                <w:b w:val="0"/>
                <w:bCs w:val="0"/>
                <w:color w:val="auto"/>
                <w:szCs w:val="21"/>
                <w:highlight w:val="none"/>
                <w:lang w:val="en-US" w:eastAsia="zh-CN"/>
              </w:rPr>
              <w:t>，负责全面管理物业管理服务相关工作。</w:t>
            </w:r>
          </w:p>
          <w:p w14:paraId="112C20FD">
            <w:pPr>
              <w:keepNext w:val="0"/>
              <w:keepLines w:val="0"/>
              <w:widowControl/>
              <w:numPr>
                <w:ilvl w:val="0"/>
                <w:numId w:val="0"/>
              </w:numPr>
              <w:suppressLineNumbers w:val="0"/>
              <w:topLinePunct/>
              <w:adjustRightInd w:val="0"/>
              <w:snapToGrid w:val="0"/>
              <w:spacing w:before="60" w:beforeAutospacing="0" w:after="60" w:afterAutospacing="0" w:line="312" w:lineRule="auto"/>
              <w:ind w:left="0" w:leftChars="0" w:right="0" w:firstLine="420" w:firstLineChars="200"/>
              <w:rPr>
                <w:rFonts w:hint="eastAsia" w:ascii="宋体" w:hAnsi="宋体" w:cs="黑体"/>
                <w:b w:val="0"/>
                <w:bCs w:val="0"/>
                <w:color w:val="auto"/>
                <w:szCs w:val="21"/>
                <w:highlight w:val="none"/>
                <w:lang w:val="en-US" w:eastAsia="zh-CN"/>
              </w:rPr>
            </w:pPr>
            <w:r>
              <w:rPr>
                <w:rFonts w:hint="eastAsia" w:ascii="宋体" w:hAnsi="宋体" w:cs="黑体"/>
                <w:b w:val="0"/>
                <w:bCs w:val="0"/>
                <w:color w:val="auto"/>
                <w:szCs w:val="21"/>
                <w:highlight w:val="none"/>
                <w:lang w:val="en-US" w:eastAsia="zh-CN"/>
              </w:rPr>
              <w:t>（二）管理兼会务服务岗</w:t>
            </w:r>
            <w:r>
              <w:rPr>
                <w:rFonts w:hint="eastAsia" w:ascii="宋体" w:hAnsi="宋体" w:cs="黑体"/>
                <w:b w:val="0"/>
                <w:bCs w:val="0"/>
                <w:color w:val="auto"/>
                <w:szCs w:val="21"/>
                <w:highlight w:val="none"/>
                <w:u w:val="single"/>
                <w:lang w:val="en-US" w:eastAsia="zh-CN"/>
              </w:rPr>
              <w:t>3人</w:t>
            </w:r>
            <w:r>
              <w:rPr>
                <w:rFonts w:hint="eastAsia" w:ascii="宋体" w:hAnsi="宋体" w:cs="黑体"/>
                <w:b w:val="0"/>
                <w:bCs w:val="0"/>
                <w:color w:val="auto"/>
                <w:szCs w:val="21"/>
                <w:highlight w:val="none"/>
                <w:lang w:val="en-US" w:eastAsia="zh-CN"/>
              </w:rPr>
              <w:t>，负责整个项目物业管理服务工作的安排检查、员工培训、对接税务局相关部门的工作需求及会务服务工作的布置落实，协助税务部门资料分发。</w:t>
            </w:r>
          </w:p>
          <w:p w14:paraId="2A1D6E28">
            <w:pPr>
              <w:keepNext w:val="0"/>
              <w:keepLines w:val="0"/>
              <w:widowControl/>
              <w:numPr>
                <w:ilvl w:val="0"/>
                <w:numId w:val="0"/>
              </w:numPr>
              <w:suppressLineNumbers w:val="0"/>
              <w:topLinePunct/>
              <w:adjustRightInd w:val="0"/>
              <w:snapToGrid w:val="0"/>
              <w:spacing w:before="60" w:beforeAutospacing="0" w:after="60" w:afterAutospacing="0" w:line="312" w:lineRule="auto"/>
              <w:ind w:left="0" w:leftChars="0" w:right="0" w:firstLine="420" w:firstLineChars="200"/>
              <w:rPr>
                <w:rFonts w:hint="eastAsia" w:ascii="宋体" w:hAnsi="宋体" w:cs="黑体"/>
                <w:b w:val="0"/>
                <w:bCs w:val="0"/>
                <w:color w:val="auto"/>
                <w:szCs w:val="21"/>
                <w:highlight w:val="none"/>
                <w:lang w:val="en-US" w:eastAsia="zh-CN"/>
              </w:rPr>
            </w:pPr>
            <w:r>
              <w:rPr>
                <w:rFonts w:hint="eastAsia" w:ascii="宋体" w:hAnsi="宋体" w:cs="黑体"/>
                <w:b w:val="0"/>
                <w:bCs w:val="0"/>
                <w:color w:val="auto"/>
                <w:szCs w:val="21"/>
                <w:highlight w:val="none"/>
                <w:lang w:val="en-US" w:eastAsia="zh-CN"/>
              </w:rPr>
              <w:t>（三）秩序维护</w:t>
            </w:r>
            <w:r>
              <w:rPr>
                <w:rFonts w:hint="eastAsia" w:ascii="宋体" w:hAnsi="宋体" w:cs="黑体"/>
                <w:b w:val="0"/>
                <w:bCs w:val="0"/>
                <w:color w:val="auto"/>
                <w:szCs w:val="21"/>
                <w:highlight w:val="none"/>
                <w:u w:val="single"/>
                <w:lang w:val="en-US" w:eastAsia="zh-CN"/>
              </w:rPr>
              <w:t xml:space="preserve">  9人</w:t>
            </w:r>
            <w:r>
              <w:rPr>
                <w:rFonts w:hint="eastAsia" w:ascii="宋体" w:hAnsi="宋体" w:cs="黑体"/>
                <w:b w:val="0"/>
                <w:bCs w:val="0"/>
                <w:color w:val="auto"/>
                <w:szCs w:val="21"/>
                <w:highlight w:val="none"/>
                <w:lang w:val="en-US" w:eastAsia="zh-CN"/>
              </w:rPr>
              <w:t>（明秀东2个安保岗6人、明秀西1个安保岗3人，共9人）：负责门岗、管理区域巡逻、秩序维护等工作。</w:t>
            </w:r>
          </w:p>
          <w:p w14:paraId="6EDF96DC">
            <w:pPr>
              <w:keepNext w:val="0"/>
              <w:keepLines w:val="0"/>
              <w:widowControl/>
              <w:numPr>
                <w:ilvl w:val="0"/>
                <w:numId w:val="0"/>
              </w:numPr>
              <w:suppressLineNumbers w:val="0"/>
              <w:topLinePunct/>
              <w:adjustRightInd w:val="0"/>
              <w:snapToGrid w:val="0"/>
              <w:spacing w:before="60" w:beforeAutospacing="0" w:after="60" w:afterAutospacing="0" w:line="312" w:lineRule="auto"/>
              <w:ind w:left="0" w:leftChars="0" w:right="0" w:firstLine="420" w:firstLineChars="200"/>
              <w:rPr>
                <w:rFonts w:hint="eastAsia" w:ascii="宋体" w:hAnsi="宋体" w:cs="黑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（四） </w:t>
            </w:r>
            <w:r>
              <w:rPr>
                <w:rFonts w:hint="eastAsia" w:ascii="宋体" w:hAnsi="宋体" w:cs="黑体"/>
                <w:b w:val="0"/>
                <w:bCs w:val="0"/>
                <w:color w:val="auto"/>
                <w:szCs w:val="21"/>
                <w:highlight w:val="none"/>
                <w:lang w:val="en-US" w:eastAsia="zh-CN"/>
              </w:rPr>
              <w:t xml:space="preserve">保洁 </w:t>
            </w:r>
            <w:r>
              <w:rPr>
                <w:rFonts w:hint="eastAsia" w:ascii="宋体" w:hAnsi="宋体" w:cs="黑体"/>
                <w:b w:val="0"/>
                <w:bCs w:val="0"/>
                <w:color w:val="auto"/>
                <w:szCs w:val="21"/>
                <w:highlight w:val="none"/>
                <w:u w:val="single"/>
                <w:lang w:val="en-US" w:eastAsia="zh-CN"/>
              </w:rPr>
              <w:t xml:space="preserve"> 6人</w:t>
            </w:r>
            <w:r>
              <w:rPr>
                <w:rFonts w:hint="eastAsia" w:ascii="宋体" w:hAnsi="宋体" w:cs="黑体"/>
                <w:b w:val="0"/>
                <w:bCs w:val="0"/>
                <w:color w:val="auto"/>
                <w:szCs w:val="21"/>
                <w:highlight w:val="none"/>
                <w:lang w:val="en-US" w:eastAsia="zh-CN"/>
              </w:rPr>
              <w:t>（东区主楼三楼以上2个、东区一楼二楼大厅及附属楼共2个、明秀东大院1人、明秀西办公楼及大院1个），负责办公楼及大院公共区域及相关场所的保洁及消杀工作。</w:t>
            </w:r>
          </w:p>
          <w:p w14:paraId="12E73E50">
            <w:pPr>
              <w:keepNext w:val="0"/>
              <w:keepLines w:val="0"/>
              <w:pageBreakBefore w:val="0"/>
              <w:widowControl/>
              <w:numPr>
                <w:ilvl w:val="0"/>
                <w:numId w:val="0"/>
              </w:numPr>
              <w:suppressLineNumbers w:val="0"/>
              <w:kinsoku/>
              <w:wordWrap/>
              <w:overflowPunct/>
              <w:topLinePunct/>
              <w:autoSpaceDE/>
              <w:autoSpaceDN/>
              <w:bidi w:val="0"/>
              <w:adjustRightInd w:val="0"/>
              <w:snapToGrid w:val="0"/>
              <w:spacing w:before="60" w:beforeAutospacing="0" w:after="60" w:afterAutospacing="0" w:line="312" w:lineRule="auto"/>
              <w:ind w:left="0" w:right="0" w:firstLine="420" w:firstLineChars="200"/>
              <w:jc w:val="left"/>
              <w:textAlignment w:val="auto"/>
              <w:rPr>
                <w:rFonts w:hint="default"/>
                <w:color w:val="auto"/>
                <w:highlight w:val="none"/>
                <w:lang w:val="en-US" w:eastAsia="zh-CN"/>
              </w:rPr>
            </w:pPr>
            <w:r>
              <w:rPr>
                <w:rFonts w:hint="eastAsia" w:ascii="宋体" w:hAnsi="宋体" w:cs="宋体"/>
                <w:b w:val="0"/>
                <w:bCs w:val="0"/>
                <w:color w:val="auto"/>
                <w:szCs w:val="21"/>
                <w:highlight w:val="none"/>
                <w:lang w:val="en-US" w:eastAsia="zh-CN"/>
              </w:rPr>
              <w:t xml:space="preserve">（五） </w:t>
            </w:r>
            <w:r>
              <w:rPr>
                <w:rFonts w:hint="eastAsia" w:ascii="宋体" w:hAnsi="宋体" w:cs="黑体"/>
                <w:b w:val="0"/>
                <w:bCs w:val="0"/>
                <w:color w:val="auto"/>
                <w:szCs w:val="21"/>
                <w:highlight w:val="none"/>
                <w:lang w:val="en-US" w:eastAsia="zh-CN"/>
              </w:rPr>
              <w:t>技术岗</w:t>
            </w:r>
            <w:r>
              <w:rPr>
                <w:rFonts w:hint="eastAsia" w:ascii="宋体" w:hAnsi="宋体" w:cs="黑体"/>
                <w:b w:val="0"/>
                <w:bCs w:val="0"/>
                <w:color w:val="auto"/>
                <w:szCs w:val="21"/>
                <w:highlight w:val="none"/>
                <w:u w:val="single"/>
                <w:lang w:val="en-US" w:eastAsia="zh-CN"/>
              </w:rPr>
              <w:t xml:space="preserve">  2 人</w:t>
            </w:r>
            <w:r>
              <w:rPr>
                <w:rFonts w:hint="eastAsia" w:ascii="宋体" w:hAnsi="宋体" w:cs="黑体"/>
                <w:b w:val="0"/>
                <w:bCs w:val="0"/>
                <w:color w:val="auto"/>
                <w:szCs w:val="21"/>
                <w:highlight w:val="none"/>
                <w:lang w:val="en-US" w:eastAsia="zh-CN"/>
              </w:rPr>
              <w:t>，负责东西区办公楼及公共设施设备的维护、维修。</w:t>
            </w:r>
          </w:p>
        </w:tc>
      </w:tr>
    </w:tbl>
    <w:p w14:paraId="170B45AB">
      <w:pPr>
        <w:widowControl/>
        <w:numPr>
          <w:ilvl w:val="0"/>
          <w:numId w:val="0"/>
        </w:numPr>
        <w:shd w:val="clear"/>
        <w:topLinePunct/>
        <w:snapToGrid w:val="0"/>
        <w:spacing w:before="0" w:beforeAutospacing="0" w:after="0" w:afterAutospacing="0" w:line="400" w:lineRule="exact"/>
        <w:ind w:firstLine="422" w:firstLineChars="200"/>
        <w:jc w:val="left"/>
        <w:outlineLvl w:val="1"/>
        <w:rPr>
          <w:rFonts w:hint="eastAsia" w:ascii="宋体" w:hAnsi="宋体" w:eastAsia="宋体" w:cs="宋体"/>
          <w:b/>
          <w:bCs/>
          <w:color w:val="auto"/>
          <w:sz w:val="21"/>
          <w:szCs w:val="21"/>
          <w:highlight w:val="none"/>
          <w:lang w:val="en-US" w:eastAsia="zh-CN"/>
        </w:rPr>
      </w:pPr>
      <w:bookmarkStart w:id="112" w:name="_Toc22760"/>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color w:val="auto"/>
          <w:sz w:val="21"/>
          <w:szCs w:val="21"/>
          <w:highlight w:val="none"/>
          <w:lang w:val="en-US" w:eastAsia="zh-CN"/>
        </w:rPr>
        <w:t>商务要求</w:t>
      </w:r>
      <w:bookmarkEnd w:id="111"/>
      <w:bookmarkEnd w:id="112"/>
    </w:p>
    <w:tbl>
      <w:tblPr>
        <w:tblStyle w:val="36"/>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7788"/>
      </w:tblGrid>
      <w:tr w14:paraId="05E7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588" w:type="dxa"/>
            <w:noWrap w:val="0"/>
            <w:vAlign w:val="center"/>
          </w:tcPr>
          <w:p w14:paraId="13DC38C2">
            <w:pPr>
              <w:keepNext w:val="0"/>
              <w:keepLines w:val="0"/>
              <w:widowControl/>
              <w:suppressLineNumbers w:val="0"/>
              <w:ind w:left="0" w:right="0"/>
              <w:jc w:val="center"/>
              <w:textAlignment w:val="center"/>
              <w:rPr>
                <w:rFonts w:hint="eastAsia" w:ascii="宋体" w:hAnsi="宋体" w:eastAsia="宋体" w:cs="宋体"/>
                <w:color w:val="auto"/>
                <w:sz w:val="21"/>
                <w:szCs w:val="21"/>
                <w:highlight w:val="none"/>
                <w:lang w:val="en-US" w:eastAsia="zh-CN" w:bidi="ar"/>
              </w:rPr>
            </w:pPr>
            <w:r>
              <w:rPr>
                <w:rFonts w:hint="eastAsia"/>
                <w:b/>
                <w:bCs/>
                <w:color w:val="auto"/>
                <w:highlight w:val="none"/>
                <w:lang w:eastAsia="zh-CN"/>
              </w:rPr>
              <w:t>商务要求</w:t>
            </w:r>
          </w:p>
        </w:tc>
        <w:tc>
          <w:tcPr>
            <w:tcW w:w="7788" w:type="dxa"/>
            <w:noWrap w:val="0"/>
            <w:vAlign w:val="center"/>
          </w:tcPr>
          <w:p w14:paraId="5730B027">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w:t>
            </w:r>
            <w:r>
              <w:rPr>
                <w:rFonts w:hint="eastAsia" w:ascii="宋体" w:hAnsi="宋体" w:eastAsia="宋体" w:cs="宋体"/>
                <w:color w:val="auto"/>
                <w:sz w:val="21"/>
                <w:szCs w:val="21"/>
                <w:highlight w:val="none"/>
              </w:rPr>
              <w:t>合同签订期：自</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发出之日起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日内</w:t>
            </w:r>
            <w:r>
              <w:rPr>
                <w:rFonts w:hint="eastAsia" w:ascii="宋体" w:hAnsi="宋体" w:eastAsia="宋体" w:cs="宋体"/>
                <w:color w:val="auto"/>
                <w:sz w:val="21"/>
                <w:szCs w:val="21"/>
                <w:highlight w:val="none"/>
                <w:lang w:eastAsia="zh-CN"/>
              </w:rPr>
              <w:t>。</w:t>
            </w:r>
          </w:p>
          <w:p w14:paraId="263B213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（二）</w:t>
            </w:r>
            <w:r>
              <w:rPr>
                <w:rFonts w:hint="eastAsia" w:ascii="宋体" w:hAnsi="宋体" w:cs="宋体"/>
                <w:color w:val="auto"/>
                <w:sz w:val="21"/>
                <w:szCs w:val="21"/>
                <w:highlight w:val="none"/>
                <w:lang w:val="en-US" w:eastAsia="zh-CN"/>
              </w:rPr>
              <w:t>服务期限</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1年</w:t>
            </w:r>
            <w:r>
              <w:rPr>
                <w:rFonts w:hint="eastAsia" w:ascii="宋体" w:hAnsi="宋体" w:eastAsia="宋体" w:cs="宋体"/>
                <w:color w:val="auto"/>
                <w:sz w:val="21"/>
                <w:szCs w:val="21"/>
                <w:highlight w:val="none"/>
              </w:rPr>
              <w:t>。</w:t>
            </w:r>
          </w:p>
          <w:p w14:paraId="61F2FF68">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w:t>
            </w:r>
            <w:r>
              <w:rPr>
                <w:rFonts w:hint="eastAsia" w:ascii="宋体" w:hAnsi="宋体" w:cs="宋体"/>
                <w:color w:val="auto"/>
                <w:sz w:val="21"/>
                <w:szCs w:val="21"/>
                <w:highlight w:val="none"/>
                <w:lang w:val="en-US" w:eastAsia="zh-CN"/>
              </w:rPr>
              <w:t>服务地点</w:t>
            </w:r>
            <w:r>
              <w:rPr>
                <w:rFonts w:hint="eastAsia" w:ascii="宋体" w:hAnsi="宋体" w:eastAsia="宋体" w:cs="宋体"/>
                <w:color w:val="auto"/>
                <w:sz w:val="21"/>
                <w:szCs w:val="21"/>
                <w:highlight w:val="none"/>
              </w:rPr>
              <w:t>：南宁市明秀东路135号。</w:t>
            </w:r>
          </w:p>
          <w:p w14:paraId="61EBB6F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报价要求</w:t>
            </w:r>
            <w:r>
              <w:rPr>
                <w:rFonts w:hint="eastAsia" w:ascii="宋体" w:hAnsi="宋体" w:eastAsia="宋体" w:cs="宋体"/>
                <w:color w:val="auto"/>
                <w:sz w:val="21"/>
                <w:szCs w:val="21"/>
                <w:highlight w:val="none"/>
              </w:rPr>
              <w:t>：</w:t>
            </w:r>
          </w:p>
          <w:p w14:paraId="5B24290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包含但不限于以下部分：</w:t>
            </w:r>
          </w:p>
          <w:p w14:paraId="794B1CEF">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1.服务的价格；</w:t>
            </w:r>
          </w:p>
          <w:p w14:paraId="7DFC7EF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2.必要的保险费用和各项税金；</w:t>
            </w:r>
          </w:p>
          <w:p w14:paraId="0FD8C45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3.服务团队人员的工资、福利、</w:t>
            </w:r>
            <w:r>
              <w:rPr>
                <w:rFonts w:hint="eastAsia" w:ascii="宋体" w:hAnsi="宋体" w:cs="宋体"/>
                <w:color w:val="auto"/>
                <w:sz w:val="21"/>
                <w:szCs w:val="21"/>
                <w:highlight w:val="none"/>
                <w:lang w:val="en-US" w:eastAsia="zh-CN"/>
              </w:rPr>
              <w:t>加班费、</w:t>
            </w:r>
            <w:r>
              <w:rPr>
                <w:rFonts w:hint="eastAsia" w:ascii="宋体" w:hAnsi="宋体" w:eastAsia="宋体" w:cs="宋体"/>
                <w:color w:val="auto"/>
                <w:sz w:val="21"/>
                <w:szCs w:val="21"/>
                <w:highlight w:val="none"/>
              </w:rPr>
              <w:t>各项保险、培训费、体检费、服装费、税费、管理费等；</w:t>
            </w:r>
          </w:p>
          <w:p w14:paraId="15E9C11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color w:val="auto"/>
                <w:highlight w:val="none"/>
              </w:rPr>
              <w:t>公共设施、设备运行、维修、维护费用（单次金额不高于500元的维修维护由中标人承担）</w:t>
            </w:r>
            <w:r>
              <w:rPr>
                <w:rFonts w:hint="eastAsia" w:ascii="宋体" w:hAnsi="宋体" w:eastAsia="宋体" w:cs="宋体"/>
                <w:color w:val="auto"/>
                <w:sz w:val="21"/>
                <w:szCs w:val="21"/>
                <w:highlight w:val="none"/>
              </w:rPr>
              <w:t>；</w:t>
            </w:r>
          </w:p>
          <w:p w14:paraId="6AC58AF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5.在本项目服务期内，</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总价不予调整，采购人不再支付</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rPr>
              <w:t>价格以外的任何费用。</w:t>
            </w:r>
          </w:p>
          <w:p w14:paraId="6BDAD1B5">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付款方式：</w:t>
            </w:r>
          </w:p>
          <w:p w14:paraId="0840FC7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color w:val="auto"/>
                <w:highlight w:val="none"/>
                <w:lang w:eastAsia="zh-CN"/>
              </w:rPr>
            </w:pPr>
            <w:r>
              <w:rPr>
                <w:rFonts w:hint="eastAsia"/>
                <w:color w:val="auto"/>
                <w:highlight w:val="none"/>
                <w:lang w:eastAsia="zh-CN"/>
              </w:rPr>
              <w:t>采购人采取先服务再付款、按</w:t>
            </w:r>
            <w:r>
              <w:rPr>
                <w:rFonts w:hint="eastAsia"/>
                <w:color w:val="auto"/>
                <w:highlight w:val="none"/>
                <w:lang w:val="en-US" w:eastAsia="zh-CN"/>
              </w:rPr>
              <w:t>月</w:t>
            </w:r>
            <w:r>
              <w:rPr>
                <w:rFonts w:hint="eastAsia"/>
                <w:color w:val="auto"/>
                <w:highlight w:val="none"/>
                <w:lang w:eastAsia="zh-CN"/>
              </w:rPr>
              <w:t>考核，</w:t>
            </w:r>
            <w:r>
              <w:rPr>
                <w:rFonts w:hint="eastAsia"/>
                <w:color w:val="auto"/>
                <w:highlight w:val="none"/>
                <w:lang w:val="en-US" w:eastAsia="zh-CN"/>
              </w:rPr>
              <w:t>按季度</w:t>
            </w:r>
            <w:r>
              <w:rPr>
                <w:rFonts w:hint="eastAsia"/>
                <w:color w:val="auto"/>
                <w:highlight w:val="none"/>
                <w:lang w:eastAsia="zh-CN"/>
              </w:rPr>
              <w:t>结算的方式。每</w:t>
            </w:r>
            <w:r>
              <w:rPr>
                <w:rFonts w:hint="eastAsia"/>
                <w:color w:val="auto"/>
                <w:highlight w:val="none"/>
                <w:lang w:val="en-US" w:eastAsia="zh-CN"/>
              </w:rPr>
              <w:t>季度首</w:t>
            </w:r>
            <w:r>
              <w:rPr>
                <w:rFonts w:hint="eastAsia"/>
                <w:color w:val="auto"/>
                <w:highlight w:val="none"/>
                <w:lang w:eastAsia="zh-CN"/>
              </w:rPr>
              <w:t>月10日前，采购人按经双方确认的考核结果对合同服务费进行汇总扣款后支付剩余款项。服务费从供应商开始实施物业管理服务工作之日起开始计算，足月的月份服务费为：月服务费=年度合同金额/12-月考核汇总扣款；不足月的月份服务费为：年度合同金额/12÷当月日历天数×当月实际工作天数-月考核汇总扣款。</w:t>
            </w:r>
          </w:p>
          <w:p w14:paraId="56A14E86">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rPr>
                <w:rFonts w:hint="eastAsia"/>
                <w:color w:val="auto"/>
                <w:highlight w:val="none"/>
                <w:lang w:eastAsia="zh-CN"/>
              </w:rPr>
            </w:pPr>
            <w:r>
              <w:rPr>
                <w:rFonts w:hint="eastAsia"/>
                <w:color w:val="auto"/>
                <w:highlight w:val="none"/>
                <w:lang w:eastAsia="zh-CN"/>
              </w:rPr>
              <w:t>采购人付款前，供应商应向合同采购人开具等额有效的增值税发票，采购人收到合格发票后10个工作日内将相应款项支付到合同约定的供应商账户。采购人未收到发票的，有权不予支付直至供应商提供合格发票，并不承担延迟付款责任。</w:t>
            </w:r>
          </w:p>
        </w:tc>
      </w:tr>
    </w:tbl>
    <w:p w14:paraId="5305698C">
      <w:pPr>
        <w:keepNext w:val="0"/>
        <w:keepLines w:val="0"/>
        <w:pageBreakBefore w:val="0"/>
        <w:widowControl/>
        <w:shd w:val="clear"/>
        <w:kinsoku/>
        <w:wordWrap/>
        <w:overflowPunct/>
        <w:topLinePunct/>
        <w:autoSpaceDE/>
        <w:autoSpaceDN/>
        <w:bidi w:val="0"/>
        <w:adjustRightInd/>
        <w:snapToGrid w:val="0"/>
        <w:spacing w:before="0" w:beforeAutospacing="0" w:after="0" w:afterAutospacing="0" w:line="400" w:lineRule="exact"/>
        <w:ind w:firstLine="211" w:firstLineChars="100"/>
        <w:jc w:val="left"/>
        <w:textAlignment w:val="auto"/>
        <w:outlineLvl w:val="1"/>
        <w:rPr>
          <w:rFonts w:hint="eastAsia" w:ascii="宋体" w:hAnsi="宋体" w:eastAsia="宋体" w:cs="宋体"/>
          <w:color w:val="auto"/>
          <w:sz w:val="21"/>
          <w:szCs w:val="21"/>
          <w:highlight w:val="none"/>
        </w:rPr>
      </w:pPr>
      <w:bookmarkStart w:id="113" w:name="_Toc11519"/>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bCs/>
          <w:color w:val="auto"/>
          <w:sz w:val="21"/>
          <w:szCs w:val="21"/>
          <w:highlight w:val="none"/>
          <w:lang w:val="en-US" w:eastAsia="zh-CN"/>
        </w:rPr>
        <w:t>其他要求</w:t>
      </w:r>
      <w:bookmarkEnd w:id="113"/>
    </w:p>
    <w:tbl>
      <w:tblPr>
        <w:tblStyle w:val="35"/>
        <w:tblW w:w="8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1342"/>
        <w:gridCol w:w="6400"/>
      </w:tblGrid>
      <w:tr w14:paraId="130C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69"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BFA7A3">
            <w:pPr>
              <w:keepNext w:val="0"/>
              <w:keepLines w:val="0"/>
              <w:suppressLineNumbers w:val="0"/>
              <w:spacing w:line="380" w:lineRule="exact"/>
              <w:ind w:left="0" w:right="0"/>
              <w:jc w:val="center"/>
              <w:rPr>
                <w:rFonts w:hint="default" w:ascii="宋体" w:hAnsi="宋体" w:eastAsia="宋体" w:cs="宋体"/>
                <w:color w:val="auto"/>
                <w:szCs w:val="21"/>
                <w:highlight w:val="none"/>
              </w:rPr>
            </w:pPr>
            <w:r>
              <w:rPr>
                <w:rFonts w:hint="default" w:ascii="宋体" w:hAnsi="宋体" w:eastAsia="宋体" w:cs="宋体"/>
                <w:color w:val="auto"/>
                <w:szCs w:val="21"/>
                <w:highlight w:val="none"/>
              </w:rPr>
              <w:t>1</w:t>
            </w:r>
          </w:p>
        </w:tc>
        <w:tc>
          <w:tcPr>
            <w:tcW w:w="1342" w:type="dxa"/>
            <w:tcBorders>
              <w:top w:val="single" w:color="auto" w:sz="4" w:space="0"/>
              <w:left w:val="single" w:color="auto" w:sz="4" w:space="0"/>
              <w:bottom w:val="single" w:color="auto" w:sz="4" w:space="0"/>
              <w:right w:val="single" w:color="auto" w:sz="4" w:space="0"/>
            </w:tcBorders>
            <w:vAlign w:val="center"/>
          </w:tcPr>
          <w:p w14:paraId="47843F71">
            <w:pPr>
              <w:keepNext w:val="0"/>
              <w:keepLines w:val="0"/>
              <w:suppressLineNumbers w:val="0"/>
              <w:snapToGrid w:val="0"/>
              <w:spacing w:line="380" w:lineRule="exact"/>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其他要求</w:t>
            </w:r>
          </w:p>
        </w:tc>
        <w:tc>
          <w:tcPr>
            <w:tcW w:w="6400" w:type="dxa"/>
            <w:tcBorders>
              <w:top w:val="single" w:color="auto" w:sz="4" w:space="0"/>
              <w:left w:val="single" w:color="auto" w:sz="4" w:space="0"/>
              <w:bottom w:val="single" w:color="auto" w:sz="4" w:space="0"/>
              <w:right w:val="single" w:color="auto" w:sz="4" w:space="0"/>
            </w:tcBorders>
          </w:tcPr>
          <w:p w14:paraId="7A468C5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right="0" w:firstLine="420" w:firstLineChars="200"/>
              <w:textAlignment w:val="auto"/>
              <w:rPr>
                <w:rFonts w:hint="eastAsia"/>
                <w:color w:val="auto"/>
                <w:highlight w:val="none"/>
              </w:rPr>
            </w:pPr>
            <w:r>
              <w:rPr>
                <w:rFonts w:hint="eastAsia" w:ascii="宋体" w:hAnsi="宋体" w:cs="仿宋_GB2312"/>
                <w:bCs/>
                <w:color w:val="auto"/>
                <w:szCs w:val="21"/>
                <w:highlight w:val="none"/>
                <w:lang w:val="en-US" w:eastAsia="zh-CN"/>
              </w:rPr>
              <w:t>1、</w:t>
            </w:r>
            <w:r>
              <w:rPr>
                <w:rFonts w:hint="eastAsia" w:ascii="宋体" w:hAnsi="宋体" w:cs="仿宋_GB2312"/>
                <w:bCs/>
                <w:color w:val="auto"/>
                <w:szCs w:val="21"/>
                <w:highlight w:val="none"/>
                <w:lang w:val="zh-CN"/>
              </w:rPr>
              <w:t>合同期内如遇政府调整当地最低收入标准时，应由</w:t>
            </w:r>
            <w:r>
              <w:rPr>
                <w:rFonts w:hint="eastAsia" w:ascii="宋体" w:hAnsi="宋体" w:cs="仿宋_GB2312"/>
                <w:bCs/>
                <w:color w:val="auto"/>
                <w:szCs w:val="21"/>
                <w:highlight w:val="none"/>
                <w:lang w:val="en-US" w:eastAsia="zh-CN"/>
              </w:rPr>
              <w:t>采购人及供应商</w:t>
            </w:r>
            <w:r>
              <w:rPr>
                <w:rFonts w:hint="eastAsia" w:ascii="宋体" w:hAnsi="宋体" w:cs="仿宋_GB2312"/>
                <w:bCs/>
                <w:color w:val="auto"/>
                <w:szCs w:val="21"/>
                <w:highlight w:val="none"/>
                <w:lang w:val="zh-CN"/>
              </w:rPr>
              <w:t>双方按政府文件及政府采购文件相关规定对综合服务费进行协商调整。</w:t>
            </w:r>
          </w:p>
        </w:tc>
      </w:tr>
    </w:tbl>
    <w:p w14:paraId="4AE745C0">
      <w:pPr>
        <w:rPr>
          <w:color w:val="auto"/>
          <w:highlight w:val="none"/>
        </w:rPr>
      </w:pPr>
    </w:p>
    <w:p w14:paraId="16F04290">
      <w:pPr>
        <w:widowControl/>
        <w:topLinePunct w:val="0"/>
        <w:snapToGrid/>
        <w:spacing w:before="0" w:beforeAutospacing="0" w:after="0" w:afterAutospacing="0" w:line="240" w:lineRule="auto"/>
        <w:outlineLvl w:val="9"/>
        <w:rPr>
          <w:color w:val="auto"/>
          <w:highlight w:val="none"/>
        </w:rPr>
      </w:pPr>
      <w:r>
        <w:rPr>
          <w:color w:val="auto"/>
          <w:highlight w:val="none"/>
        </w:rPr>
        <w:br w:type="page"/>
      </w:r>
    </w:p>
    <w:p w14:paraId="175CC776">
      <w:pPr>
        <w:numPr>
          <w:ilvl w:val="0"/>
          <w:numId w:val="0"/>
        </w:numPr>
        <w:spacing w:line="360" w:lineRule="auto"/>
        <w:jc w:val="left"/>
        <w:rPr>
          <w:rFonts w:hint="eastAsia" w:ascii="宋体" w:hAnsi="宋体" w:eastAsia="宋体" w:cs="宋体"/>
          <w:color w:val="auto"/>
          <w:spacing w:val="-4"/>
          <w:sz w:val="28"/>
          <w:szCs w:val="28"/>
          <w:highlight w:val="none"/>
          <w:lang w:val="en-US" w:eastAsia="zh-CN"/>
        </w:rPr>
      </w:pPr>
      <w:r>
        <w:rPr>
          <w:rFonts w:hint="eastAsia" w:ascii="宋体" w:hAnsi="宋体" w:eastAsia="宋体" w:cs="宋体"/>
          <w:color w:val="auto"/>
          <w:spacing w:val="-4"/>
          <w:sz w:val="28"/>
          <w:szCs w:val="28"/>
          <w:highlight w:val="none"/>
          <w:lang w:val="en-US" w:eastAsia="zh-CN"/>
        </w:rPr>
        <w:t>附件：</w:t>
      </w:r>
    </w:p>
    <w:p w14:paraId="7C61B2CA">
      <w:pPr>
        <w:numPr>
          <w:ilvl w:val="0"/>
          <w:numId w:val="0"/>
        </w:numPr>
        <w:spacing w:line="360" w:lineRule="auto"/>
        <w:jc w:val="center"/>
        <w:outlineLvl w:val="1"/>
        <w:rPr>
          <w:rFonts w:hint="eastAsia" w:ascii="宋体" w:hAnsi="宋体" w:eastAsia="宋体" w:cs="宋体"/>
          <w:color w:val="auto"/>
          <w:spacing w:val="-4"/>
          <w:sz w:val="44"/>
          <w:szCs w:val="44"/>
          <w:highlight w:val="none"/>
          <w:lang w:val="en-US" w:eastAsia="zh-CN"/>
        </w:rPr>
      </w:pPr>
      <w:r>
        <w:rPr>
          <w:rFonts w:hint="eastAsia" w:ascii="宋体" w:hAnsi="宋体" w:eastAsia="宋体" w:cs="宋体"/>
          <w:color w:val="auto"/>
          <w:spacing w:val="-4"/>
          <w:sz w:val="44"/>
          <w:szCs w:val="44"/>
          <w:highlight w:val="none"/>
          <w:lang w:val="en-US" w:eastAsia="zh-CN"/>
        </w:rPr>
        <w:t>国家税务总局南宁市西乡塘区税务局</w:t>
      </w:r>
    </w:p>
    <w:p w14:paraId="6AA420E1">
      <w:pPr>
        <w:numPr>
          <w:ilvl w:val="0"/>
          <w:numId w:val="0"/>
        </w:numPr>
        <w:spacing w:line="360" w:lineRule="auto"/>
        <w:jc w:val="center"/>
        <w:rPr>
          <w:rFonts w:hint="eastAsia" w:ascii="宋体" w:hAnsi="宋体" w:eastAsia="宋体" w:cs="宋体"/>
          <w:color w:val="auto"/>
          <w:spacing w:val="-4"/>
          <w:sz w:val="44"/>
          <w:szCs w:val="44"/>
          <w:highlight w:val="none"/>
          <w:lang w:val="en-US" w:eastAsia="zh-CN"/>
        </w:rPr>
      </w:pPr>
      <w:r>
        <w:rPr>
          <w:rFonts w:hint="eastAsia" w:ascii="宋体" w:hAnsi="宋体" w:eastAsia="宋体" w:cs="宋体"/>
          <w:color w:val="auto"/>
          <w:spacing w:val="-4"/>
          <w:sz w:val="44"/>
          <w:szCs w:val="44"/>
          <w:highlight w:val="none"/>
          <w:lang w:val="en-US" w:eastAsia="zh-CN"/>
        </w:rPr>
        <w:t>办公物业管理考核要求</w:t>
      </w:r>
    </w:p>
    <w:p w14:paraId="4D2DC0EC">
      <w:pPr>
        <w:numPr>
          <w:ilvl w:val="0"/>
          <w:numId w:val="0"/>
        </w:numPr>
        <w:spacing w:line="360" w:lineRule="auto"/>
        <w:jc w:val="center"/>
        <w:rPr>
          <w:rFonts w:hint="eastAsia" w:ascii="方正小标宋简体" w:hAnsi="方正小标宋简体" w:eastAsia="方正小标宋简体" w:cs="方正小标宋简体"/>
          <w:color w:val="auto"/>
          <w:spacing w:val="-4"/>
          <w:sz w:val="44"/>
          <w:szCs w:val="44"/>
          <w:highlight w:val="none"/>
          <w:lang w:val="en-US" w:eastAsia="zh-CN"/>
        </w:rPr>
      </w:pPr>
    </w:p>
    <w:p w14:paraId="5C608E78">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1、综合管理规范性考核</w:t>
      </w:r>
    </w:p>
    <w:p w14:paraId="1A25A752">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要求：检查物业服务中心是否建立完善的组织架构、规章制度、工作流程及应急预案。每季至少检查一次档案记录，确保服务人员持证上岗、培训记录齐全，对业主方提出的常规问题响应及时率需达100%。</w:t>
      </w:r>
    </w:p>
    <w:p w14:paraId="2FFBDC7D">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2、共用设施设备完好率与维修及时性考核</w:t>
      </w:r>
    </w:p>
    <w:p w14:paraId="0326A3ED">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要求：按季对电梯、空调、给排水、供电等主要设施设备进行巡检，确保其处于良好运行状态。设定故障报修后30分钟内现场响应，小修不超过8小时，中修不超过48小时的处理标准，并核查维修记录进行核实。</w:t>
      </w:r>
    </w:p>
    <w:p w14:paraId="4CDB79CD">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3、公共秩序维护成效考核</w:t>
      </w:r>
    </w:p>
    <w:p w14:paraId="7C8949C0">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要求：通过定期巡查与随机抽查相结合的方式，考核安保人员定时巡逻记录、监控系统运行状况及外来人员/车辆登记管理。要求全年无重大安全责任事故，对秩序问题的处理与反馈及时有效。</w:t>
      </w:r>
    </w:p>
    <w:p w14:paraId="6F06C957">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4、消防管理安全达标考核</w:t>
      </w:r>
    </w:p>
    <w:p w14:paraId="13C4C05F">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要求：每季对消防设施设备（灭火器、烟感器、消防栓等）进行全面检查，确保完好率100%。每季度至少组织一次消防演练，检查相关记录，并要求全员熟悉消防应急预案，确保消防安全无隐患。</w:t>
      </w:r>
    </w:p>
    <w:p w14:paraId="07CCBDCB">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5、停车管理秩序与安全考核</w:t>
      </w:r>
    </w:p>
    <w:p w14:paraId="7D5A384E">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要求：每日巡查地面25个停车位的使用情况，确保车辆停放有序、通道畅通。考核车辆登记制度执行情况，以及是否发生因管理不善导致的车辆刮蹭等事故。</w:t>
      </w:r>
    </w:p>
    <w:p w14:paraId="18DBC0AE">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6、保洁服务标准执行考核</w:t>
      </w:r>
    </w:p>
    <w:p w14:paraId="7EFFE82F">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要求：制定保洁计划与标准，并每日对办公楼公共区域（大厅、走廊、卫生间、纳税大厅等）的清洁卫生情况进行检查评分。重点区域卫生合格率应不低于95%。</w:t>
      </w:r>
    </w:p>
    <w:p w14:paraId="7FF73CC7">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7、绿化养护景观效果考核</w:t>
      </w:r>
    </w:p>
    <w:p w14:paraId="01C93C31">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要求：按月检查院内绿植的养护状况，包括浇水、施肥、修剪、病虫害防治等工作的执行记录。要求绿植生长良好，无大面积枯死、黄土裸露现象，保持办公环境美观。</w:t>
      </w:r>
    </w:p>
    <w:p w14:paraId="096ABE86">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8、纳税大厅专项服务支持考核</w:t>
      </w:r>
    </w:p>
    <w:p w14:paraId="6324B192">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要求：作为重点区域，需每日评估大厅的保洁频率、环境整洁度、秩序维护以及设备（如排号机、休息座椅）的完好性。确保为纳税人提供安静、整洁、有序的服务环境，无因物业原因导致的投诉。</w:t>
      </w:r>
    </w:p>
    <w:p w14:paraId="31AD6B53">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9、服务质量满意度考核</w:t>
      </w:r>
    </w:p>
    <w:p w14:paraId="7B2D579B">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要求：每半年向税务局员工及前来办事的纳税人发放不记名满意度调查问卷，收集对物业管理各环节的意见。设定半年度综合满意度不低于90%的考核目标，并对反馈的问题限期整改。</w:t>
      </w:r>
    </w:p>
    <w:p w14:paraId="334BCFF5">
      <w:pPr>
        <w:numPr>
          <w:ilvl w:val="0"/>
          <w:numId w:val="0"/>
        </w:numPr>
        <w:spacing w:line="360" w:lineRule="auto"/>
        <w:ind w:firstLine="560" w:firstLineChars="200"/>
        <w:rPr>
          <w:rFonts w:hint="eastAsia" w:ascii="宋体" w:hAnsi="宋体" w:eastAsia="宋体" w:cs="宋体"/>
          <w:color w:val="auto"/>
          <w:sz w:val="28"/>
          <w:szCs w:val="28"/>
          <w:highlight w:val="none"/>
          <w:lang w:val="en-US" w:eastAsia="zh-CN"/>
        </w:rPr>
      </w:pPr>
    </w:p>
    <w:p w14:paraId="1DFC4D6F">
      <w:pPr>
        <w:pStyle w:val="2"/>
        <w:rPr>
          <w:color w:val="auto"/>
          <w:highlight w:val="none"/>
        </w:rPr>
      </w:pPr>
    </w:p>
    <w:sectPr>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0A4946-64F7-4080-9023-A6786E31BD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A477B019-0C7B-44D5-96A8-462B2D1E3C63}"/>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00000000000000000"/>
    <w:charset w:val="86"/>
    <w:family w:val="script"/>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embedRegular r:id="rId3" w:fontKey="{9483B00C-D93E-4FE4-B50D-E5FC615C923C}"/>
  </w:font>
  <w:font w:name="楷体_GB2312">
    <w:altName w:val="楷体"/>
    <w:panose1 w:val="02010609030101010101"/>
    <w:charset w:val="86"/>
    <w:family w:val="modern"/>
    <w:pitch w:val="default"/>
    <w:sig w:usb0="00000000" w:usb1="00000000" w:usb2="00000000" w:usb3="00000000" w:csb0="00040000" w:csb1="00000000"/>
    <w:embedRegular r:id="rId4" w:fontKey="{9B361B8F-355D-4714-B6E0-916C605F6033}"/>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5" w:fontKey="{7B6EA59A-5246-40DA-96E6-E98AED5A6D9D}"/>
  </w:font>
  <w:font w:name="WPSEMBED13">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A54EE">
    <w:pPr>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6B842">
    <w:pPr>
      <w:pStyle w:val="24"/>
      <w:framePr w:wrap="around" w:vAnchor="text" w:hAnchor="margin" w:xAlign="center" w:y="1"/>
      <w:rPr>
        <w:rStyle w:val="39"/>
      </w:rPr>
    </w:pPr>
    <w:r>
      <w:fldChar w:fldCharType="begin"/>
    </w:r>
    <w:r>
      <w:rPr>
        <w:rStyle w:val="39"/>
      </w:rPr>
      <w:instrText xml:space="preserve">PAGE  </w:instrText>
    </w:r>
    <w:r>
      <w:fldChar w:fldCharType="end"/>
    </w:r>
  </w:p>
  <w:p w14:paraId="337298FE">
    <w:pPr>
      <w:pStyle w:val="24"/>
    </w:pPr>
  </w:p>
  <w:p w14:paraId="74F2285D"/>
  <w:p w14:paraId="5BA9CCFF"/>
  <w:p w14:paraId="4952E2A2"/>
  <w:p w14:paraId="1104F846"/>
  <w:p w14:paraId="25E81960"/>
  <w:p w14:paraId="00280CA2"/>
  <w:p w14:paraId="51F4C19A"/>
  <w:p w14:paraId="47D5840A"/>
  <w:p w14:paraId="42B7433F"/>
  <w:p w14:paraId="6B3338F8"/>
  <w:p w14:paraId="428DD024"/>
  <w:p w14:paraId="6CE0F809"/>
  <w:p w14:paraId="2D048CF9"/>
  <w:p w14:paraId="62206063"/>
  <w:p w14:paraId="04BE42ED"/>
  <w:p w14:paraId="5EF1CD53"/>
  <w:p w14:paraId="62621D6B"/>
  <w:p w14:paraId="23BF8017"/>
  <w:p w14:paraId="6F2C5021"/>
  <w:p w14:paraId="54C79C7E"/>
  <w:p w14:paraId="5A21FC8A"/>
  <w:p w14:paraId="6EE2D7B0"/>
  <w:p w14:paraId="566BCC07"/>
  <w:p w14:paraId="70CDB9C4"/>
  <w:p w14:paraId="33CB1862"/>
  <w:p w14:paraId="16DF93A4"/>
  <w:p w14:paraId="347CDCAA"/>
  <w:p w14:paraId="1AD5FE2B"/>
  <w:p w14:paraId="69D6FD88"/>
  <w:p w14:paraId="1B15B6CB"/>
  <w:p w14:paraId="79EF88CD"/>
  <w:p w14:paraId="54671C90"/>
  <w:p w14:paraId="572A71E1"/>
  <w:p w14:paraId="2DD8D105"/>
  <w:p w14:paraId="4238847D"/>
  <w:p w14:paraId="1C8B8363"/>
  <w:p w14:paraId="3AB8017E"/>
  <w:p w14:paraId="1F006C02"/>
  <w:p w14:paraId="07513D17"/>
  <w:p w14:paraId="08E1B678"/>
  <w:p w14:paraId="661BF615"/>
  <w:p w14:paraId="77763432"/>
  <w:p w14:paraId="162C0678"/>
  <w:p w14:paraId="4B29DAC5"/>
  <w:p w14:paraId="4E43F2B9"/>
  <w:p w14:paraId="3F4CE0C7"/>
  <w:p w14:paraId="0183050C"/>
  <w:p w14:paraId="6688058C"/>
  <w:p w14:paraId="0FC553D4"/>
  <w:p w14:paraId="5653F406"/>
  <w:p w14:paraId="1A5924D6"/>
  <w:p w14:paraId="4CA404A4"/>
  <w:p w14:paraId="0DCE1D59"/>
  <w:p w14:paraId="31493E0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D202">
    <w:pPr>
      <w:jc w:val="center"/>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5723">
    <w:pPr>
      <w:jc w:val="center"/>
      <w:rPr>
        <w:rFonts w:ascii="宋体" w:hAns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A8FB5">
    <w:pPr>
      <w:jc w:val="center"/>
      <w:rPr>
        <w:rFonts w:ascii="宋体" w:hAnsi="宋体"/>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D80DE">
    <w:pPr>
      <w:jc w:val="center"/>
      <w:rPr>
        <w:rFonts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676F2F">
                          <w:pPr>
                            <w:pStyle w:val="2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676F2F">
                    <w:pPr>
                      <w:pStyle w:val="2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EF10">
    <w:pPr>
      <w:jc w:val="center"/>
      <w:rPr>
        <w:rFonts w:ascii="宋体" w:hAnsi="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979C2">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E979C2">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1F567"/>
  <w:p w14:paraId="40C7E03F"/>
  <w:p w14:paraId="761EA3F2"/>
  <w:p w14:paraId="3AB6227D"/>
  <w:p w14:paraId="07B11C2C"/>
  <w:p w14:paraId="451D8B26"/>
  <w:p w14:paraId="492C5342"/>
  <w:p w14:paraId="7AA6E63B"/>
  <w:p w14:paraId="5B4D4BC1"/>
  <w:p w14:paraId="091AE786"/>
  <w:p w14:paraId="58E6F969"/>
  <w:p w14:paraId="4CD6AA03"/>
  <w:p w14:paraId="16E4188D"/>
  <w:p w14:paraId="753E5181"/>
  <w:p w14:paraId="558E3DCE"/>
  <w:p w14:paraId="53EB8E98"/>
  <w:p w14:paraId="7798BD76"/>
  <w:p w14:paraId="7A35A739"/>
  <w:p w14:paraId="00B61FD8"/>
  <w:p w14:paraId="4090CD80"/>
  <w:p w14:paraId="650D4F12"/>
  <w:p w14:paraId="2B80A86E"/>
  <w:p w14:paraId="4AC0F86A"/>
  <w:p w14:paraId="32D25532"/>
  <w:p w14:paraId="52534A94"/>
  <w:p w14:paraId="70FC0A8E"/>
  <w:p w14:paraId="6A859A0A"/>
  <w:p w14:paraId="4D606129"/>
  <w:p w14:paraId="720E0254"/>
  <w:p w14:paraId="12AEAC3B"/>
  <w:p w14:paraId="458D9228"/>
  <w:p w14:paraId="2F690AA5"/>
  <w:p w14:paraId="4B66A0BF"/>
  <w:p w14:paraId="2FFA7B45"/>
  <w:p w14:paraId="1AB312D7"/>
  <w:p w14:paraId="64EF66A9"/>
  <w:p w14:paraId="041F1D30"/>
  <w:p w14:paraId="5E5A5283"/>
  <w:p w14:paraId="0FD4BA47"/>
  <w:p w14:paraId="23C8DAAE"/>
  <w:p w14:paraId="6251C1EF"/>
  <w:p w14:paraId="7E857D86"/>
  <w:p w14:paraId="5F2CA501"/>
  <w:p w14:paraId="194F5F68"/>
  <w:p w14:paraId="020363C8"/>
  <w:p w14:paraId="0DCF9633"/>
  <w:p w14:paraId="20F127E7"/>
  <w:p w14:paraId="71A6F523"/>
  <w:p w14:paraId="3AB96A37"/>
  <w:p w14:paraId="67F137C3"/>
  <w:p w14:paraId="2B9BEBBF"/>
  <w:p w14:paraId="33B51542"/>
  <w:p w14:paraId="5D9DD9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C74D6"/>
    <w:multiLevelType w:val="singleLevel"/>
    <w:tmpl w:val="EB5C74D6"/>
    <w:lvl w:ilvl="0" w:tentative="0">
      <w:start w:val="1"/>
      <w:numFmt w:val="decimal"/>
      <w:pStyle w:val="12"/>
      <w:lvlText w:val="%1."/>
      <w:lvlJc w:val="left"/>
      <w:pPr>
        <w:tabs>
          <w:tab w:val="left" w:pos="780"/>
        </w:tabs>
        <w:ind w:left="780" w:hanging="360"/>
      </w:pPr>
    </w:lvl>
  </w:abstractNum>
  <w:abstractNum w:abstractNumId="1">
    <w:nsid w:val="3EBB3C91"/>
    <w:multiLevelType w:val="multilevel"/>
    <w:tmpl w:val="3EBB3C91"/>
    <w:lvl w:ilvl="0" w:tentative="0">
      <w:start w:val="1"/>
      <w:numFmt w:val="chineseCountingThousand"/>
      <w:suff w:val="space"/>
      <w:lvlText w:val="%1. "/>
      <w:lvlJc w:val="left"/>
      <w:pPr>
        <w:ind w:left="907" w:hanging="907"/>
      </w:p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I5NWQ2MDZjZDAzZDFhZWEzZTA1ZDQ1YTNjMTUifQ=="/>
  </w:docVars>
  <w:rsids>
    <w:rsidRoot w:val="00172A27"/>
    <w:rsid w:val="000001A2"/>
    <w:rsid w:val="00001282"/>
    <w:rsid w:val="0000131F"/>
    <w:rsid w:val="000016C8"/>
    <w:rsid w:val="000016F1"/>
    <w:rsid w:val="0000179A"/>
    <w:rsid w:val="00002E3C"/>
    <w:rsid w:val="000032E4"/>
    <w:rsid w:val="00003546"/>
    <w:rsid w:val="000051D4"/>
    <w:rsid w:val="00005B03"/>
    <w:rsid w:val="00006F0F"/>
    <w:rsid w:val="00007505"/>
    <w:rsid w:val="0001023A"/>
    <w:rsid w:val="00010C9B"/>
    <w:rsid w:val="00010F75"/>
    <w:rsid w:val="00011747"/>
    <w:rsid w:val="00012C09"/>
    <w:rsid w:val="00012FFD"/>
    <w:rsid w:val="0001361B"/>
    <w:rsid w:val="00013BBA"/>
    <w:rsid w:val="00013EEB"/>
    <w:rsid w:val="00014228"/>
    <w:rsid w:val="000143BD"/>
    <w:rsid w:val="00015831"/>
    <w:rsid w:val="00015D04"/>
    <w:rsid w:val="00016B33"/>
    <w:rsid w:val="00016F8B"/>
    <w:rsid w:val="00017637"/>
    <w:rsid w:val="00017A41"/>
    <w:rsid w:val="000208CC"/>
    <w:rsid w:val="00020AE7"/>
    <w:rsid w:val="00020E66"/>
    <w:rsid w:val="000214BB"/>
    <w:rsid w:val="000226E3"/>
    <w:rsid w:val="00022E5C"/>
    <w:rsid w:val="00022E5E"/>
    <w:rsid w:val="00023405"/>
    <w:rsid w:val="00024F50"/>
    <w:rsid w:val="00025534"/>
    <w:rsid w:val="0002589A"/>
    <w:rsid w:val="00025C42"/>
    <w:rsid w:val="000268FE"/>
    <w:rsid w:val="000269DC"/>
    <w:rsid w:val="00030CF3"/>
    <w:rsid w:val="00031E2A"/>
    <w:rsid w:val="0003266F"/>
    <w:rsid w:val="000329D0"/>
    <w:rsid w:val="00033670"/>
    <w:rsid w:val="000339DE"/>
    <w:rsid w:val="00035450"/>
    <w:rsid w:val="0003597A"/>
    <w:rsid w:val="00036CDE"/>
    <w:rsid w:val="000406A0"/>
    <w:rsid w:val="000408A4"/>
    <w:rsid w:val="00040DC1"/>
    <w:rsid w:val="000421F1"/>
    <w:rsid w:val="00043A2D"/>
    <w:rsid w:val="000440AB"/>
    <w:rsid w:val="00044BCE"/>
    <w:rsid w:val="000457A2"/>
    <w:rsid w:val="0004624D"/>
    <w:rsid w:val="000469CF"/>
    <w:rsid w:val="00046B27"/>
    <w:rsid w:val="00046E48"/>
    <w:rsid w:val="00046EDE"/>
    <w:rsid w:val="0004729B"/>
    <w:rsid w:val="0004758D"/>
    <w:rsid w:val="00047E78"/>
    <w:rsid w:val="000508A6"/>
    <w:rsid w:val="00050C09"/>
    <w:rsid w:val="00050DF5"/>
    <w:rsid w:val="00051324"/>
    <w:rsid w:val="0005192F"/>
    <w:rsid w:val="0005269D"/>
    <w:rsid w:val="00052AA2"/>
    <w:rsid w:val="00053479"/>
    <w:rsid w:val="000534DC"/>
    <w:rsid w:val="000541F8"/>
    <w:rsid w:val="000543AC"/>
    <w:rsid w:val="000545AF"/>
    <w:rsid w:val="0005577B"/>
    <w:rsid w:val="0005637C"/>
    <w:rsid w:val="000572DD"/>
    <w:rsid w:val="000577EB"/>
    <w:rsid w:val="00060257"/>
    <w:rsid w:val="00060BEC"/>
    <w:rsid w:val="00060E17"/>
    <w:rsid w:val="000610B2"/>
    <w:rsid w:val="0006236B"/>
    <w:rsid w:val="00062676"/>
    <w:rsid w:val="00062684"/>
    <w:rsid w:val="000631DE"/>
    <w:rsid w:val="00063751"/>
    <w:rsid w:val="00064BC1"/>
    <w:rsid w:val="000659D4"/>
    <w:rsid w:val="00066D51"/>
    <w:rsid w:val="00067183"/>
    <w:rsid w:val="0006740A"/>
    <w:rsid w:val="00067455"/>
    <w:rsid w:val="00067575"/>
    <w:rsid w:val="00067F48"/>
    <w:rsid w:val="000702BF"/>
    <w:rsid w:val="000704E1"/>
    <w:rsid w:val="000707A6"/>
    <w:rsid w:val="00071ABC"/>
    <w:rsid w:val="000723E3"/>
    <w:rsid w:val="000727B4"/>
    <w:rsid w:val="0007365C"/>
    <w:rsid w:val="00074002"/>
    <w:rsid w:val="0007444A"/>
    <w:rsid w:val="000745F4"/>
    <w:rsid w:val="00074635"/>
    <w:rsid w:val="00074B60"/>
    <w:rsid w:val="00074C66"/>
    <w:rsid w:val="00075405"/>
    <w:rsid w:val="00075599"/>
    <w:rsid w:val="00075F64"/>
    <w:rsid w:val="000769C5"/>
    <w:rsid w:val="000772AC"/>
    <w:rsid w:val="00077760"/>
    <w:rsid w:val="00082B1E"/>
    <w:rsid w:val="00084C3C"/>
    <w:rsid w:val="00086207"/>
    <w:rsid w:val="0008626D"/>
    <w:rsid w:val="0008666D"/>
    <w:rsid w:val="00086727"/>
    <w:rsid w:val="000879F7"/>
    <w:rsid w:val="00087C4A"/>
    <w:rsid w:val="00090074"/>
    <w:rsid w:val="00090F36"/>
    <w:rsid w:val="00091504"/>
    <w:rsid w:val="00092792"/>
    <w:rsid w:val="000928DF"/>
    <w:rsid w:val="00092E56"/>
    <w:rsid w:val="00093456"/>
    <w:rsid w:val="00093CA5"/>
    <w:rsid w:val="00093EC2"/>
    <w:rsid w:val="00094F65"/>
    <w:rsid w:val="00096923"/>
    <w:rsid w:val="00097A8B"/>
    <w:rsid w:val="000A1FDC"/>
    <w:rsid w:val="000A2195"/>
    <w:rsid w:val="000A2CDB"/>
    <w:rsid w:val="000A30C3"/>
    <w:rsid w:val="000A4C5E"/>
    <w:rsid w:val="000A4EF1"/>
    <w:rsid w:val="000A5501"/>
    <w:rsid w:val="000A5635"/>
    <w:rsid w:val="000A5B89"/>
    <w:rsid w:val="000A5D67"/>
    <w:rsid w:val="000A5DFD"/>
    <w:rsid w:val="000A6236"/>
    <w:rsid w:val="000A66A5"/>
    <w:rsid w:val="000A6F3E"/>
    <w:rsid w:val="000A76D0"/>
    <w:rsid w:val="000A7AD7"/>
    <w:rsid w:val="000B0FAD"/>
    <w:rsid w:val="000B22C8"/>
    <w:rsid w:val="000B315D"/>
    <w:rsid w:val="000B4645"/>
    <w:rsid w:val="000B55B5"/>
    <w:rsid w:val="000B5C1C"/>
    <w:rsid w:val="000B6E57"/>
    <w:rsid w:val="000B70CE"/>
    <w:rsid w:val="000B711C"/>
    <w:rsid w:val="000B72E5"/>
    <w:rsid w:val="000B7F30"/>
    <w:rsid w:val="000C00DD"/>
    <w:rsid w:val="000C0615"/>
    <w:rsid w:val="000C077D"/>
    <w:rsid w:val="000C09C8"/>
    <w:rsid w:val="000C0AF6"/>
    <w:rsid w:val="000C0B34"/>
    <w:rsid w:val="000C0D7B"/>
    <w:rsid w:val="000C0E13"/>
    <w:rsid w:val="000C0F50"/>
    <w:rsid w:val="000C12C7"/>
    <w:rsid w:val="000C1D22"/>
    <w:rsid w:val="000C1E17"/>
    <w:rsid w:val="000C2003"/>
    <w:rsid w:val="000C2269"/>
    <w:rsid w:val="000C27F6"/>
    <w:rsid w:val="000C2B7D"/>
    <w:rsid w:val="000C2CB8"/>
    <w:rsid w:val="000C35C8"/>
    <w:rsid w:val="000C3CFD"/>
    <w:rsid w:val="000C41F2"/>
    <w:rsid w:val="000C5964"/>
    <w:rsid w:val="000C6052"/>
    <w:rsid w:val="000C6816"/>
    <w:rsid w:val="000C698C"/>
    <w:rsid w:val="000D0147"/>
    <w:rsid w:val="000D0698"/>
    <w:rsid w:val="000D1773"/>
    <w:rsid w:val="000D2048"/>
    <w:rsid w:val="000D2A44"/>
    <w:rsid w:val="000D2B12"/>
    <w:rsid w:val="000D2CA0"/>
    <w:rsid w:val="000D3985"/>
    <w:rsid w:val="000D3DE6"/>
    <w:rsid w:val="000D4953"/>
    <w:rsid w:val="000D51C9"/>
    <w:rsid w:val="000D578D"/>
    <w:rsid w:val="000D59E7"/>
    <w:rsid w:val="000D5C1A"/>
    <w:rsid w:val="000D737B"/>
    <w:rsid w:val="000D76F0"/>
    <w:rsid w:val="000E0095"/>
    <w:rsid w:val="000E0131"/>
    <w:rsid w:val="000E05DB"/>
    <w:rsid w:val="000E07A9"/>
    <w:rsid w:val="000E07F6"/>
    <w:rsid w:val="000E0803"/>
    <w:rsid w:val="000E0DBF"/>
    <w:rsid w:val="000E1222"/>
    <w:rsid w:val="000E1588"/>
    <w:rsid w:val="000E168A"/>
    <w:rsid w:val="000E1C6D"/>
    <w:rsid w:val="000E30F9"/>
    <w:rsid w:val="000E38AF"/>
    <w:rsid w:val="000E38E5"/>
    <w:rsid w:val="000E3A70"/>
    <w:rsid w:val="000E4669"/>
    <w:rsid w:val="000E4E91"/>
    <w:rsid w:val="000E5172"/>
    <w:rsid w:val="000E5286"/>
    <w:rsid w:val="000E53C8"/>
    <w:rsid w:val="000E5473"/>
    <w:rsid w:val="000E5849"/>
    <w:rsid w:val="000E6422"/>
    <w:rsid w:val="000E6A0F"/>
    <w:rsid w:val="000F0301"/>
    <w:rsid w:val="000F0CE2"/>
    <w:rsid w:val="000F3565"/>
    <w:rsid w:val="000F39AB"/>
    <w:rsid w:val="000F3EBE"/>
    <w:rsid w:val="000F4044"/>
    <w:rsid w:val="000F4075"/>
    <w:rsid w:val="000F43EF"/>
    <w:rsid w:val="000F45B8"/>
    <w:rsid w:val="000F47C3"/>
    <w:rsid w:val="000F4B70"/>
    <w:rsid w:val="000F53E1"/>
    <w:rsid w:val="000F575D"/>
    <w:rsid w:val="000F6611"/>
    <w:rsid w:val="000F6C23"/>
    <w:rsid w:val="000F6DEE"/>
    <w:rsid w:val="000F6E1E"/>
    <w:rsid w:val="000F7440"/>
    <w:rsid w:val="000F75F2"/>
    <w:rsid w:val="000F7928"/>
    <w:rsid w:val="000F7B39"/>
    <w:rsid w:val="000F7FAB"/>
    <w:rsid w:val="00100037"/>
    <w:rsid w:val="00100965"/>
    <w:rsid w:val="00101DE7"/>
    <w:rsid w:val="0010214D"/>
    <w:rsid w:val="001021C6"/>
    <w:rsid w:val="001022BB"/>
    <w:rsid w:val="001026D5"/>
    <w:rsid w:val="00103180"/>
    <w:rsid w:val="00104777"/>
    <w:rsid w:val="00104A46"/>
    <w:rsid w:val="001050A9"/>
    <w:rsid w:val="001051C7"/>
    <w:rsid w:val="00105C19"/>
    <w:rsid w:val="001061B9"/>
    <w:rsid w:val="00106468"/>
    <w:rsid w:val="00107460"/>
    <w:rsid w:val="00107653"/>
    <w:rsid w:val="00107979"/>
    <w:rsid w:val="001103AA"/>
    <w:rsid w:val="0011098C"/>
    <w:rsid w:val="00111475"/>
    <w:rsid w:val="001115BB"/>
    <w:rsid w:val="00111B85"/>
    <w:rsid w:val="00111F53"/>
    <w:rsid w:val="00112901"/>
    <w:rsid w:val="00112B05"/>
    <w:rsid w:val="001133F7"/>
    <w:rsid w:val="00113F68"/>
    <w:rsid w:val="0011400B"/>
    <w:rsid w:val="00114344"/>
    <w:rsid w:val="00116457"/>
    <w:rsid w:val="00117FD4"/>
    <w:rsid w:val="001202B7"/>
    <w:rsid w:val="00120366"/>
    <w:rsid w:val="00120A81"/>
    <w:rsid w:val="0012160D"/>
    <w:rsid w:val="00121D1C"/>
    <w:rsid w:val="00121D67"/>
    <w:rsid w:val="00122439"/>
    <w:rsid w:val="00122890"/>
    <w:rsid w:val="00123291"/>
    <w:rsid w:val="001240A7"/>
    <w:rsid w:val="00124ABA"/>
    <w:rsid w:val="0012597F"/>
    <w:rsid w:val="00125EB4"/>
    <w:rsid w:val="00126985"/>
    <w:rsid w:val="00126A29"/>
    <w:rsid w:val="00126A38"/>
    <w:rsid w:val="001278AF"/>
    <w:rsid w:val="00127DA8"/>
    <w:rsid w:val="00130217"/>
    <w:rsid w:val="00130D20"/>
    <w:rsid w:val="0013132A"/>
    <w:rsid w:val="0013205D"/>
    <w:rsid w:val="0013213A"/>
    <w:rsid w:val="0013357D"/>
    <w:rsid w:val="00133582"/>
    <w:rsid w:val="00133782"/>
    <w:rsid w:val="0013480A"/>
    <w:rsid w:val="00135854"/>
    <w:rsid w:val="001365CF"/>
    <w:rsid w:val="001367AE"/>
    <w:rsid w:val="00136BB6"/>
    <w:rsid w:val="00136D0E"/>
    <w:rsid w:val="0013739F"/>
    <w:rsid w:val="00137A96"/>
    <w:rsid w:val="00137AAE"/>
    <w:rsid w:val="00137AF1"/>
    <w:rsid w:val="00137F53"/>
    <w:rsid w:val="00140E9F"/>
    <w:rsid w:val="00142640"/>
    <w:rsid w:val="0014309A"/>
    <w:rsid w:val="001436FC"/>
    <w:rsid w:val="00143F6B"/>
    <w:rsid w:val="001440B1"/>
    <w:rsid w:val="0014481C"/>
    <w:rsid w:val="00145401"/>
    <w:rsid w:val="00145EEF"/>
    <w:rsid w:val="001464C6"/>
    <w:rsid w:val="001472FE"/>
    <w:rsid w:val="0014746E"/>
    <w:rsid w:val="00150116"/>
    <w:rsid w:val="00150338"/>
    <w:rsid w:val="001507F9"/>
    <w:rsid w:val="00150C90"/>
    <w:rsid w:val="001510E8"/>
    <w:rsid w:val="0015136A"/>
    <w:rsid w:val="001515DE"/>
    <w:rsid w:val="00152831"/>
    <w:rsid w:val="00152F5A"/>
    <w:rsid w:val="00153E92"/>
    <w:rsid w:val="001546E6"/>
    <w:rsid w:val="0015744B"/>
    <w:rsid w:val="00157858"/>
    <w:rsid w:val="0015790E"/>
    <w:rsid w:val="001617D2"/>
    <w:rsid w:val="00161C3D"/>
    <w:rsid w:val="00161C85"/>
    <w:rsid w:val="00161FEC"/>
    <w:rsid w:val="001621DE"/>
    <w:rsid w:val="00163C36"/>
    <w:rsid w:val="00163F82"/>
    <w:rsid w:val="00164158"/>
    <w:rsid w:val="00164750"/>
    <w:rsid w:val="00164FC5"/>
    <w:rsid w:val="001651D9"/>
    <w:rsid w:val="00165540"/>
    <w:rsid w:val="00165670"/>
    <w:rsid w:val="0016632A"/>
    <w:rsid w:val="00166F4D"/>
    <w:rsid w:val="00167282"/>
    <w:rsid w:val="00167AC3"/>
    <w:rsid w:val="00167E8E"/>
    <w:rsid w:val="00167F50"/>
    <w:rsid w:val="0017067C"/>
    <w:rsid w:val="001707B8"/>
    <w:rsid w:val="00170D14"/>
    <w:rsid w:val="00171E51"/>
    <w:rsid w:val="00172198"/>
    <w:rsid w:val="0017351D"/>
    <w:rsid w:val="00173664"/>
    <w:rsid w:val="001740A6"/>
    <w:rsid w:val="00174BD7"/>
    <w:rsid w:val="00175319"/>
    <w:rsid w:val="0017627E"/>
    <w:rsid w:val="00176320"/>
    <w:rsid w:val="001769E5"/>
    <w:rsid w:val="00176C33"/>
    <w:rsid w:val="00176FA4"/>
    <w:rsid w:val="001770F7"/>
    <w:rsid w:val="00177709"/>
    <w:rsid w:val="00177786"/>
    <w:rsid w:val="00177857"/>
    <w:rsid w:val="001778A0"/>
    <w:rsid w:val="00177A92"/>
    <w:rsid w:val="00180E81"/>
    <w:rsid w:val="00181232"/>
    <w:rsid w:val="00181B10"/>
    <w:rsid w:val="00181D8C"/>
    <w:rsid w:val="00181DB0"/>
    <w:rsid w:val="00182AB4"/>
    <w:rsid w:val="00183633"/>
    <w:rsid w:val="001838FA"/>
    <w:rsid w:val="00183BCF"/>
    <w:rsid w:val="0018525E"/>
    <w:rsid w:val="001854EB"/>
    <w:rsid w:val="0018570D"/>
    <w:rsid w:val="0018692E"/>
    <w:rsid w:val="001869E3"/>
    <w:rsid w:val="00186FE8"/>
    <w:rsid w:val="00187061"/>
    <w:rsid w:val="001872F1"/>
    <w:rsid w:val="00187DA8"/>
    <w:rsid w:val="00187F9F"/>
    <w:rsid w:val="001900F5"/>
    <w:rsid w:val="00190C98"/>
    <w:rsid w:val="001912FC"/>
    <w:rsid w:val="001914A5"/>
    <w:rsid w:val="00192103"/>
    <w:rsid w:val="00192283"/>
    <w:rsid w:val="00192B79"/>
    <w:rsid w:val="00194308"/>
    <w:rsid w:val="00194310"/>
    <w:rsid w:val="00194938"/>
    <w:rsid w:val="00194D2E"/>
    <w:rsid w:val="00195964"/>
    <w:rsid w:val="001967C9"/>
    <w:rsid w:val="00196F3B"/>
    <w:rsid w:val="00197853"/>
    <w:rsid w:val="001A1F2A"/>
    <w:rsid w:val="001A2CF8"/>
    <w:rsid w:val="001A38F6"/>
    <w:rsid w:val="001A4E0E"/>
    <w:rsid w:val="001A57BD"/>
    <w:rsid w:val="001A58D9"/>
    <w:rsid w:val="001A5E4F"/>
    <w:rsid w:val="001A651E"/>
    <w:rsid w:val="001A6EC0"/>
    <w:rsid w:val="001A71AC"/>
    <w:rsid w:val="001A75D3"/>
    <w:rsid w:val="001B150A"/>
    <w:rsid w:val="001B1A40"/>
    <w:rsid w:val="001B2CD3"/>
    <w:rsid w:val="001B2E75"/>
    <w:rsid w:val="001B37EA"/>
    <w:rsid w:val="001B3EEE"/>
    <w:rsid w:val="001B3F2E"/>
    <w:rsid w:val="001B5077"/>
    <w:rsid w:val="001B6151"/>
    <w:rsid w:val="001B766B"/>
    <w:rsid w:val="001B77D2"/>
    <w:rsid w:val="001C06B7"/>
    <w:rsid w:val="001C07DA"/>
    <w:rsid w:val="001C09AC"/>
    <w:rsid w:val="001C0DC1"/>
    <w:rsid w:val="001C11AB"/>
    <w:rsid w:val="001C2107"/>
    <w:rsid w:val="001C3261"/>
    <w:rsid w:val="001C4011"/>
    <w:rsid w:val="001C417A"/>
    <w:rsid w:val="001C5173"/>
    <w:rsid w:val="001C51A8"/>
    <w:rsid w:val="001C5525"/>
    <w:rsid w:val="001C6BB5"/>
    <w:rsid w:val="001C73BB"/>
    <w:rsid w:val="001C745A"/>
    <w:rsid w:val="001C7831"/>
    <w:rsid w:val="001C7BFE"/>
    <w:rsid w:val="001D07D4"/>
    <w:rsid w:val="001D0FED"/>
    <w:rsid w:val="001D1653"/>
    <w:rsid w:val="001D1994"/>
    <w:rsid w:val="001D3428"/>
    <w:rsid w:val="001D3F1C"/>
    <w:rsid w:val="001D4275"/>
    <w:rsid w:val="001D431C"/>
    <w:rsid w:val="001D443E"/>
    <w:rsid w:val="001D4848"/>
    <w:rsid w:val="001D5024"/>
    <w:rsid w:val="001D583A"/>
    <w:rsid w:val="001D6283"/>
    <w:rsid w:val="001D63F4"/>
    <w:rsid w:val="001D7305"/>
    <w:rsid w:val="001D7529"/>
    <w:rsid w:val="001D7684"/>
    <w:rsid w:val="001D791C"/>
    <w:rsid w:val="001D7B99"/>
    <w:rsid w:val="001E0E2E"/>
    <w:rsid w:val="001E1482"/>
    <w:rsid w:val="001E1823"/>
    <w:rsid w:val="001E1AAB"/>
    <w:rsid w:val="001E2086"/>
    <w:rsid w:val="001E2D6F"/>
    <w:rsid w:val="001E41E8"/>
    <w:rsid w:val="001E4512"/>
    <w:rsid w:val="001E4C6F"/>
    <w:rsid w:val="001E5487"/>
    <w:rsid w:val="001E629B"/>
    <w:rsid w:val="001F02C4"/>
    <w:rsid w:val="001F0F2E"/>
    <w:rsid w:val="001F0F7F"/>
    <w:rsid w:val="001F1AD1"/>
    <w:rsid w:val="001F1ECB"/>
    <w:rsid w:val="001F24AA"/>
    <w:rsid w:val="001F2BCC"/>
    <w:rsid w:val="001F2DA3"/>
    <w:rsid w:val="001F3129"/>
    <w:rsid w:val="001F3171"/>
    <w:rsid w:val="001F325C"/>
    <w:rsid w:val="001F340B"/>
    <w:rsid w:val="001F376B"/>
    <w:rsid w:val="001F3F9F"/>
    <w:rsid w:val="001F482C"/>
    <w:rsid w:val="001F4A61"/>
    <w:rsid w:val="001F5D1C"/>
    <w:rsid w:val="002005B9"/>
    <w:rsid w:val="002009E7"/>
    <w:rsid w:val="00200D64"/>
    <w:rsid w:val="0020145B"/>
    <w:rsid w:val="0020159A"/>
    <w:rsid w:val="00202D7A"/>
    <w:rsid w:val="00205CC6"/>
    <w:rsid w:val="00205D1E"/>
    <w:rsid w:val="00206AB1"/>
    <w:rsid w:val="00207879"/>
    <w:rsid w:val="00207AD0"/>
    <w:rsid w:val="00207D60"/>
    <w:rsid w:val="00207F7C"/>
    <w:rsid w:val="00211EEA"/>
    <w:rsid w:val="002120E4"/>
    <w:rsid w:val="00212312"/>
    <w:rsid w:val="002123EF"/>
    <w:rsid w:val="0021266B"/>
    <w:rsid w:val="00212A4C"/>
    <w:rsid w:val="00212C30"/>
    <w:rsid w:val="00213338"/>
    <w:rsid w:val="00213470"/>
    <w:rsid w:val="0021378F"/>
    <w:rsid w:val="00213971"/>
    <w:rsid w:val="00213A52"/>
    <w:rsid w:val="00214C39"/>
    <w:rsid w:val="00214E01"/>
    <w:rsid w:val="002157D4"/>
    <w:rsid w:val="00215BEF"/>
    <w:rsid w:val="00215EBA"/>
    <w:rsid w:val="00217078"/>
    <w:rsid w:val="00217439"/>
    <w:rsid w:val="0021743D"/>
    <w:rsid w:val="002209FA"/>
    <w:rsid w:val="002216BF"/>
    <w:rsid w:val="00221F3F"/>
    <w:rsid w:val="00222752"/>
    <w:rsid w:val="00222A7C"/>
    <w:rsid w:val="00222C20"/>
    <w:rsid w:val="00222E4F"/>
    <w:rsid w:val="002232C6"/>
    <w:rsid w:val="00223680"/>
    <w:rsid w:val="002236D1"/>
    <w:rsid w:val="00223A5A"/>
    <w:rsid w:val="002247D5"/>
    <w:rsid w:val="00224FB4"/>
    <w:rsid w:val="002250F7"/>
    <w:rsid w:val="0022613C"/>
    <w:rsid w:val="00226182"/>
    <w:rsid w:val="00226367"/>
    <w:rsid w:val="0022644E"/>
    <w:rsid w:val="00227BAB"/>
    <w:rsid w:val="00230B80"/>
    <w:rsid w:val="00231210"/>
    <w:rsid w:val="0023125D"/>
    <w:rsid w:val="00231344"/>
    <w:rsid w:val="002314A3"/>
    <w:rsid w:val="0023255B"/>
    <w:rsid w:val="00232E7B"/>
    <w:rsid w:val="002331F1"/>
    <w:rsid w:val="0023320F"/>
    <w:rsid w:val="002345B6"/>
    <w:rsid w:val="00234992"/>
    <w:rsid w:val="00236157"/>
    <w:rsid w:val="00237C23"/>
    <w:rsid w:val="00240017"/>
    <w:rsid w:val="0024014A"/>
    <w:rsid w:val="00240522"/>
    <w:rsid w:val="0024079C"/>
    <w:rsid w:val="002412C8"/>
    <w:rsid w:val="002416F1"/>
    <w:rsid w:val="00241E2F"/>
    <w:rsid w:val="002427E8"/>
    <w:rsid w:val="00242A5B"/>
    <w:rsid w:val="00242E34"/>
    <w:rsid w:val="00242E85"/>
    <w:rsid w:val="00242EA8"/>
    <w:rsid w:val="00244E55"/>
    <w:rsid w:val="002453FD"/>
    <w:rsid w:val="00245971"/>
    <w:rsid w:val="00245E68"/>
    <w:rsid w:val="00246462"/>
    <w:rsid w:val="002466D0"/>
    <w:rsid w:val="0024720E"/>
    <w:rsid w:val="0024798C"/>
    <w:rsid w:val="00247C69"/>
    <w:rsid w:val="002502FD"/>
    <w:rsid w:val="00250521"/>
    <w:rsid w:val="002509F9"/>
    <w:rsid w:val="00250AD2"/>
    <w:rsid w:val="0025190B"/>
    <w:rsid w:val="00251969"/>
    <w:rsid w:val="00252A50"/>
    <w:rsid w:val="00252B39"/>
    <w:rsid w:val="00252D04"/>
    <w:rsid w:val="00254CD1"/>
    <w:rsid w:val="00254FBF"/>
    <w:rsid w:val="00255386"/>
    <w:rsid w:val="0025555D"/>
    <w:rsid w:val="00255E68"/>
    <w:rsid w:val="00256132"/>
    <w:rsid w:val="0025683E"/>
    <w:rsid w:val="00256BA7"/>
    <w:rsid w:val="00257F52"/>
    <w:rsid w:val="00260655"/>
    <w:rsid w:val="0026078D"/>
    <w:rsid w:val="002615FE"/>
    <w:rsid w:val="0026171B"/>
    <w:rsid w:val="00261C2A"/>
    <w:rsid w:val="00261C44"/>
    <w:rsid w:val="00262D71"/>
    <w:rsid w:val="00263752"/>
    <w:rsid w:val="00263B48"/>
    <w:rsid w:val="00264372"/>
    <w:rsid w:val="002645CE"/>
    <w:rsid w:val="0026571C"/>
    <w:rsid w:val="00265A2D"/>
    <w:rsid w:val="00266B72"/>
    <w:rsid w:val="002672F6"/>
    <w:rsid w:val="002676FD"/>
    <w:rsid w:val="002677CC"/>
    <w:rsid w:val="00267F78"/>
    <w:rsid w:val="00270039"/>
    <w:rsid w:val="00271052"/>
    <w:rsid w:val="00271AA1"/>
    <w:rsid w:val="00271C0B"/>
    <w:rsid w:val="0027244B"/>
    <w:rsid w:val="00272B9A"/>
    <w:rsid w:val="0027385E"/>
    <w:rsid w:val="00273933"/>
    <w:rsid w:val="00273B18"/>
    <w:rsid w:val="0027732B"/>
    <w:rsid w:val="00277FAF"/>
    <w:rsid w:val="00280991"/>
    <w:rsid w:val="00281E5B"/>
    <w:rsid w:val="002820A4"/>
    <w:rsid w:val="002822CA"/>
    <w:rsid w:val="002824C9"/>
    <w:rsid w:val="00282767"/>
    <w:rsid w:val="00282878"/>
    <w:rsid w:val="00282A58"/>
    <w:rsid w:val="00282D05"/>
    <w:rsid w:val="00284A3E"/>
    <w:rsid w:val="00284B9B"/>
    <w:rsid w:val="00285B99"/>
    <w:rsid w:val="0028634D"/>
    <w:rsid w:val="00286C28"/>
    <w:rsid w:val="00287A0B"/>
    <w:rsid w:val="0029015C"/>
    <w:rsid w:val="002914E1"/>
    <w:rsid w:val="002918E3"/>
    <w:rsid w:val="002918F4"/>
    <w:rsid w:val="002926EF"/>
    <w:rsid w:val="00293CC8"/>
    <w:rsid w:val="00293E02"/>
    <w:rsid w:val="002940D7"/>
    <w:rsid w:val="0029454C"/>
    <w:rsid w:val="00294558"/>
    <w:rsid w:val="002959BE"/>
    <w:rsid w:val="002961D7"/>
    <w:rsid w:val="002963B5"/>
    <w:rsid w:val="002965C8"/>
    <w:rsid w:val="002965E1"/>
    <w:rsid w:val="00296607"/>
    <w:rsid w:val="00296B3B"/>
    <w:rsid w:val="00296E1E"/>
    <w:rsid w:val="00296F04"/>
    <w:rsid w:val="00297741"/>
    <w:rsid w:val="002A000C"/>
    <w:rsid w:val="002A015F"/>
    <w:rsid w:val="002A07C3"/>
    <w:rsid w:val="002A0DD9"/>
    <w:rsid w:val="002A1951"/>
    <w:rsid w:val="002A2914"/>
    <w:rsid w:val="002A35DA"/>
    <w:rsid w:val="002A423E"/>
    <w:rsid w:val="002A4420"/>
    <w:rsid w:val="002A447E"/>
    <w:rsid w:val="002A4D68"/>
    <w:rsid w:val="002A4EC5"/>
    <w:rsid w:val="002A5068"/>
    <w:rsid w:val="002A52EF"/>
    <w:rsid w:val="002A54CE"/>
    <w:rsid w:val="002A5AAA"/>
    <w:rsid w:val="002A6683"/>
    <w:rsid w:val="002B1105"/>
    <w:rsid w:val="002B1854"/>
    <w:rsid w:val="002B2558"/>
    <w:rsid w:val="002B2F5E"/>
    <w:rsid w:val="002B3FBB"/>
    <w:rsid w:val="002B43D5"/>
    <w:rsid w:val="002B44FF"/>
    <w:rsid w:val="002B46A6"/>
    <w:rsid w:val="002B479C"/>
    <w:rsid w:val="002B4A52"/>
    <w:rsid w:val="002B5042"/>
    <w:rsid w:val="002B5CF3"/>
    <w:rsid w:val="002B6233"/>
    <w:rsid w:val="002B65C8"/>
    <w:rsid w:val="002B66B1"/>
    <w:rsid w:val="002B68B9"/>
    <w:rsid w:val="002B6B1C"/>
    <w:rsid w:val="002B6C3D"/>
    <w:rsid w:val="002B7C40"/>
    <w:rsid w:val="002B7DC8"/>
    <w:rsid w:val="002C0CAD"/>
    <w:rsid w:val="002C0DD6"/>
    <w:rsid w:val="002C13DE"/>
    <w:rsid w:val="002C157D"/>
    <w:rsid w:val="002C17E6"/>
    <w:rsid w:val="002C28DB"/>
    <w:rsid w:val="002C2D2A"/>
    <w:rsid w:val="002C2F26"/>
    <w:rsid w:val="002C3A8F"/>
    <w:rsid w:val="002C40BF"/>
    <w:rsid w:val="002C44C8"/>
    <w:rsid w:val="002C4610"/>
    <w:rsid w:val="002C465C"/>
    <w:rsid w:val="002C5BD4"/>
    <w:rsid w:val="002C719B"/>
    <w:rsid w:val="002C774E"/>
    <w:rsid w:val="002C7C7E"/>
    <w:rsid w:val="002D0167"/>
    <w:rsid w:val="002D043D"/>
    <w:rsid w:val="002D0AA1"/>
    <w:rsid w:val="002D118F"/>
    <w:rsid w:val="002D2654"/>
    <w:rsid w:val="002D26EC"/>
    <w:rsid w:val="002D2758"/>
    <w:rsid w:val="002D4482"/>
    <w:rsid w:val="002D4518"/>
    <w:rsid w:val="002D46DD"/>
    <w:rsid w:val="002D48C5"/>
    <w:rsid w:val="002D4D70"/>
    <w:rsid w:val="002D5033"/>
    <w:rsid w:val="002D52F4"/>
    <w:rsid w:val="002D6038"/>
    <w:rsid w:val="002D60AC"/>
    <w:rsid w:val="002D62A2"/>
    <w:rsid w:val="002D6A84"/>
    <w:rsid w:val="002E01F8"/>
    <w:rsid w:val="002E0700"/>
    <w:rsid w:val="002E1ECF"/>
    <w:rsid w:val="002E1F09"/>
    <w:rsid w:val="002E26A2"/>
    <w:rsid w:val="002E318C"/>
    <w:rsid w:val="002E31DD"/>
    <w:rsid w:val="002E3585"/>
    <w:rsid w:val="002E3A96"/>
    <w:rsid w:val="002E3C13"/>
    <w:rsid w:val="002E3E81"/>
    <w:rsid w:val="002E5324"/>
    <w:rsid w:val="002E5CEB"/>
    <w:rsid w:val="002E6B74"/>
    <w:rsid w:val="002E7A49"/>
    <w:rsid w:val="002F01E9"/>
    <w:rsid w:val="002F1AC8"/>
    <w:rsid w:val="002F2C06"/>
    <w:rsid w:val="002F3299"/>
    <w:rsid w:val="002F4D67"/>
    <w:rsid w:val="002F4E6D"/>
    <w:rsid w:val="002F4F0E"/>
    <w:rsid w:val="002F59A3"/>
    <w:rsid w:val="002F5B48"/>
    <w:rsid w:val="002F688F"/>
    <w:rsid w:val="002F70B8"/>
    <w:rsid w:val="002F726D"/>
    <w:rsid w:val="0030038A"/>
    <w:rsid w:val="00300873"/>
    <w:rsid w:val="00300B54"/>
    <w:rsid w:val="00300D4D"/>
    <w:rsid w:val="00301013"/>
    <w:rsid w:val="0030146B"/>
    <w:rsid w:val="0030182F"/>
    <w:rsid w:val="00302B60"/>
    <w:rsid w:val="00303962"/>
    <w:rsid w:val="003053DC"/>
    <w:rsid w:val="00305503"/>
    <w:rsid w:val="00305954"/>
    <w:rsid w:val="00305B27"/>
    <w:rsid w:val="00305D82"/>
    <w:rsid w:val="00305DB7"/>
    <w:rsid w:val="00306EA9"/>
    <w:rsid w:val="003078B4"/>
    <w:rsid w:val="00307F3C"/>
    <w:rsid w:val="00310BD9"/>
    <w:rsid w:val="003115B4"/>
    <w:rsid w:val="003117D3"/>
    <w:rsid w:val="00311F54"/>
    <w:rsid w:val="00312095"/>
    <w:rsid w:val="0031222C"/>
    <w:rsid w:val="0031223C"/>
    <w:rsid w:val="00312591"/>
    <w:rsid w:val="00312B07"/>
    <w:rsid w:val="0031309B"/>
    <w:rsid w:val="00313FF4"/>
    <w:rsid w:val="00314607"/>
    <w:rsid w:val="00314B66"/>
    <w:rsid w:val="003153B0"/>
    <w:rsid w:val="00315BBA"/>
    <w:rsid w:val="0031643D"/>
    <w:rsid w:val="00316841"/>
    <w:rsid w:val="00316E32"/>
    <w:rsid w:val="00317372"/>
    <w:rsid w:val="003175DD"/>
    <w:rsid w:val="00317876"/>
    <w:rsid w:val="00317DDD"/>
    <w:rsid w:val="003201E5"/>
    <w:rsid w:val="003233D3"/>
    <w:rsid w:val="0032365C"/>
    <w:rsid w:val="00323FB7"/>
    <w:rsid w:val="00324BEA"/>
    <w:rsid w:val="0032535B"/>
    <w:rsid w:val="00325C72"/>
    <w:rsid w:val="00326492"/>
    <w:rsid w:val="00326EC5"/>
    <w:rsid w:val="00327625"/>
    <w:rsid w:val="00327FC0"/>
    <w:rsid w:val="00330441"/>
    <w:rsid w:val="003306E8"/>
    <w:rsid w:val="00331DD7"/>
    <w:rsid w:val="00331E4B"/>
    <w:rsid w:val="00331F6A"/>
    <w:rsid w:val="003323A0"/>
    <w:rsid w:val="00332AB6"/>
    <w:rsid w:val="00332CC4"/>
    <w:rsid w:val="00333EEA"/>
    <w:rsid w:val="00334322"/>
    <w:rsid w:val="003344F4"/>
    <w:rsid w:val="003355A8"/>
    <w:rsid w:val="00335B1B"/>
    <w:rsid w:val="00336510"/>
    <w:rsid w:val="00336550"/>
    <w:rsid w:val="0033674F"/>
    <w:rsid w:val="00340CF2"/>
    <w:rsid w:val="00342FF1"/>
    <w:rsid w:val="00343AA9"/>
    <w:rsid w:val="00343D11"/>
    <w:rsid w:val="003440AD"/>
    <w:rsid w:val="00344841"/>
    <w:rsid w:val="00344D6A"/>
    <w:rsid w:val="003456FD"/>
    <w:rsid w:val="00346344"/>
    <w:rsid w:val="00346A7B"/>
    <w:rsid w:val="00346D2A"/>
    <w:rsid w:val="00346E8A"/>
    <w:rsid w:val="0034756C"/>
    <w:rsid w:val="00347E5A"/>
    <w:rsid w:val="00350BD8"/>
    <w:rsid w:val="00352FBA"/>
    <w:rsid w:val="00353538"/>
    <w:rsid w:val="003535C4"/>
    <w:rsid w:val="00354C7C"/>
    <w:rsid w:val="00355065"/>
    <w:rsid w:val="00355485"/>
    <w:rsid w:val="0035588E"/>
    <w:rsid w:val="00356067"/>
    <w:rsid w:val="003564A1"/>
    <w:rsid w:val="003564FE"/>
    <w:rsid w:val="003569AA"/>
    <w:rsid w:val="00356ACA"/>
    <w:rsid w:val="00357D03"/>
    <w:rsid w:val="00357D2A"/>
    <w:rsid w:val="00360472"/>
    <w:rsid w:val="00360D18"/>
    <w:rsid w:val="00360F81"/>
    <w:rsid w:val="00361060"/>
    <w:rsid w:val="00362C90"/>
    <w:rsid w:val="00363211"/>
    <w:rsid w:val="0036329B"/>
    <w:rsid w:val="003634C0"/>
    <w:rsid w:val="003644C9"/>
    <w:rsid w:val="003644D8"/>
    <w:rsid w:val="0036534B"/>
    <w:rsid w:val="003657FB"/>
    <w:rsid w:val="003662C9"/>
    <w:rsid w:val="0036654D"/>
    <w:rsid w:val="003670F7"/>
    <w:rsid w:val="0036744C"/>
    <w:rsid w:val="00370661"/>
    <w:rsid w:val="00370A51"/>
    <w:rsid w:val="00370B03"/>
    <w:rsid w:val="00370D6A"/>
    <w:rsid w:val="00371AAE"/>
    <w:rsid w:val="00372F5B"/>
    <w:rsid w:val="00373393"/>
    <w:rsid w:val="0037382B"/>
    <w:rsid w:val="00373AB5"/>
    <w:rsid w:val="00373F63"/>
    <w:rsid w:val="00374A7A"/>
    <w:rsid w:val="00375E19"/>
    <w:rsid w:val="00376440"/>
    <w:rsid w:val="00376759"/>
    <w:rsid w:val="003770FB"/>
    <w:rsid w:val="00380744"/>
    <w:rsid w:val="00380B2F"/>
    <w:rsid w:val="00380EA3"/>
    <w:rsid w:val="0038246B"/>
    <w:rsid w:val="003832AE"/>
    <w:rsid w:val="00383541"/>
    <w:rsid w:val="00383B87"/>
    <w:rsid w:val="00384EB9"/>
    <w:rsid w:val="003856C1"/>
    <w:rsid w:val="00385C40"/>
    <w:rsid w:val="003863A5"/>
    <w:rsid w:val="00387633"/>
    <w:rsid w:val="0038763C"/>
    <w:rsid w:val="00387B15"/>
    <w:rsid w:val="00387BB4"/>
    <w:rsid w:val="00387E15"/>
    <w:rsid w:val="00390257"/>
    <w:rsid w:val="003908F8"/>
    <w:rsid w:val="00392164"/>
    <w:rsid w:val="00392476"/>
    <w:rsid w:val="00392B2C"/>
    <w:rsid w:val="00393554"/>
    <w:rsid w:val="00393BDF"/>
    <w:rsid w:val="003943B3"/>
    <w:rsid w:val="00394ACC"/>
    <w:rsid w:val="00394DAF"/>
    <w:rsid w:val="003959B2"/>
    <w:rsid w:val="003964E3"/>
    <w:rsid w:val="00397658"/>
    <w:rsid w:val="003977EB"/>
    <w:rsid w:val="00397AC0"/>
    <w:rsid w:val="00397F67"/>
    <w:rsid w:val="003A18B6"/>
    <w:rsid w:val="003A1D6B"/>
    <w:rsid w:val="003A2995"/>
    <w:rsid w:val="003A2A0C"/>
    <w:rsid w:val="003A305B"/>
    <w:rsid w:val="003A31DE"/>
    <w:rsid w:val="003A342C"/>
    <w:rsid w:val="003A3483"/>
    <w:rsid w:val="003A3ECE"/>
    <w:rsid w:val="003A453C"/>
    <w:rsid w:val="003A76CB"/>
    <w:rsid w:val="003A7995"/>
    <w:rsid w:val="003A7C4A"/>
    <w:rsid w:val="003B095E"/>
    <w:rsid w:val="003B0ADC"/>
    <w:rsid w:val="003B0E5E"/>
    <w:rsid w:val="003B0E94"/>
    <w:rsid w:val="003B1170"/>
    <w:rsid w:val="003B1BAA"/>
    <w:rsid w:val="003B1C51"/>
    <w:rsid w:val="003B2246"/>
    <w:rsid w:val="003B348F"/>
    <w:rsid w:val="003B4C86"/>
    <w:rsid w:val="003B5658"/>
    <w:rsid w:val="003B5853"/>
    <w:rsid w:val="003B6937"/>
    <w:rsid w:val="003B69CE"/>
    <w:rsid w:val="003B6D17"/>
    <w:rsid w:val="003B6EEF"/>
    <w:rsid w:val="003B7239"/>
    <w:rsid w:val="003B77EF"/>
    <w:rsid w:val="003B789C"/>
    <w:rsid w:val="003C0056"/>
    <w:rsid w:val="003C02F4"/>
    <w:rsid w:val="003C0F6B"/>
    <w:rsid w:val="003C23CE"/>
    <w:rsid w:val="003C2921"/>
    <w:rsid w:val="003C3CE7"/>
    <w:rsid w:val="003C3E01"/>
    <w:rsid w:val="003C41D6"/>
    <w:rsid w:val="003C5366"/>
    <w:rsid w:val="003C5532"/>
    <w:rsid w:val="003C555E"/>
    <w:rsid w:val="003C5920"/>
    <w:rsid w:val="003C60C3"/>
    <w:rsid w:val="003C6A3D"/>
    <w:rsid w:val="003C7776"/>
    <w:rsid w:val="003D0C7A"/>
    <w:rsid w:val="003D187A"/>
    <w:rsid w:val="003D20D6"/>
    <w:rsid w:val="003D2E9F"/>
    <w:rsid w:val="003D36F2"/>
    <w:rsid w:val="003D3F0F"/>
    <w:rsid w:val="003D4676"/>
    <w:rsid w:val="003D5233"/>
    <w:rsid w:val="003D566E"/>
    <w:rsid w:val="003D6B8E"/>
    <w:rsid w:val="003D6D50"/>
    <w:rsid w:val="003D6DCA"/>
    <w:rsid w:val="003D71F4"/>
    <w:rsid w:val="003D791A"/>
    <w:rsid w:val="003D7F25"/>
    <w:rsid w:val="003E0623"/>
    <w:rsid w:val="003E0B25"/>
    <w:rsid w:val="003E1007"/>
    <w:rsid w:val="003E12AD"/>
    <w:rsid w:val="003E1468"/>
    <w:rsid w:val="003E1477"/>
    <w:rsid w:val="003E22DC"/>
    <w:rsid w:val="003E286A"/>
    <w:rsid w:val="003E2A5A"/>
    <w:rsid w:val="003E3F24"/>
    <w:rsid w:val="003E41EF"/>
    <w:rsid w:val="003E4AC6"/>
    <w:rsid w:val="003E5825"/>
    <w:rsid w:val="003E5B78"/>
    <w:rsid w:val="003E5FA6"/>
    <w:rsid w:val="003E6A56"/>
    <w:rsid w:val="003F0563"/>
    <w:rsid w:val="003F067F"/>
    <w:rsid w:val="003F0699"/>
    <w:rsid w:val="003F090F"/>
    <w:rsid w:val="003F1C3C"/>
    <w:rsid w:val="003F1CCF"/>
    <w:rsid w:val="003F3431"/>
    <w:rsid w:val="003F35E1"/>
    <w:rsid w:val="003F3D14"/>
    <w:rsid w:val="003F3EDC"/>
    <w:rsid w:val="003F4782"/>
    <w:rsid w:val="003F5207"/>
    <w:rsid w:val="003F5661"/>
    <w:rsid w:val="003F6146"/>
    <w:rsid w:val="003F61C7"/>
    <w:rsid w:val="003F6A25"/>
    <w:rsid w:val="003F6B13"/>
    <w:rsid w:val="003F78DE"/>
    <w:rsid w:val="003F7BAF"/>
    <w:rsid w:val="003F7DED"/>
    <w:rsid w:val="003F7F08"/>
    <w:rsid w:val="00400919"/>
    <w:rsid w:val="004010ED"/>
    <w:rsid w:val="0040133D"/>
    <w:rsid w:val="00402081"/>
    <w:rsid w:val="004023EE"/>
    <w:rsid w:val="00402B64"/>
    <w:rsid w:val="00402F45"/>
    <w:rsid w:val="00403599"/>
    <w:rsid w:val="00403CA2"/>
    <w:rsid w:val="00404D8C"/>
    <w:rsid w:val="004054B9"/>
    <w:rsid w:val="00405843"/>
    <w:rsid w:val="00405A0E"/>
    <w:rsid w:val="00405C0D"/>
    <w:rsid w:val="00406400"/>
    <w:rsid w:val="0041025B"/>
    <w:rsid w:val="00410F6E"/>
    <w:rsid w:val="00411295"/>
    <w:rsid w:val="00413A19"/>
    <w:rsid w:val="00413F52"/>
    <w:rsid w:val="0041415D"/>
    <w:rsid w:val="00415200"/>
    <w:rsid w:val="004159E6"/>
    <w:rsid w:val="0041600F"/>
    <w:rsid w:val="0041642B"/>
    <w:rsid w:val="00420953"/>
    <w:rsid w:val="00420A06"/>
    <w:rsid w:val="00420C18"/>
    <w:rsid w:val="00420EAA"/>
    <w:rsid w:val="00421032"/>
    <w:rsid w:val="00421AB8"/>
    <w:rsid w:val="00421EF1"/>
    <w:rsid w:val="0042211C"/>
    <w:rsid w:val="00422320"/>
    <w:rsid w:val="004224F8"/>
    <w:rsid w:val="00423503"/>
    <w:rsid w:val="004236DD"/>
    <w:rsid w:val="00424AE1"/>
    <w:rsid w:val="004259CB"/>
    <w:rsid w:val="00425AE8"/>
    <w:rsid w:val="00425E1A"/>
    <w:rsid w:val="00426B79"/>
    <w:rsid w:val="00427631"/>
    <w:rsid w:val="00427682"/>
    <w:rsid w:val="004306AF"/>
    <w:rsid w:val="00430A8D"/>
    <w:rsid w:val="00430F6A"/>
    <w:rsid w:val="00432D9C"/>
    <w:rsid w:val="00433019"/>
    <w:rsid w:val="004339F5"/>
    <w:rsid w:val="00435BB3"/>
    <w:rsid w:val="0043686D"/>
    <w:rsid w:val="0043778B"/>
    <w:rsid w:val="00437AC4"/>
    <w:rsid w:val="00437F21"/>
    <w:rsid w:val="0044019B"/>
    <w:rsid w:val="00440618"/>
    <w:rsid w:val="00440AC1"/>
    <w:rsid w:val="00440AE9"/>
    <w:rsid w:val="004414EB"/>
    <w:rsid w:val="00441900"/>
    <w:rsid w:val="004421A5"/>
    <w:rsid w:val="004422E0"/>
    <w:rsid w:val="004423B4"/>
    <w:rsid w:val="004429C9"/>
    <w:rsid w:val="004429F2"/>
    <w:rsid w:val="00442A87"/>
    <w:rsid w:val="00442F63"/>
    <w:rsid w:val="004431FD"/>
    <w:rsid w:val="0044376C"/>
    <w:rsid w:val="00443E3A"/>
    <w:rsid w:val="0044439B"/>
    <w:rsid w:val="0044477A"/>
    <w:rsid w:val="00444F07"/>
    <w:rsid w:val="0044529A"/>
    <w:rsid w:val="004456B9"/>
    <w:rsid w:val="004461AC"/>
    <w:rsid w:val="00446E68"/>
    <w:rsid w:val="00447062"/>
    <w:rsid w:val="004471E3"/>
    <w:rsid w:val="004471FB"/>
    <w:rsid w:val="004511F4"/>
    <w:rsid w:val="004523A2"/>
    <w:rsid w:val="004524F6"/>
    <w:rsid w:val="0045263B"/>
    <w:rsid w:val="00452EFF"/>
    <w:rsid w:val="00452F20"/>
    <w:rsid w:val="00453068"/>
    <w:rsid w:val="00453530"/>
    <w:rsid w:val="004542FF"/>
    <w:rsid w:val="0045476E"/>
    <w:rsid w:val="00454BE0"/>
    <w:rsid w:val="00454C20"/>
    <w:rsid w:val="00455620"/>
    <w:rsid w:val="00455A41"/>
    <w:rsid w:val="0045645B"/>
    <w:rsid w:val="00457846"/>
    <w:rsid w:val="00457FCA"/>
    <w:rsid w:val="004607F7"/>
    <w:rsid w:val="00461039"/>
    <w:rsid w:val="004613DC"/>
    <w:rsid w:val="00461ACC"/>
    <w:rsid w:val="00461DD1"/>
    <w:rsid w:val="00462627"/>
    <w:rsid w:val="0046622A"/>
    <w:rsid w:val="00466734"/>
    <w:rsid w:val="00467B84"/>
    <w:rsid w:val="00467E01"/>
    <w:rsid w:val="00467E51"/>
    <w:rsid w:val="004704BD"/>
    <w:rsid w:val="00471390"/>
    <w:rsid w:val="00471642"/>
    <w:rsid w:val="00471D94"/>
    <w:rsid w:val="00472795"/>
    <w:rsid w:val="00472797"/>
    <w:rsid w:val="004729A2"/>
    <w:rsid w:val="00472A4B"/>
    <w:rsid w:val="0047310B"/>
    <w:rsid w:val="00473452"/>
    <w:rsid w:val="0047369E"/>
    <w:rsid w:val="00475262"/>
    <w:rsid w:val="00476E91"/>
    <w:rsid w:val="00477270"/>
    <w:rsid w:val="00477568"/>
    <w:rsid w:val="004777D9"/>
    <w:rsid w:val="00477D27"/>
    <w:rsid w:val="00477E32"/>
    <w:rsid w:val="004804A3"/>
    <w:rsid w:val="0048121D"/>
    <w:rsid w:val="00481336"/>
    <w:rsid w:val="0048135D"/>
    <w:rsid w:val="00481ACD"/>
    <w:rsid w:val="00482143"/>
    <w:rsid w:val="00482566"/>
    <w:rsid w:val="00482CE6"/>
    <w:rsid w:val="004831A4"/>
    <w:rsid w:val="004855F9"/>
    <w:rsid w:val="004874D2"/>
    <w:rsid w:val="00487B6C"/>
    <w:rsid w:val="0049021D"/>
    <w:rsid w:val="00490B41"/>
    <w:rsid w:val="004922B6"/>
    <w:rsid w:val="004932AC"/>
    <w:rsid w:val="004934B8"/>
    <w:rsid w:val="00493A72"/>
    <w:rsid w:val="00493EA7"/>
    <w:rsid w:val="00493F63"/>
    <w:rsid w:val="0049433B"/>
    <w:rsid w:val="00494BF3"/>
    <w:rsid w:val="00494D87"/>
    <w:rsid w:val="00495B40"/>
    <w:rsid w:val="00495BAE"/>
    <w:rsid w:val="00496126"/>
    <w:rsid w:val="00496563"/>
    <w:rsid w:val="00497428"/>
    <w:rsid w:val="00497C9A"/>
    <w:rsid w:val="004A017C"/>
    <w:rsid w:val="004A13B8"/>
    <w:rsid w:val="004A1978"/>
    <w:rsid w:val="004A1B53"/>
    <w:rsid w:val="004A1C14"/>
    <w:rsid w:val="004A1E84"/>
    <w:rsid w:val="004A2434"/>
    <w:rsid w:val="004A2536"/>
    <w:rsid w:val="004A27C9"/>
    <w:rsid w:val="004A2A41"/>
    <w:rsid w:val="004A2A4B"/>
    <w:rsid w:val="004A2B9B"/>
    <w:rsid w:val="004A3680"/>
    <w:rsid w:val="004A4633"/>
    <w:rsid w:val="004A4F41"/>
    <w:rsid w:val="004A52A3"/>
    <w:rsid w:val="004A5723"/>
    <w:rsid w:val="004A5ABD"/>
    <w:rsid w:val="004A6A8E"/>
    <w:rsid w:val="004A7286"/>
    <w:rsid w:val="004A7879"/>
    <w:rsid w:val="004A799D"/>
    <w:rsid w:val="004A7B30"/>
    <w:rsid w:val="004B08CF"/>
    <w:rsid w:val="004B0EEA"/>
    <w:rsid w:val="004B11D9"/>
    <w:rsid w:val="004B1AFA"/>
    <w:rsid w:val="004B21C2"/>
    <w:rsid w:val="004B29BA"/>
    <w:rsid w:val="004B2C40"/>
    <w:rsid w:val="004B363B"/>
    <w:rsid w:val="004B3BAD"/>
    <w:rsid w:val="004B4BF5"/>
    <w:rsid w:val="004B4F72"/>
    <w:rsid w:val="004B63F3"/>
    <w:rsid w:val="004B6490"/>
    <w:rsid w:val="004B669B"/>
    <w:rsid w:val="004B66F0"/>
    <w:rsid w:val="004B6A29"/>
    <w:rsid w:val="004B6D7D"/>
    <w:rsid w:val="004B7887"/>
    <w:rsid w:val="004B7F16"/>
    <w:rsid w:val="004C03A2"/>
    <w:rsid w:val="004C0DA0"/>
    <w:rsid w:val="004C2610"/>
    <w:rsid w:val="004C3D31"/>
    <w:rsid w:val="004C40AC"/>
    <w:rsid w:val="004C4803"/>
    <w:rsid w:val="004C4E4B"/>
    <w:rsid w:val="004C4EBA"/>
    <w:rsid w:val="004C525E"/>
    <w:rsid w:val="004C53A6"/>
    <w:rsid w:val="004C58DC"/>
    <w:rsid w:val="004C6440"/>
    <w:rsid w:val="004C6516"/>
    <w:rsid w:val="004C7E14"/>
    <w:rsid w:val="004C7EC0"/>
    <w:rsid w:val="004D0202"/>
    <w:rsid w:val="004D1AD5"/>
    <w:rsid w:val="004D25B3"/>
    <w:rsid w:val="004D28C4"/>
    <w:rsid w:val="004D5070"/>
    <w:rsid w:val="004D5268"/>
    <w:rsid w:val="004D54A4"/>
    <w:rsid w:val="004D57FE"/>
    <w:rsid w:val="004D6140"/>
    <w:rsid w:val="004D6439"/>
    <w:rsid w:val="004D76B6"/>
    <w:rsid w:val="004D7B59"/>
    <w:rsid w:val="004E10E6"/>
    <w:rsid w:val="004E125B"/>
    <w:rsid w:val="004E29DD"/>
    <w:rsid w:val="004E3009"/>
    <w:rsid w:val="004E34CF"/>
    <w:rsid w:val="004E3536"/>
    <w:rsid w:val="004E365E"/>
    <w:rsid w:val="004E37D2"/>
    <w:rsid w:val="004E3B8B"/>
    <w:rsid w:val="004E3EB5"/>
    <w:rsid w:val="004E4683"/>
    <w:rsid w:val="004E47D7"/>
    <w:rsid w:val="004E6528"/>
    <w:rsid w:val="004E721D"/>
    <w:rsid w:val="004E79D3"/>
    <w:rsid w:val="004F0291"/>
    <w:rsid w:val="004F105F"/>
    <w:rsid w:val="004F1302"/>
    <w:rsid w:val="004F4BB2"/>
    <w:rsid w:val="004F5054"/>
    <w:rsid w:val="004F56AE"/>
    <w:rsid w:val="004F5DD1"/>
    <w:rsid w:val="004F60B3"/>
    <w:rsid w:val="004F61EC"/>
    <w:rsid w:val="004F6679"/>
    <w:rsid w:val="004F72D0"/>
    <w:rsid w:val="004F749A"/>
    <w:rsid w:val="005006D5"/>
    <w:rsid w:val="00500878"/>
    <w:rsid w:val="00500955"/>
    <w:rsid w:val="00500D42"/>
    <w:rsid w:val="0050119E"/>
    <w:rsid w:val="005013B2"/>
    <w:rsid w:val="00501AF3"/>
    <w:rsid w:val="00501ED4"/>
    <w:rsid w:val="0050259E"/>
    <w:rsid w:val="00502627"/>
    <w:rsid w:val="00502BDF"/>
    <w:rsid w:val="0050379D"/>
    <w:rsid w:val="0050429F"/>
    <w:rsid w:val="0050454E"/>
    <w:rsid w:val="0050462B"/>
    <w:rsid w:val="0050488C"/>
    <w:rsid w:val="005050BC"/>
    <w:rsid w:val="0050565F"/>
    <w:rsid w:val="00505960"/>
    <w:rsid w:val="00505D8E"/>
    <w:rsid w:val="00506D6E"/>
    <w:rsid w:val="00506FAA"/>
    <w:rsid w:val="005071B7"/>
    <w:rsid w:val="00507275"/>
    <w:rsid w:val="00507447"/>
    <w:rsid w:val="005079D4"/>
    <w:rsid w:val="00507CB3"/>
    <w:rsid w:val="0051024C"/>
    <w:rsid w:val="005115C8"/>
    <w:rsid w:val="00511B40"/>
    <w:rsid w:val="00511F67"/>
    <w:rsid w:val="00512812"/>
    <w:rsid w:val="005128F4"/>
    <w:rsid w:val="00514B2E"/>
    <w:rsid w:val="00514DC3"/>
    <w:rsid w:val="00515008"/>
    <w:rsid w:val="005151D7"/>
    <w:rsid w:val="005151E6"/>
    <w:rsid w:val="00515D8B"/>
    <w:rsid w:val="00516136"/>
    <w:rsid w:val="0051723B"/>
    <w:rsid w:val="005179C0"/>
    <w:rsid w:val="0052043A"/>
    <w:rsid w:val="005211A2"/>
    <w:rsid w:val="005211BC"/>
    <w:rsid w:val="00521200"/>
    <w:rsid w:val="00522114"/>
    <w:rsid w:val="005225A4"/>
    <w:rsid w:val="005228E6"/>
    <w:rsid w:val="00522F23"/>
    <w:rsid w:val="00522F9D"/>
    <w:rsid w:val="00522FF1"/>
    <w:rsid w:val="00523913"/>
    <w:rsid w:val="00523E4F"/>
    <w:rsid w:val="00523F11"/>
    <w:rsid w:val="00523F9C"/>
    <w:rsid w:val="005244D5"/>
    <w:rsid w:val="00524580"/>
    <w:rsid w:val="00524833"/>
    <w:rsid w:val="005248B1"/>
    <w:rsid w:val="00525B70"/>
    <w:rsid w:val="00525D69"/>
    <w:rsid w:val="00525EAE"/>
    <w:rsid w:val="00525F56"/>
    <w:rsid w:val="005307B6"/>
    <w:rsid w:val="005309ED"/>
    <w:rsid w:val="00530E7E"/>
    <w:rsid w:val="00531728"/>
    <w:rsid w:val="005317C8"/>
    <w:rsid w:val="00531C1D"/>
    <w:rsid w:val="00532074"/>
    <w:rsid w:val="00532188"/>
    <w:rsid w:val="005321A0"/>
    <w:rsid w:val="00532A82"/>
    <w:rsid w:val="00532F1F"/>
    <w:rsid w:val="0053308E"/>
    <w:rsid w:val="005340B8"/>
    <w:rsid w:val="00534809"/>
    <w:rsid w:val="005348F4"/>
    <w:rsid w:val="005349B2"/>
    <w:rsid w:val="00535820"/>
    <w:rsid w:val="005359AD"/>
    <w:rsid w:val="005359D9"/>
    <w:rsid w:val="00535A36"/>
    <w:rsid w:val="00535A4D"/>
    <w:rsid w:val="00535DB8"/>
    <w:rsid w:val="00536446"/>
    <w:rsid w:val="0053692B"/>
    <w:rsid w:val="005408C7"/>
    <w:rsid w:val="00540F38"/>
    <w:rsid w:val="00541366"/>
    <w:rsid w:val="00541FED"/>
    <w:rsid w:val="0054246D"/>
    <w:rsid w:val="00543317"/>
    <w:rsid w:val="0054341F"/>
    <w:rsid w:val="005442EA"/>
    <w:rsid w:val="005456F2"/>
    <w:rsid w:val="00545775"/>
    <w:rsid w:val="005467C0"/>
    <w:rsid w:val="00547351"/>
    <w:rsid w:val="0054780D"/>
    <w:rsid w:val="00547B5F"/>
    <w:rsid w:val="00547E35"/>
    <w:rsid w:val="00547E48"/>
    <w:rsid w:val="0055004A"/>
    <w:rsid w:val="00550156"/>
    <w:rsid w:val="00552384"/>
    <w:rsid w:val="00552603"/>
    <w:rsid w:val="005527E4"/>
    <w:rsid w:val="00552FB4"/>
    <w:rsid w:val="0055534D"/>
    <w:rsid w:val="00555467"/>
    <w:rsid w:val="00555F86"/>
    <w:rsid w:val="0055615A"/>
    <w:rsid w:val="005565ED"/>
    <w:rsid w:val="0055790E"/>
    <w:rsid w:val="00557CDA"/>
    <w:rsid w:val="00560B5F"/>
    <w:rsid w:val="00560D1D"/>
    <w:rsid w:val="005611F3"/>
    <w:rsid w:val="005615D7"/>
    <w:rsid w:val="005619E2"/>
    <w:rsid w:val="00561E44"/>
    <w:rsid w:val="005620FC"/>
    <w:rsid w:val="00564495"/>
    <w:rsid w:val="005644C6"/>
    <w:rsid w:val="005650C6"/>
    <w:rsid w:val="00566C94"/>
    <w:rsid w:val="00566D33"/>
    <w:rsid w:val="00567461"/>
    <w:rsid w:val="00567AC7"/>
    <w:rsid w:val="00567B4D"/>
    <w:rsid w:val="005701F8"/>
    <w:rsid w:val="005705A1"/>
    <w:rsid w:val="005707BA"/>
    <w:rsid w:val="005719B2"/>
    <w:rsid w:val="00571E05"/>
    <w:rsid w:val="00572D16"/>
    <w:rsid w:val="00573AE7"/>
    <w:rsid w:val="00573FFA"/>
    <w:rsid w:val="00573FFD"/>
    <w:rsid w:val="00574065"/>
    <w:rsid w:val="0057469A"/>
    <w:rsid w:val="00574A47"/>
    <w:rsid w:val="00574D49"/>
    <w:rsid w:val="00575C36"/>
    <w:rsid w:val="00575DF9"/>
    <w:rsid w:val="0057660A"/>
    <w:rsid w:val="005777AB"/>
    <w:rsid w:val="00577975"/>
    <w:rsid w:val="00577D37"/>
    <w:rsid w:val="00581F8C"/>
    <w:rsid w:val="00582CDA"/>
    <w:rsid w:val="0058326B"/>
    <w:rsid w:val="00583808"/>
    <w:rsid w:val="00583BF4"/>
    <w:rsid w:val="00583BF7"/>
    <w:rsid w:val="00583C9A"/>
    <w:rsid w:val="00583E67"/>
    <w:rsid w:val="005841D6"/>
    <w:rsid w:val="0058520B"/>
    <w:rsid w:val="0058586B"/>
    <w:rsid w:val="00585D81"/>
    <w:rsid w:val="00586BC4"/>
    <w:rsid w:val="00586CC5"/>
    <w:rsid w:val="00586F97"/>
    <w:rsid w:val="0058722C"/>
    <w:rsid w:val="0058766F"/>
    <w:rsid w:val="0058798E"/>
    <w:rsid w:val="00590099"/>
    <w:rsid w:val="00590376"/>
    <w:rsid w:val="0059062F"/>
    <w:rsid w:val="005907BB"/>
    <w:rsid w:val="0059105F"/>
    <w:rsid w:val="00591388"/>
    <w:rsid w:val="00591787"/>
    <w:rsid w:val="00591A67"/>
    <w:rsid w:val="00591FD5"/>
    <w:rsid w:val="005920D2"/>
    <w:rsid w:val="005920F3"/>
    <w:rsid w:val="005924C2"/>
    <w:rsid w:val="00593692"/>
    <w:rsid w:val="00593B0C"/>
    <w:rsid w:val="005942C9"/>
    <w:rsid w:val="00594356"/>
    <w:rsid w:val="00594399"/>
    <w:rsid w:val="005945AD"/>
    <w:rsid w:val="005954A8"/>
    <w:rsid w:val="00595C0D"/>
    <w:rsid w:val="005961F0"/>
    <w:rsid w:val="0059628D"/>
    <w:rsid w:val="00596668"/>
    <w:rsid w:val="00596726"/>
    <w:rsid w:val="0059684B"/>
    <w:rsid w:val="00596978"/>
    <w:rsid w:val="00596FEF"/>
    <w:rsid w:val="005972C5"/>
    <w:rsid w:val="005977FD"/>
    <w:rsid w:val="0059792A"/>
    <w:rsid w:val="00597A36"/>
    <w:rsid w:val="005A03DC"/>
    <w:rsid w:val="005A0729"/>
    <w:rsid w:val="005A0B13"/>
    <w:rsid w:val="005A1ED2"/>
    <w:rsid w:val="005A22B6"/>
    <w:rsid w:val="005A257A"/>
    <w:rsid w:val="005A25F8"/>
    <w:rsid w:val="005A291A"/>
    <w:rsid w:val="005A32CC"/>
    <w:rsid w:val="005A3765"/>
    <w:rsid w:val="005A3FAF"/>
    <w:rsid w:val="005A4FA3"/>
    <w:rsid w:val="005A5FEB"/>
    <w:rsid w:val="005A69BC"/>
    <w:rsid w:val="005A6B2E"/>
    <w:rsid w:val="005A6E49"/>
    <w:rsid w:val="005A75AE"/>
    <w:rsid w:val="005A78F0"/>
    <w:rsid w:val="005A7A79"/>
    <w:rsid w:val="005A7D23"/>
    <w:rsid w:val="005B03FC"/>
    <w:rsid w:val="005B0441"/>
    <w:rsid w:val="005B0B52"/>
    <w:rsid w:val="005B1303"/>
    <w:rsid w:val="005B1337"/>
    <w:rsid w:val="005B1ADF"/>
    <w:rsid w:val="005B2551"/>
    <w:rsid w:val="005B2CC5"/>
    <w:rsid w:val="005B2D83"/>
    <w:rsid w:val="005B2DD6"/>
    <w:rsid w:val="005B34D4"/>
    <w:rsid w:val="005B4E8F"/>
    <w:rsid w:val="005B5A0B"/>
    <w:rsid w:val="005B6EC9"/>
    <w:rsid w:val="005B6F5F"/>
    <w:rsid w:val="005B7059"/>
    <w:rsid w:val="005B763B"/>
    <w:rsid w:val="005B79CF"/>
    <w:rsid w:val="005C2FD4"/>
    <w:rsid w:val="005C345D"/>
    <w:rsid w:val="005C3631"/>
    <w:rsid w:val="005C3996"/>
    <w:rsid w:val="005C4850"/>
    <w:rsid w:val="005C698F"/>
    <w:rsid w:val="005C765B"/>
    <w:rsid w:val="005D06D3"/>
    <w:rsid w:val="005D1007"/>
    <w:rsid w:val="005D2AF2"/>
    <w:rsid w:val="005D2D0B"/>
    <w:rsid w:val="005D2E52"/>
    <w:rsid w:val="005D2E79"/>
    <w:rsid w:val="005D3D95"/>
    <w:rsid w:val="005D3F67"/>
    <w:rsid w:val="005D400F"/>
    <w:rsid w:val="005D5399"/>
    <w:rsid w:val="005D56CD"/>
    <w:rsid w:val="005D59CC"/>
    <w:rsid w:val="005D6E18"/>
    <w:rsid w:val="005D74C2"/>
    <w:rsid w:val="005D7D1A"/>
    <w:rsid w:val="005E166E"/>
    <w:rsid w:val="005E195A"/>
    <w:rsid w:val="005E22CF"/>
    <w:rsid w:val="005E2FDE"/>
    <w:rsid w:val="005E3DE2"/>
    <w:rsid w:val="005E5176"/>
    <w:rsid w:val="005E6912"/>
    <w:rsid w:val="005E6AD9"/>
    <w:rsid w:val="005E6B58"/>
    <w:rsid w:val="005E6C0E"/>
    <w:rsid w:val="005E6C4B"/>
    <w:rsid w:val="005E7DE6"/>
    <w:rsid w:val="005F1090"/>
    <w:rsid w:val="005F1894"/>
    <w:rsid w:val="005F23EF"/>
    <w:rsid w:val="005F277F"/>
    <w:rsid w:val="005F3167"/>
    <w:rsid w:val="005F4693"/>
    <w:rsid w:val="005F6075"/>
    <w:rsid w:val="005F62AA"/>
    <w:rsid w:val="005F6FD2"/>
    <w:rsid w:val="005F7BD5"/>
    <w:rsid w:val="00600709"/>
    <w:rsid w:val="00600F77"/>
    <w:rsid w:val="0060146C"/>
    <w:rsid w:val="006014F1"/>
    <w:rsid w:val="0060165C"/>
    <w:rsid w:val="00601AC2"/>
    <w:rsid w:val="006021BF"/>
    <w:rsid w:val="00602815"/>
    <w:rsid w:val="0060293A"/>
    <w:rsid w:val="0060304E"/>
    <w:rsid w:val="00603624"/>
    <w:rsid w:val="006036E0"/>
    <w:rsid w:val="00604E5C"/>
    <w:rsid w:val="006057BA"/>
    <w:rsid w:val="006068A3"/>
    <w:rsid w:val="00606CD0"/>
    <w:rsid w:val="00606FA0"/>
    <w:rsid w:val="00610104"/>
    <w:rsid w:val="00610486"/>
    <w:rsid w:val="006105BD"/>
    <w:rsid w:val="00610A60"/>
    <w:rsid w:val="00611032"/>
    <w:rsid w:val="006111F5"/>
    <w:rsid w:val="00611742"/>
    <w:rsid w:val="006123C0"/>
    <w:rsid w:val="00612F65"/>
    <w:rsid w:val="00613966"/>
    <w:rsid w:val="006145DA"/>
    <w:rsid w:val="00614814"/>
    <w:rsid w:val="00614D80"/>
    <w:rsid w:val="006158AB"/>
    <w:rsid w:val="006165BA"/>
    <w:rsid w:val="006175D7"/>
    <w:rsid w:val="00617D96"/>
    <w:rsid w:val="00620552"/>
    <w:rsid w:val="00620EB3"/>
    <w:rsid w:val="00620F67"/>
    <w:rsid w:val="0062216A"/>
    <w:rsid w:val="00622810"/>
    <w:rsid w:val="00622B63"/>
    <w:rsid w:val="00622B75"/>
    <w:rsid w:val="00622CB7"/>
    <w:rsid w:val="00622EE6"/>
    <w:rsid w:val="00623F3C"/>
    <w:rsid w:val="00625554"/>
    <w:rsid w:val="006259C7"/>
    <w:rsid w:val="00625A49"/>
    <w:rsid w:val="00625DFF"/>
    <w:rsid w:val="00625E0E"/>
    <w:rsid w:val="00626270"/>
    <w:rsid w:val="0062680A"/>
    <w:rsid w:val="00627515"/>
    <w:rsid w:val="0063017F"/>
    <w:rsid w:val="00630E2E"/>
    <w:rsid w:val="00630FB9"/>
    <w:rsid w:val="00631393"/>
    <w:rsid w:val="00631C33"/>
    <w:rsid w:val="006322A0"/>
    <w:rsid w:val="006324A5"/>
    <w:rsid w:val="00632774"/>
    <w:rsid w:val="006336B6"/>
    <w:rsid w:val="00633C1B"/>
    <w:rsid w:val="00633DB8"/>
    <w:rsid w:val="00633E1B"/>
    <w:rsid w:val="0063424E"/>
    <w:rsid w:val="006343E3"/>
    <w:rsid w:val="0063540D"/>
    <w:rsid w:val="006366F7"/>
    <w:rsid w:val="00636B6A"/>
    <w:rsid w:val="00636FE6"/>
    <w:rsid w:val="006370C1"/>
    <w:rsid w:val="006411DF"/>
    <w:rsid w:val="00641460"/>
    <w:rsid w:val="00641C0D"/>
    <w:rsid w:val="006422DC"/>
    <w:rsid w:val="00643624"/>
    <w:rsid w:val="00643CC4"/>
    <w:rsid w:val="006440ED"/>
    <w:rsid w:val="00645F15"/>
    <w:rsid w:val="00646008"/>
    <w:rsid w:val="00646519"/>
    <w:rsid w:val="00646FF1"/>
    <w:rsid w:val="0064702F"/>
    <w:rsid w:val="00647989"/>
    <w:rsid w:val="00647C2E"/>
    <w:rsid w:val="006500EB"/>
    <w:rsid w:val="00650377"/>
    <w:rsid w:val="0065041F"/>
    <w:rsid w:val="00651525"/>
    <w:rsid w:val="00652A3B"/>
    <w:rsid w:val="00652A7C"/>
    <w:rsid w:val="006541C7"/>
    <w:rsid w:val="006542AB"/>
    <w:rsid w:val="00654374"/>
    <w:rsid w:val="0065485D"/>
    <w:rsid w:val="0065491F"/>
    <w:rsid w:val="006556FA"/>
    <w:rsid w:val="00656290"/>
    <w:rsid w:val="00656314"/>
    <w:rsid w:val="00656AF2"/>
    <w:rsid w:val="00657C81"/>
    <w:rsid w:val="0066006C"/>
    <w:rsid w:val="00660925"/>
    <w:rsid w:val="00660B36"/>
    <w:rsid w:val="00660F0E"/>
    <w:rsid w:val="006611D2"/>
    <w:rsid w:val="0066266D"/>
    <w:rsid w:val="00662DC0"/>
    <w:rsid w:val="00662E2A"/>
    <w:rsid w:val="0066300C"/>
    <w:rsid w:val="006637BE"/>
    <w:rsid w:val="00663E65"/>
    <w:rsid w:val="0066403A"/>
    <w:rsid w:val="00664062"/>
    <w:rsid w:val="00664A14"/>
    <w:rsid w:val="00665270"/>
    <w:rsid w:val="00665507"/>
    <w:rsid w:val="0066559C"/>
    <w:rsid w:val="0066620B"/>
    <w:rsid w:val="006663C9"/>
    <w:rsid w:val="0066685F"/>
    <w:rsid w:val="00666A0C"/>
    <w:rsid w:val="00666D87"/>
    <w:rsid w:val="00667223"/>
    <w:rsid w:val="006674A2"/>
    <w:rsid w:val="006678D1"/>
    <w:rsid w:val="00667A3A"/>
    <w:rsid w:val="006702AC"/>
    <w:rsid w:val="00671487"/>
    <w:rsid w:val="00671508"/>
    <w:rsid w:val="00671689"/>
    <w:rsid w:val="00672002"/>
    <w:rsid w:val="00672930"/>
    <w:rsid w:val="006740C7"/>
    <w:rsid w:val="0067538F"/>
    <w:rsid w:val="00675602"/>
    <w:rsid w:val="0067599C"/>
    <w:rsid w:val="006766C1"/>
    <w:rsid w:val="0067792D"/>
    <w:rsid w:val="006779DC"/>
    <w:rsid w:val="0068016E"/>
    <w:rsid w:val="006811FE"/>
    <w:rsid w:val="00681376"/>
    <w:rsid w:val="006821E5"/>
    <w:rsid w:val="0068398F"/>
    <w:rsid w:val="006854FD"/>
    <w:rsid w:val="00685543"/>
    <w:rsid w:val="006863D8"/>
    <w:rsid w:val="00686423"/>
    <w:rsid w:val="006867B1"/>
    <w:rsid w:val="00687125"/>
    <w:rsid w:val="0068789C"/>
    <w:rsid w:val="00687BF7"/>
    <w:rsid w:val="00687E76"/>
    <w:rsid w:val="006904A2"/>
    <w:rsid w:val="00690906"/>
    <w:rsid w:val="006915F4"/>
    <w:rsid w:val="00692F27"/>
    <w:rsid w:val="0069362E"/>
    <w:rsid w:val="00693B79"/>
    <w:rsid w:val="00695C50"/>
    <w:rsid w:val="00695FD8"/>
    <w:rsid w:val="006960D2"/>
    <w:rsid w:val="0069705C"/>
    <w:rsid w:val="00697C9C"/>
    <w:rsid w:val="006A0503"/>
    <w:rsid w:val="006A27AE"/>
    <w:rsid w:val="006A2B8C"/>
    <w:rsid w:val="006A2D69"/>
    <w:rsid w:val="006A2DB4"/>
    <w:rsid w:val="006A32B3"/>
    <w:rsid w:val="006A3585"/>
    <w:rsid w:val="006A369D"/>
    <w:rsid w:val="006A3903"/>
    <w:rsid w:val="006A3FBD"/>
    <w:rsid w:val="006A4A62"/>
    <w:rsid w:val="006A5CD7"/>
    <w:rsid w:val="006A6E15"/>
    <w:rsid w:val="006A7446"/>
    <w:rsid w:val="006A77C6"/>
    <w:rsid w:val="006A7A43"/>
    <w:rsid w:val="006A7BFE"/>
    <w:rsid w:val="006A7C34"/>
    <w:rsid w:val="006B021C"/>
    <w:rsid w:val="006B02CF"/>
    <w:rsid w:val="006B0392"/>
    <w:rsid w:val="006B213A"/>
    <w:rsid w:val="006B276F"/>
    <w:rsid w:val="006B29EB"/>
    <w:rsid w:val="006B3019"/>
    <w:rsid w:val="006B54B7"/>
    <w:rsid w:val="006B714A"/>
    <w:rsid w:val="006B7B5E"/>
    <w:rsid w:val="006B7ED0"/>
    <w:rsid w:val="006C0858"/>
    <w:rsid w:val="006C090A"/>
    <w:rsid w:val="006C41EA"/>
    <w:rsid w:val="006C46C6"/>
    <w:rsid w:val="006C5C20"/>
    <w:rsid w:val="006C603D"/>
    <w:rsid w:val="006C6805"/>
    <w:rsid w:val="006C6BEA"/>
    <w:rsid w:val="006C718B"/>
    <w:rsid w:val="006D09B8"/>
    <w:rsid w:val="006D0FAD"/>
    <w:rsid w:val="006D12D0"/>
    <w:rsid w:val="006D1317"/>
    <w:rsid w:val="006D17F8"/>
    <w:rsid w:val="006D185E"/>
    <w:rsid w:val="006D2B78"/>
    <w:rsid w:val="006D310D"/>
    <w:rsid w:val="006D452D"/>
    <w:rsid w:val="006D4AB3"/>
    <w:rsid w:val="006D5009"/>
    <w:rsid w:val="006D65D3"/>
    <w:rsid w:val="006E0525"/>
    <w:rsid w:val="006E0A09"/>
    <w:rsid w:val="006E0B75"/>
    <w:rsid w:val="006E0C45"/>
    <w:rsid w:val="006E0D0F"/>
    <w:rsid w:val="006E0F44"/>
    <w:rsid w:val="006E20C2"/>
    <w:rsid w:val="006E2128"/>
    <w:rsid w:val="006E33A8"/>
    <w:rsid w:val="006E34E3"/>
    <w:rsid w:val="006E368A"/>
    <w:rsid w:val="006E438A"/>
    <w:rsid w:val="006E6613"/>
    <w:rsid w:val="006E6A06"/>
    <w:rsid w:val="006E6A5A"/>
    <w:rsid w:val="006E6D5A"/>
    <w:rsid w:val="006E6D90"/>
    <w:rsid w:val="006E6E96"/>
    <w:rsid w:val="006E762A"/>
    <w:rsid w:val="006E77B3"/>
    <w:rsid w:val="006E7B37"/>
    <w:rsid w:val="006F1B99"/>
    <w:rsid w:val="006F1DFB"/>
    <w:rsid w:val="006F3366"/>
    <w:rsid w:val="006F3632"/>
    <w:rsid w:val="006F3830"/>
    <w:rsid w:val="006F3A32"/>
    <w:rsid w:val="006F3B95"/>
    <w:rsid w:val="006F4451"/>
    <w:rsid w:val="006F445E"/>
    <w:rsid w:val="006F49BA"/>
    <w:rsid w:val="006F52E1"/>
    <w:rsid w:val="006F5887"/>
    <w:rsid w:val="006F5935"/>
    <w:rsid w:val="006F5AC3"/>
    <w:rsid w:val="006F5FAC"/>
    <w:rsid w:val="006F6527"/>
    <w:rsid w:val="006F6C55"/>
    <w:rsid w:val="006F701B"/>
    <w:rsid w:val="006F768D"/>
    <w:rsid w:val="006F79AC"/>
    <w:rsid w:val="00700410"/>
    <w:rsid w:val="00701576"/>
    <w:rsid w:val="00701970"/>
    <w:rsid w:val="00701E18"/>
    <w:rsid w:val="00702359"/>
    <w:rsid w:val="0070291A"/>
    <w:rsid w:val="00703127"/>
    <w:rsid w:val="007044D0"/>
    <w:rsid w:val="00704AE0"/>
    <w:rsid w:val="00704D32"/>
    <w:rsid w:val="007052BA"/>
    <w:rsid w:val="007057CA"/>
    <w:rsid w:val="00705832"/>
    <w:rsid w:val="00705A46"/>
    <w:rsid w:val="00706400"/>
    <w:rsid w:val="00706E95"/>
    <w:rsid w:val="00706F34"/>
    <w:rsid w:val="00707155"/>
    <w:rsid w:val="00707239"/>
    <w:rsid w:val="00707669"/>
    <w:rsid w:val="007076C2"/>
    <w:rsid w:val="00707BF2"/>
    <w:rsid w:val="00707FC9"/>
    <w:rsid w:val="007101FC"/>
    <w:rsid w:val="007102D7"/>
    <w:rsid w:val="0071064C"/>
    <w:rsid w:val="0071085C"/>
    <w:rsid w:val="0071125C"/>
    <w:rsid w:val="007117B5"/>
    <w:rsid w:val="00711AB5"/>
    <w:rsid w:val="0071269F"/>
    <w:rsid w:val="00712832"/>
    <w:rsid w:val="00712A7B"/>
    <w:rsid w:val="007133F7"/>
    <w:rsid w:val="007139A6"/>
    <w:rsid w:val="00713A18"/>
    <w:rsid w:val="00713BBA"/>
    <w:rsid w:val="00714945"/>
    <w:rsid w:val="00714DEB"/>
    <w:rsid w:val="00715EFB"/>
    <w:rsid w:val="0071628C"/>
    <w:rsid w:val="00716771"/>
    <w:rsid w:val="00717AD5"/>
    <w:rsid w:val="00720580"/>
    <w:rsid w:val="007205BD"/>
    <w:rsid w:val="007207E6"/>
    <w:rsid w:val="00720801"/>
    <w:rsid w:val="007219D3"/>
    <w:rsid w:val="00721C1B"/>
    <w:rsid w:val="00721D6C"/>
    <w:rsid w:val="007230B9"/>
    <w:rsid w:val="007233D2"/>
    <w:rsid w:val="00723F3F"/>
    <w:rsid w:val="00724DFC"/>
    <w:rsid w:val="0072539D"/>
    <w:rsid w:val="007267B8"/>
    <w:rsid w:val="00726880"/>
    <w:rsid w:val="0072788E"/>
    <w:rsid w:val="00727CEC"/>
    <w:rsid w:val="00730EB3"/>
    <w:rsid w:val="00731C7D"/>
    <w:rsid w:val="0073267E"/>
    <w:rsid w:val="00732FB2"/>
    <w:rsid w:val="007336F4"/>
    <w:rsid w:val="007348A3"/>
    <w:rsid w:val="00734A8A"/>
    <w:rsid w:val="0073557E"/>
    <w:rsid w:val="007364EF"/>
    <w:rsid w:val="00736D85"/>
    <w:rsid w:val="00736EDB"/>
    <w:rsid w:val="007372B2"/>
    <w:rsid w:val="00737C22"/>
    <w:rsid w:val="00737D71"/>
    <w:rsid w:val="007404BA"/>
    <w:rsid w:val="007407D5"/>
    <w:rsid w:val="007409D7"/>
    <w:rsid w:val="00740C1C"/>
    <w:rsid w:val="00740FC5"/>
    <w:rsid w:val="0074150A"/>
    <w:rsid w:val="0074333D"/>
    <w:rsid w:val="007435FF"/>
    <w:rsid w:val="007436DB"/>
    <w:rsid w:val="0074371B"/>
    <w:rsid w:val="0074396A"/>
    <w:rsid w:val="00743B02"/>
    <w:rsid w:val="00744B2E"/>
    <w:rsid w:val="007456A0"/>
    <w:rsid w:val="00745E35"/>
    <w:rsid w:val="0074719D"/>
    <w:rsid w:val="007474B9"/>
    <w:rsid w:val="0074770E"/>
    <w:rsid w:val="00747C01"/>
    <w:rsid w:val="007509B9"/>
    <w:rsid w:val="00750BD5"/>
    <w:rsid w:val="00752AB4"/>
    <w:rsid w:val="00752BA5"/>
    <w:rsid w:val="007565B4"/>
    <w:rsid w:val="00756939"/>
    <w:rsid w:val="00756BC0"/>
    <w:rsid w:val="00756EEA"/>
    <w:rsid w:val="00757334"/>
    <w:rsid w:val="007575B8"/>
    <w:rsid w:val="00757C38"/>
    <w:rsid w:val="00760678"/>
    <w:rsid w:val="007616C4"/>
    <w:rsid w:val="007620B3"/>
    <w:rsid w:val="00765174"/>
    <w:rsid w:val="00765244"/>
    <w:rsid w:val="00765B98"/>
    <w:rsid w:val="00766BB8"/>
    <w:rsid w:val="00766EE5"/>
    <w:rsid w:val="00767527"/>
    <w:rsid w:val="007679DD"/>
    <w:rsid w:val="0077027C"/>
    <w:rsid w:val="00770578"/>
    <w:rsid w:val="00770E8D"/>
    <w:rsid w:val="007710F9"/>
    <w:rsid w:val="0077130E"/>
    <w:rsid w:val="00771906"/>
    <w:rsid w:val="00772CDC"/>
    <w:rsid w:val="007730C5"/>
    <w:rsid w:val="00773C8D"/>
    <w:rsid w:val="00773E45"/>
    <w:rsid w:val="00774137"/>
    <w:rsid w:val="00774A64"/>
    <w:rsid w:val="00774E72"/>
    <w:rsid w:val="00775575"/>
    <w:rsid w:val="00776A28"/>
    <w:rsid w:val="00777D36"/>
    <w:rsid w:val="00777EFB"/>
    <w:rsid w:val="007800E2"/>
    <w:rsid w:val="00780793"/>
    <w:rsid w:val="00780E5A"/>
    <w:rsid w:val="007814F0"/>
    <w:rsid w:val="00781911"/>
    <w:rsid w:val="007821D0"/>
    <w:rsid w:val="0078266B"/>
    <w:rsid w:val="007827F4"/>
    <w:rsid w:val="0078341F"/>
    <w:rsid w:val="00784832"/>
    <w:rsid w:val="007852B5"/>
    <w:rsid w:val="00785CDC"/>
    <w:rsid w:val="0079006C"/>
    <w:rsid w:val="0079017D"/>
    <w:rsid w:val="00790E6B"/>
    <w:rsid w:val="00792E70"/>
    <w:rsid w:val="00792FA5"/>
    <w:rsid w:val="007945B6"/>
    <w:rsid w:val="007958C8"/>
    <w:rsid w:val="00795E98"/>
    <w:rsid w:val="007977AC"/>
    <w:rsid w:val="007A0115"/>
    <w:rsid w:val="007A0286"/>
    <w:rsid w:val="007A0536"/>
    <w:rsid w:val="007A0FBC"/>
    <w:rsid w:val="007A16FE"/>
    <w:rsid w:val="007A2105"/>
    <w:rsid w:val="007A250B"/>
    <w:rsid w:val="007A27D5"/>
    <w:rsid w:val="007A396C"/>
    <w:rsid w:val="007A4EF6"/>
    <w:rsid w:val="007A5B47"/>
    <w:rsid w:val="007A6084"/>
    <w:rsid w:val="007A6981"/>
    <w:rsid w:val="007B171F"/>
    <w:rsid w:val="007B18C2"/>
    <w:rsid w:val="007B1B03"/>
    <w:rsid w:val="007B2090"/>
    <w:rsid w:val="007B2628"/>
    <w:rsid w:val="007B31C4"/>
    <w:rsid w:val="007B37A5"/>
    <w:rsid w:val="007B37EC"/>
    <w:rsid w:val="007B5ADB"/>
    <w:rsid w:val="007B6132"/>
    <w:rsid w:val="007B6BCA"/>
    <w:rsid w:val="007C089B"/>
    <w:rsid w:val="007C15E0"/>
    <w:rsid w:val="007C1E6D"/>
    <w:rsid w:val="007C1EF1"/>
    <w:rsid w:val="007C2233"/>
    <w:rsid w:val="007C39EE"/>
    <w:rsid w:val="007C47B9"/>
    <w:rsid w:val="007C5291"/>
    <w:rsid w:val="007C581A"/>
    <w:rsid w:val="007C5D74"/>
    <w:rsid w:val="007C6432"/>
    <w:rsid w:val="007C6991"/>
    <w:rsid w:val="007C6A55"/>
    <w:rsid w:val="007C6A70"/>
    <w:rsid w:val="007C70D5"/>
    <w:rsid w:val="007D00FF"/>
    <w:rsid w:val="007D035D"/>
    <w:rsid w:val="007D0E60"/>
    <w:rsid w:val="007D1437"/>
    <w:rsid w:val="007D1506"/>
    <w:rsid w:val="007D1A25"/>
    <w:rsid w:val="007D1A39"/>
    <w:rsid w:val="007D1B69"/>
    <w:rsid w:val="007D1C89"/>
    <w:rsid w:val="007D24BF"/>
    <w:rsid w:val="007D252C"/>
    <w:rsid w:val="007D2A46"/>
    <w:rsid w:val="007D2F60"/>
    <w:rsid w:val="007D32CD"/>
    <w:rsid w:val="007D4A8D"/>
    <w:rsid w:val="007D4AA9"/>
    <w:rsid w:val="007D4CD8"/>
    <w:rsid w:val="007D5909"/>
    <w:rsid w:val="007D660C"/>
    <w:rsid w:val="007D6916"/>
    <w:rsid w:val="007D6BC7"/>
    <w:rsid w:val="007D6D81"/>
    <w:rsid w:val="007D706A"/>
    <w:rsid w:val="007D7994"/>
    <w:rsid w:val="007E0121"/>
    <w:rsid w:val="007E03F7"/>
    <w:rsid w:val="007E0490"/>
    <w:rsid w:val="007E0C16"/>
    <w:rsid w:val="007E14A6"/>
    <w:rsid w:val="007E14C7"/>
    <w:rsid w:val="007E1686"/>
    <w:rsid w:val="007E2430"/>
    <w:rsid w:val="007E2F85"/>
    <w:rsid w:val="007E3035"/>
    <w:rsid w:val="007E40DC"/>
    <w:rsid w:val="007E41B6"/>
    <w:rsid w:val="007E4257"/>
    <w:rsid w:val="007E44F8"/>
    <w:rsid w:val="007E4950"/>
    <w:rsid w:val="007E4ACC"/>
    <w:rsid w:val="007E4C18"/>
    <w:rsid w:val="007E6C41"/>
    <w:rsid w:val="007E74CC"/>
    <w:rsid w:val="007E74F7"/>
    <w:rsid w:val="007E7730"/>
    <w:rsid w:val="007E7F54"/>
    <w:rsid w:val="007F06A3"/>
    <w:rsid w:val="007F06DF"/>
    <w:rsid w:val="007F13B3"/>
    <w:rsid w:val="007F2CE0"/>
    <w:rsid w:val="007F31E7"/>
    <w:rsid w:val="007F4367"/>
    <w:rsid w:val="007F43F4"/>
    <w:rsid w:val="007F525D"/>
    <w:rsid w:val="007F6355"/>
    <w:rsid w:val="007F66A6"/>
    <w:rsid w:val="007F6777"/>
    <w:rsid w:val="007F7442"/>
    <w:rsid w:val="007F7EA1"/>
    <w:rsid w:val="0080089E"/>
    <w:rsid w:val="00801889"/>
    <w:rsid w:val="00802728"/>
    <w:rsid w:val="00802F50"/>
    <w:rsid w:val="00803133"/>
    <w:rsid w:val="00803306"/>
    <w:rsid w:val="008044E1"/>
    <w:rsid w:val="00804552"/>
    <w:rsid w:val="00804D32"/>
    <w:rsid w:val="00804E11"/>
    <w:rsid w:val="00805B99"/>
    <w:rsid w:val="00805C22"/>
    <w:rsid w:val="00806296"/>
    <w:rsid w:val="008065E1"/>
    <w:rsid w:val="00806963"/>
    <w:rsid w:val="00806A9E"/>
    <w:rsid w:val="00806C68"/>
    <w:rsid w:val="008070DA"/>
    <w:rsid w:val="0080713C"/>
    <w:rsid w:val="00807AAB"/>
    <w:rsid w:val="00810459"/>
    <w:rsid w:val="008109DC"/>
    <w:rsid w:val="00811EFB"/>
    <w:rsid w:val="008133BE"/>
    <w:rsid w:val="008155DE"/>
    <w:rsid w:val="00815684"/>
    <w:rsid w:val="00815C9B"/>
    <w:rsid w:val="00815E9D"/>
    <w:rsid w:val="0081633F"/>
    <w:rsid w:val="008165B2"/>
    <w:rsid w:val="008172CC"/>
    <w:rsid w:val="008201A4"/>
    <w:rsid w:val="00820386"/>
    <w:rsid w:val="00822562"/>
    <w:rsid w:val="00823259"/>
    <w:rsid w:val="0082351F"/>
    <w:rsid w:val="00824645"/>
    <w:rsid w:val="0082508E"/>
    <w:rsid w:val="00825BB4"/>
    <w:rsid w:val="00825FF6"/>
    <w:rsid w:val="00826259"/>
    <w:rsid w:val="0082674B"/>
    <w:rsid w:val="00827FBC"/>
    <w:rsid w:val="008304F1"/>
    <w:rsid w:val="008305B7"/>
    <w:rsid w:val="008310A8"/>
    <w:rsid w:val="0083188D"/>
    <w:rsid w:val="00831B11"/>
    <w:rsid w:val="00831C53"/>
    <w:rsid w:val="00832BDD"/>
    <w:rsid w:val="00834946"/>
    <w:rsid w:val="008363B9"/>
    <w:rsid w:val="00836CB9"/>
    <w:rsid w:val="00837F4B"/>
    <w:rsid w:val="0084011B"/>
    <w:rsid w:val="00840171"/>
    <w:rsid w:val="008402DC"/>
    <w:rsid w:val="008403E9"/>
    <w:rsid w:val="0084121D"/>
    <w:rsid w:val="00841324"/>
    <w:rsid w:val="00841E29"/>
    <w:rsid w:val="0084229E"/>
    <w:rsid w:val="00842A22"/>
    <w:rsid w:val="008447AC"/>
    <w:rsid w:val="00847448"/>
    <w:rsid w:val="0084766F"/>
    <w:rsid w:val="00850DA6"/>
    <w:rsid w:val="008515D8"/>
    <w:rsid w:val="008521AB"/>
    <w:rsid w:val="00852C72"/>
    <w:rsid w:val="0085304F"/>
    <w:rsid w:val="00853B77"/>
    <w:rsid w:val="00854092"/>
    <w:rsid w:val="00854C0B"/>
    <w:rsid w:val="00854C2B"/>
    <w:rsid w:val="008557B4"/>
    <w:rsid w:val="008564D7"/>
    <w:rsid w:val="008572E8"/>
    <w:rsid w:val="008578F4"/>
    <w:rsid w:val="00857CEF"/>
    <w:rsid w:val="00857D67"/>
    <w:rsid w:val="008608EA"/>
    <w:rsid w:val="0086160D"/>
    <w:rsid w:val="008619CE"/>
    <w:rsid w:val="00862B7C"/>
    <w:rsid w:val="00863AE1"/>
    <w:rsid w:val="00863E2A"/>
    <w:rsid w:val="008641D5"/>
    <w:rsid w:val="0086551E"/>
    <w:rsid w:val="00865FBD"/>
    <w:rsid w:val="00866802"/>
    <w:rsid w:val="00866D44"/>
    <w:rsid w:val="00866D7A"/>
    <w:rsid w:val="00867127"/>
    <w:rsid w:val="008679B9"/>
    <w:rsid w:val="00870EAE"/>
    <w:rsid w:val="00871008"/>
    <w:rsid w:val="008715A1"/>
    <w:rsid w:val="008719EE"/>
    <w:rsid w:val="00871A5B"/>
    <w:rsid w:val="00872AF6"/>
    <w:rsid w:val="00873143"/>
    <w:rsid w:val="0087493A"/>
    <w:rsid w:val="00874CD5"/>
    <w:rsid w:val="00874EC6"/>
    <w:rsid w:val="00874FCE"/>
    <w:rsid w:val="00875370"/>
    <w:rsid w:val="00875548"/>
    <w:rsid w:val="0087593F"/>
    <w:rsid w:val="00876BE9"/>
    <w:rsid w:val="008801E6"/>
    <w:rsid w:val="00880522"/>
    <w:rsid w:val="00880592"/>
    <w:rsid w:val="0088103D"/>
    <w:rsid w:val="00881F5A"/>
    <w:rsid w:val="00882620"/>
    <w:rsid w:val="00882E3C"/>
    <w:rsid w:val="00883195"/>
    <w:rsid w:val="008836E2"/>
    <w:rsid w:val="00883C3E"/>
    <w:rsid w:val="00885A0F"/>
    <w:rsid w:val="00886114"/>
    <w:rsid w:val="008863B2"/>
    <w:rsid w:val="00887097"/>
    <w:rsid w:val="008872BA"/>
    <w:rsid w:val="00887725"/>
    <w:rsid w:val="00890006"/>
    <w:rsid w:val="0089037A"/>
    <w:rsid w:val="00890C42"/>
    <w:rsid w:val="00890CCF"/>
    <w:rsid w:val="00890F92"/>
    <w:rsid w:val="008916A2"/>
    <w:rsid w:val="00893093"/>
    <w:rsid w:val="008930E4"/>
    <w:rsid w:val="008933B7"/>
    <w:rsid w:val="0089440F"/>
    <w:rsid w:val="00895249"/>
    <w:rsid w:val="0089539A"/>
    <w:rsid w:val="00896360"/>
    <w:rsid w:val="00896F5B"/>
    <w:rsid w:val="008A02FE"/>
    <w:rsid w:val="008A0BBA"/>
    <w:rsid w:val="008A0BEE"/>
    <w:rsid w:val="008A1FAD"/>
    <w:rsid w:val="008A2AE0"/>
    <w:rsid w:val="008A320B"/>
    <w:rsid w:val="008A388D"/>
    <w:rsid w:val="008A3EEF"/>
    <w:rsid w:val="008A3F39"/>
    <w:rsid w:val="008A4023"/>
    <w:rsid w:val="008A49ED"/>
    <w:rsid w:val="008A5290"/>
    <w:rsid w:val="008A5472"/>
    <w:rsid w:val="008A65E7"/>
    <w:rsid w:val="008A6BB5"/>
    <w:rsid w:val="008A708E"/>
    <w:rsid w:val="008A7538"/>
    <w:rsid w:val="008A772F"/>
    <w:rsid w:val="008A7C49"/>
    <w:rsid w:val="008B0AF3"/>
    <w:rsid w:val="008B132C"/>
    <w:rsid w:val="008B14F7"/>
    <w:rsid w:val="008B1AAD"/>
    <w:rsid w:val="008B1D4A"/>
    <w:rsid w:val="008B3476"/>
    <w:rsid w:val="008B4F2F"/>
    <w:rsid w:val="008B69CA"/>
    <w:rsid w:val="008B6D27"/>
    <w:rsid w:val="008B7680"/>
    <w:rsid w:val="008B76C4"/>
    <w:rsid w:val="008B7B2D"/>
    <w:rsid w:val="008B7D8E"/>
    <w:rsid w:val="008B7F49"/>
    <w:rsid w:val="008C13CE"/>
    <w:rsid w:val="008C1551"/>
    <w:rsid w:val="008C1D9E"/>
    <w:rsid w:val="008C2913"/>
    <w:rsid w:val="008C2B97"/>
    <w:rsid w:val="008C33BD"/>
    <w:rsid w:val="008C39C5"/>
    <w:rsid w:val="008C3F31"/>
    <w:rsid w:val="008C41CE"/>
    <w:rsid w:val="008C4CC5"/>
    <w:rsid w:val="008C5F22"/>
    <w:rsid w:val="008C6DBA"/>
    <w:rsid w:val="008C70B2"/>
    <w:rsid w:val="008D0669"/>
    <w:rsid w:val="008D06D2"/>
    <w:rsid w:val="008D1732"/>
    <w:rsid w:val="008D2FB1"/>
    <w:rsid w:val="008D3E0A"/>
    <w:rsid w:val="008D4218"/>
    <w:rsid w:val="008D461F"/>
    <w:rsid w:val="008D4C32"/>
    <w:rsid w:val="008D58BC"/>
    <w:rsid w:val="008D5F7A"/>
    <w:rsid w:val="008D609C"/>
    <w:rsid w:val="008D675D"/>
    <w:rsid w:val="008D6E43"/>
    <w:rsid w:val="008D6F3C"/>
    <w:rsid w:val="008D71AC"/>
    <w:rsid w:val="008D7C71"/>
    <w:rsid w:val="008E046B"/>
    <w:rsid w:val="008E0531"/>
    <w:rsid w:val="008E2811"/>
    <w:rsid w:val="008E2A01"/>
    <w:rsid w:val="008E491A"/>
    <w:rsid w:val="008E4DAC"/>
    <w:rsid w:val="008E4FCC"/>
    <w:rsid w:val="008E528E"/>
    <w:rsid w:val="008E56AD"/>
    <w:rsid w:val="008E66A9"/>
    <w:rsid w:val="008E6F18"/>
    <w:rsid w:val="008E6FAE"/>
    <w:rsid w:val="008E7440"/>
    <w:rsid w:val="008E7B25"/>
    <w:rsid w:val="008E7B99"/>
    <w:rsid w:val="008F13AE"/>
    <w:rsid w:val="008F14F7"/>
    <w:rsid w:val="008F1772"/>
    <w:rsid w:val="008F1DD3"/>
    <w:rsid w:val="008F1E99"/>
    <w:rsid w:val="008F2197"/>
    <w:rsid w:val="008F2298"/>
    <w:rsid w:val="008F23DD"/>
    <w:rsid w:val="008F243E"/>
    <w:rsid w:val="008F28B7"/>
    <w:rsid w:val="008F2C83"/>
    <w:rsid w:val="008F2F14"/>
    <w:rsid w:val="008F476C"/>
    <w:rsid w:val="008F4E41"/>
    <w:rsid w:val="008F4F7C"/>
    <w:rsid w:val="008F5FA0"/>
    <w:rsid w:val="008F6B23"/>
    <w:rsid w:val="008F6E17"/>
    <w:rsid w:val="00900164"/>
    <w:rsid w:val="00900328"/>
    <w:rsid w:val="00900869"/>
    <w:rsid w:val="00901341"/>
    <w:rsid w:val="00901C0B"/>
    <w:rsid w:val="009025B1"/>
    <w:rsid w:val="00902CD8"/>
    <w:rsid w:val="00903F53"/>
    <w:rsid w:val="0090465D"/>
    <w:rsid w:val="0090478D"/>
    <w:rsid w:val="00904B1F"/>
    <w:rsid w:val="00904B55"/>
    <w:rsid w:val="009051DE"/>
    <w:rsid w:val="00905424"/>
    <w:rsid w:val="0090566D"/>
    <w:rsid w:val="0090645B"/>
    <w:rsid w:val="00906D4F"/>
    <w:rsid w:val="009070A7"/>
    <w:rsid w:val="0090718F"/>
    <w:rsid w:val="009073E4"/>
    <w:rsid w:val="00910237"/>
    <w:rsid w:val="009109D1"/>
    <w:rsid w:val="00910C53"/>
    <w:rsid w:val="0091148C"/>
    <w:rsid w:val="00912813"/>
    <w:rsid w:val="00912E16"/>
    <w:rsid w:val="00913BA9"/>
    <w:rsid w:val="00913BFB"/>
    <w:rsid w:val="00913C1F"/>
    <w:rsid w:val="009142CA"/>
    <w:rsid w:val="0091492C"/>
    <w:rsid w:val="00915288"/>
    <w:rsid w:val="009154E6"/>
    <w:rsid w:val="00915574"/>
    <w:rsid w:val="00916C22"/>
    <w:rsid w:val="009177DE"/>
    <w:rsid w:val="0091783A"/>
    <w:rsid w:val="00917AAA"/>
    <w:rsid w:val="0092003A"/>
    <w:rsid w:val="00922065"/>
    <w:rsid w:val="0092251E"/>
    <w:rsid w:val="00922579"/>
    <w:rsid w:val="00922FF6"/>
    <w:rsid w:val="00923735"/>
    <w:rsid w:val="0092428B"/>
    <w:rsid w:val="00924328"/>
    <w:rsid w:val="00924533"/>
    <w:rsid w:val="00924AB9"/>
    <w:rsid w:val="0092502B"/>
    <w:rsid w:val="009252F1"/>
    <w:rsid w:val="0092617E"/>
    <w:rsid w:val="0092665D"/>
    <w:rsid w:val="00926D85"/>
    <w:rsid w:val="00927232"/>
    <w:rsid w:val="0092730F"/>
    <w:rsid w:val="00927558"/>
    <w:rsid w:val="00927AAC"/>
    <w:rsid w:val="00927DFE"/>
    <w:rsid w:val="009300D0"/>
    <w:rsid w:val="00930E4A"/>
    <w:rsid w:val="00931039"/>
    <w:rsid w:val="009312B6"/>
    <w:rsid w:val="00933349"/>
    <w:rsid w:val="00933F77"/>
    <w:rsid w:val="0093450D"/>
    <w:rsid w:val="00934D0A"/>
    <w:rsid w:val="00934D8D"/>
    <w:rsid w:val="00934FBC"/>
    <w:rsid w:val="00935F0C"/>
    <w:rsid w:val="009366BB"/>
    <w:rsid w:val="00936FCF"/>
    <w:rsid w:val="00937D6F"/>
    <w:rsid w:val="00940325"/>
    <w:rsid w:val="009407FC"/>
    <w:rsid w:val="00940CE2"/>
    <w:rsid w:val="00940FDC"/>
    <w:rsid w:val="00942BCA"/>
    <w:rsid w:val="00943037"/>
    <w:rsid w:val="00944173"/>
    <w:rsid w:val="00944240"/>
    <w:rsid w:val="009447B4"/>
    <w:rsid w:val="00944A00"/>
    <w:rsid w:val="00944CED"/>
    <w:rsid w:val="00944E57"/>
    <w:rsid w:val="00946050"/>
    <w:rsid w:val="0094610D"/>
    <w:rsid w:val="00946F9E"/>
    <w:rsid w:val="0094732B"/>
    <w:rsid w:val="009475A8"/>
    <w:rsid w:val="00947B3B"/>
    <w:rsid w:val="009504ED"/>
    <w:rsid w:val="009505DE"/>
    <w:rsid w:val="009510D2"/>
    <w:rsid w:val="00951154"/>
    <w:rsid w:val="009516DE"/>
    <w:rsid w:val="00952222"/>
    <w:rsid w:val="009524BD"/>
    <w:rsid w:val="00952875"/>
    <w:rsid w:val="00952A48"/>
    <w:rsid w:val="00952B84"/>
    <w:rsid w:val="00953047"/>
    <w:rsid w:val="009539CE"/>
    <w:rsid w:val="00954338"/>
    <w:rsid w:val="00954C59"/>
    <w:rsid w:val="009552CA"/>
    <w:rsid w:val="009555B7"/>
    <w:rsid w:val="009560CF"/>
    <w:rsid w:val="0095627B"/>
    <w:rsid w:val="009604CC"/>
    <w:rsid w:val="0096056C"/>
    <w:rsid w:val="00960D5B"/>
    <w:rsid w:val="00961A11"/>
    <w:rsid w:val="00961BD0"/>
    <w:rsid w:val="00963064"/>
    <w:rsid w:val="00963820"/>
    <w:rsid w:val="00963C43"/>
    <w:rsid w:val="00963D1B"/>
    <w:rsid w:val="00963DF3"/>
    <w:rsid w:val="009652A9"/>
    <w:rsid w:val="00965793"/>
    <w:rsid w:val="00965EDD"/>
    <w:rsid w:val="00966152"/>
    <w:rsid w:val="00966965"/>
    <w:rsid w:val="00967F70"/>
    <w:rsid w:val="00970201"/>
    <w:rsid w:val="00970E82"/>
    <w:rsid w:val="009716AF"/>
    <w:rsid w:val="009720A3"/>
    <w:rsid w:val="009720DC"/>
    <w:rsid w:val="00972424"/>
    <w:rsid w:val="00972CEE"/>
    <w:rsid w:val="009733CA"/>
    <w:rsid w:val="0097409B"/>
    <w:rsid w:val="0097411D"/>
    <w:rsid w:val="009762EC"/>
    <w:rsid w:val="00976EC0"/>
    <w:rsid w:val="00977974"/>
    <w:rsid w:val="00980298"/>
    <w:rsid w:val="009803FF"/>
    <w:rsid w:val="0098056D"/>
    <w:rsid w:val="00980592"/>
    <w:rsid w:val="009809AE"/>
    <w:rsid w:val="009811C7"/>
    <w:rsid w:val="0098122C"/>
    <w:rsid w:val="009814AE"/>
    <w:rsid w:val="00984D71"/>
    <w:rsid w:val="009853B3"/>
    <w:rsid w:val="00985E5B"/>
    <w:rsid w:val="009861B8"/>
    <w:rsid w:val="0098621F"/>
    <w:rsid w:val="009904DC"/>
    <w:rsid w:val="00990A46"/>
    <w:rsid w:val="009910FE"/>
    <w:rsid w:val="0099185F"/>
    <w:rsid w:val="009918AC"/>
    <w:rsid w:val="00991C3A"/>
    <w:rsid w:val="009923F4"/>
    <w:rsid w:val="00992477"/>
    <w:rsid w:val="0099290C"/>
    <w:rsid w:val="00992D2B"/>
    <w:rsid w:val="00992D39"/>
    <w:rsid w:val="00992E9D"/>
    <w:rsid w:val="00994067"/>
    <w:rsid w:val="009944FD"/>
    <w:rsid w:val="00994578"/>
    <w:rsid w:val="00995159"/>
    <w:rsid w:val="0099515A"/>
    <w:rsid w:val="00995818"/>
    <w:rsid w:val="00995FCB"/>
    <w:rsid w:val="009967F7"/>
    <w:rsid w:val="00996A98"/>
    <w:rsid w:val="009973C8"/>
    <w:rsid w:val="009975BF"/>
    <w:rsid w:val="0099771C"/>
    <w:rsid w:val="009A080A"/>
    <w:rsid w:val="009A0C3B"/>
    <w:rsid w:val="009A18A4"/>
    <w:rsid w:val="009A2AF6"/>
    <w:rsid w:val="009A2EFE"/>
    <w:rsid w:val="009A322C"/>
    <w:rsid w:val="009A346D"/>
    <w:rsid w:val="009A3B9A"/>
    <w:rsid w:val="009A3E2D"/>
    <w:rsid w:val="009A45AF"/>
    <w:rsid w:val="009A4766"/>
    <w:rsid w:val="009A6A5E"/>
    <w:rsid w:val="009A7BA3"/>
    <w:rsid w:val="009B1369"/>
    <w:rsid w:val="009B17BD"/>
    <w:rsid w:val="009B1838"/>
    <w:rsid w:val="009B1F1F"/>
    <w:rsid w:val="009B3484"/>
    <w:rsid w:val="009B36C7"/>
    <w:rsid w:val="009B4701"/>
    <w:rsid w:val="009B497B"/>
    <w:rsid w:val="009B4C71"/>
    <w:rsid w:val="009B4E0D"/>
    <w:rsid w:val="009B534A"/>
    <w:rsid w:val="009B5840"/>
    <w:rsid w:val="009B704E"/>
    <w:rsid w:val="009B7300"/>
    <w:rsid w:val="009B74FA"/>
    <w:rsid w:val="009C04AA"/>
    <w:rsid w:val="009C0A48"/>
    <w:rsid w:val="009C0E44"/>
    <w:rsid w:val="009C1146"/>
    <w:rsid w:val="009C1A65"/>
    <w:rsid w:val="009C213D"/>
    <w:rsid w:val="009C2438"/>
    <w:rsid w:val="009C2BAD"/>
    <w:rsid w:val="009C2F31"/>
    <w:rsid w:val="009C6736"/>
    <w:rsid w:val="009C6F2F"/>
    <w:rsid w:val="009C703F"/>
    <w:rsid w:val="009C7787"/>
    <w:rsid w:val="009D038B"/>
    <w:rsid w:val="009D1087"/>
    <w:rsid w:val="009D284F"/>
    <w:rsid w:val="009D2C15"/>
    <w:rsid w:val="009D2DB5"/>
    <w:rsid w:val="009D4300"/>
    <w:rsid w:val="009D448C"/>
    <w:rsid w:val="009D4792"/>
    <w:rsid w:val="009D5A11"/>
    <w:rsid w:val="009D5E1D"/>
    <w:rsid w:val="009D685B"/>
    <w:rsid w:val="009D6936"/>
    <w:rsid w:val="009D6E8E"/>
    <w:rsid w:val="009D77D1"/>
    <w:rsid w:val="009E0182"/>
    <w:rsid w:val="009E067E"/>
    <w:rsid w:val="009E1068"/>
    <w:rsid w:val="009E175C"/>
    <w:rsid w:val="009E1EA8"/>
    <w:rsid w:val="009E53AC"/>
    <w:rsid w:val="009E5B90"/>
    <w:rsid w:val="009E6120"/>
    <w:rsid w:val="009E6B21"/>
    <w:rsid w:val="009E7659"/>
    <w:rsid w:val="009F038F"/>
    <w:rsid w:val="009F1903"/>
    <w:rsid w:val="009F21BD"/>
    <w:rsid w:val="009F2D98"/>
    <w:rsid w:val="009F43E1"/>
    <w:rsid w:val="009F446F"/>
    <w:rsid w:val="009F4BAC"/>
    <w:rsid w:val="009F4FFF"/>
    <w:rsid w:val="009F5195"/>
    <w:rsid w:val="009F557F"/>
    <w:rsid w:val="009F6118"/>
    <w:rsid w:val="009F61C6"/>
    <w:rsid w:val="009F66C7"/>
    <w:rsid w:val="009F727E"/>
    <w:rsid w:val="009F7A8C"/>
    <w:rsid w:val="00A00B60"/>
    <w:rsid w:val="00A01609"/>
    <w:rsid w:val="00A01727"/>
    <w:rsid w:val="00A01E4D"/>
    <w:rsid w:val="00A030D1"/>
    <w:rsid w:val="00A030F2"/>
    <w:rsid w:val="00A038BE"/>
    <w:rsid w:val="00A053CC"/>
    <w:rsid w:val="00A0627D"/>
    <w:rsid w:val="00A063D1"/>
    <w:rsid w:val="00A06684"/>
    <w:rsid w:val="00A068CA"/>
    <w:rsid w:val="00A06A65"/>
    <w:rsid w:val="00A113D1"/>
    <w:rsid w:val="00A1271E"/>
    <w:rsid w:val="00A12940"/>
    <w:rsid w:val="00A13282"/>
    <w:rsid w:val="00A13419"/>
    <w:rsid w:val="00A1450C"/>
    <w:rsid w:val="00A14518"/>
    <w:rsid w:val="00A15534"/>
    <w:rsid w:val="00A15DD6"/>
    <w:rsid w:val="00A16391"/>
    <w:rsid w:val="00A1650F"/>
    <w:rsid w:val="00A16BBD"/>
    <w:rsid w:val="00A17075"/>
    <w:rsid w:val="00A175AA"/>
    <w:rsid w:val="00A20E9B"/>
    <w:rsid w:val="00A21D09"/>
    <w:rsid w:val="00A22975"/>
    <w:rsid w:val="00A239A0"/>
    <w:rsid w:val="00A2459F"/>
    <w:rsid w:val="00A24B8A"/>
    <w:rsid w:val="00A26385"/>
    <w:rsid w:val="00A30BD2"/>
    <w:rsid w:val="00A30CB9"/>
    <w:rsid w:val="00A30F44"/>
    <w:rsid w:val="00A31C05"/>
    <w:rsid w:val="00A32575"/>
    <w:rsid w:val="00A32615"/>
    <w:rsid w:val="00A33878"/>
    <w:rsid w:val="00A33FCA"/>
    <w:rsid w:val="00A3432C"/>
    <w:rsid w:val="00A3435F"/>
    <w:rsid w:val="00A3489B"/>
    <w:rsid w:val="00A34EE7"/>
    <w:rsid w:val="00A35C33"/>
    <w:rsid w:val="00A360C0"/>
    <w:rsid w:val="00A37704"/>
    <w:rsid w:val="00A417B7"/>
    <w:rsid w:val="00A42173"/>
    <w:rsid w:val="00A427F6"/>
    <w:rsid w:val="00A42AC5"/>
    <w:rsid w:val="00A42D0F"/>
    <w:rsid w:val="00A42E42"/>
    <w:rsid w:val="00A431C5"/>
    <w:rsid w:val="00A432C1"/>
    <w:rsid w:val="00A440A8"/>
    <w:rsid w:val="00A44B1C"/>
    <w:rsid w:val="00A44E66"/>
    <w:rsid w:val="00A452E6"/>
    <w:rsid w:val="00A4586E"/>
    <w:rsid w:val="00A45971"/>
    <w:rsid w:val="00A4672E"/>
    <w:rsid w:val="00A46A88"/>
    <w:rsid w:val="00A476BA"/>
    <w:rsid w:val="00A47721"/>
    <w:rsid w:val="00A5066C"/>
    <w:rsid w:val="00A50C1B"/>
    <w:rsid w:val="00A51B32"/>
    <w:rsid w:val="00A5353B"/>
    <w:rsid w:val="00A548CB"/>
    <w:rsid w:val="00A54C41"/>
    <w:rsid w:val="00A550AB"/>
    <w:rsid w:val="00A55457"/>
    <w:rsid w:val="00A554EC"/>
    <w:rsid w:val="00A55B47"/>
    <w:rsid w:val="00A569B1"/>
    <w:rsid w:val="00A57030"/>
    <w:rsid w:val="00A57591"/>
    <w:rsid w:val="00A577FA"/>
    <w:rsid w:val="00A5795B"/>
    <w:rsid w:val="00A57F74"/>
    <w:rsid w:val="00A6195C"/>
    <w:rsid w:val="00A61ABA"/>
    <w:rsid w:val="00A6205F"/>
    <w:rsid w:val="00A62A50"/>
    <w:rsid w:val="00A62BA2"/>
    <w:rsid w:val="00A62BAB"/>
    <w:rsid w:val="00A62F07"/>
    <w:rsid w:val="00A63249"/>
    <w:rsid w:val="00A63446"/>
    <w:rsid w:val="00A63AD4"/>
    <w:rsid w:val="00A647C0"/>
    <w:rsid w:val="00A64EC4"/>
    <w:rsid w:val="00A652FC"/>
    <w:rsid w:val="00A655CE"/>
    <w:rsid w:val="00A66A08"/>
    <w:rsid w:val="00A66B8C"/>
    <w:rsid w:val="00A66D78"/>
    <w:rsid w:val="00A6701A"/>
    <w:rsid w:val="00A6787B"/>
    <w:rsid w:val="00A70020"/>
    <w:rsid w:val="00A70AB3"/>
    <w:rsid w:val="00A70BD6"/>
    <w:rsid w:val="00A70C67"/>
    <w:rsid w:val="00A70FBE"/>
    <w:rsid w:val="00A714E8"/>
    <w:rsid w:val="00A717D5"/>
    <w:rsid w:val="00A719DD"/>
    <w:rsid w:val="00A71B6E"/>
    <w:rsid w:val="00A7254D"/>
    <w:rsid w:val="00A73191"/>
    <w:rsid w:val="00A7320F"/>
    <w:rsid w:val="00A736D4"/>
    <w:rsid w:val="00A746DE"/>
    <w:rsid w:val="00A74D4B"/>
    <w:rsid w:val="00A77A3F"/>
    <w:rsid w:val="00A81287"/>
    <w:rsid w:val="00A82603"/>
    <w:rsid w:val="00A828C3"/>
    <w:rsid w:val="00A829D2"/>
    <w:rsid w:val="00A83106"/>
    <w:rsid w:val="00A8331C"/>
    <w:rsid w:val="00A836E5"/>
    <w:rsid w:val="00A8375A"/>
    <w:rsid w:val="00A83AAB"/>
    <w:rsid w:val="00A83AE4"/>
    <w:rsid w:val="00A85336"/>
    <w:rsid w:val="00A85C4E"/>
    <w:rsid w:val="00A86317"/>
    <w:rsid w:val="00A902D8"/>
    <w:rsid w:val="00A92955"/>
    <w:rsid w:val="00A9343F"/>
    <w:rsid w:val="00A93E25"/>
    <w:rsid w:val="00A944BC"/>
    <w:rsid w:val="00A949AA"/>
    <w:rsid w:val="00A95FED"/>
    <w:rsid w:val="00A96007"/>
    <w:rsid w:val="00A9668A"/>
    <w:rsid w:val="00A96993"/>
    <w:rsid w:val="00A969C5"/>
    <w:rsid w:val="00A970DE"/>
    <w:rsid w:val="00AA0778"/>
    <w:rsid w:val="00AA0A13"/>
    <w:rsid w:val="00AA0CB3"/>
    <w:rsid w:val="00AA19DC"/>
    <w:rsid w:val="00AA1E14"/>
    <w:rsid w:val="00AA1F5F"/>
    <w:rsid w:val="00AA2B01"/>
    <w:rsid w:val="00AA32A8"/>
    <w:rsid w:val="00AA34E6"/>
    <w:rsid w:val="00AA3B2B"/>
    <w:rsid w:val="00AA400C"/>
    <w:rsid w:val="00AA4A1C"/>
    <w:rsid w:val="00AA4A1E"/>
    <w:rsid w:val="00AA4CDC"/>
    <w:rsid w:val="00AA51DC"/>
    <w:rsid w:val="00AA522D"/>
    <w:rsid w:val="00AA52C5"/>
    <w:rsid w:val="00AA550A"/>
    <w:rsid w:val="00AA5CE5"/>
    <w:rsid w:val="00AA746B"/>
    <w:rsid w:val="00AA7635"/>
    <w:rsid w:val="00AA7E1E"/>
    <w:rsid w:val="00AB0289"/>
    <w:rsid w:val="00AB02E6"/>
    <w:rsid w:val="00AB0391"/>
    <w:rsid w:val="00AB0885"/>
    <w:rsid w:val="00AB0F80"/>
    <w:rsid w:val="00AB2361"/>
    <w:rsid w:val="00AB2687"/>
    <w:rsid w:val="00AB2AD1"/>
    <w:rsid w:val="00AB2AE0"/>
    <w:rsid w:val="00AB2BB7"/>
    <w:rsid w:val="00AB2CE8"/>
    <w:rsid w:val="00AB339B"/>
    <w:rsid w:val="00AB378C"/>
    <w:rsid w:val="00AB402C"/>
    <w:rsid w:val="00AB4138"/>
    <w:rsid w:val="00AB46D1"/>
    <w:rsid w:val="00AB46FA"/>
    <w:rsid w:val="00AB57C8"/>
    <w:rsid w:val="00AB57DF"/>
    <w:rsid w:val="00AB608E"/>
    <w:rsid w:val="00AB63FE"/>
    <w:rsid w:val="00AB7EC9"/>
    <w:rsid w:val="00AC137C"/>
    <w:rsid w:val="00AC1955"/>
    <w:rsid w:val="00AC219B"/>
    <w:rsid w:val="00AC2354"/>
    <w:rsid w:val="00AC29A2"/>
    <w:rsid w:val="00AC34DC"/>
    <w:rsid w:val="00AC367C"/>
    <w:rsid w:val="00AC36DE"/>
    <w:rsid w:val="00AC37B2"/>
    <w:rsid w:val="00AC3810"/>
    <w:rsid w:val="00AC4662"/>
    <w:rsid w:val="00AC484E"/>
    <w:rsid w:val="00AC4A0B"/>
    <w:rsid w:val="00AC6CDF"/>
    <w:rsid w:val="00AC7380"/>
    <w:rsid w:val="00AD00AC"/>
    <w:rsid w:val="00AD0ACB"/>
    <w:rsid w:val="00AD0EAD"/>
    <w:rsid w:val="00AD17CE"/>
    <w:rsid w:val="00AD1BC5"/>
    <w:rsid w:val="00AD22AA"/>
    <w:rsid w:val="00AD23FC"/>
    <w:rsid w:val="00AD370D"/>
    <w:rsid w:val="00AD3F98"/>
    <w:rsid w:val="00AD4BB0"/>
    <w:rsid w:val="00AD563E"/>
    <w:rsid w:val="00AD6111"/>
    <w:rsid w:val="00AD6267"/>
    <w:rsid w:val="00AD7890"/>
    <w:rsid w:val="00AD7BBF"/>
    <w:rsid w:val="00AD7DE7"/>
    <w:rsid w:val="00AE0426"/>
    <w:rsid w:val="00AE09E2"/>
    <w:rsid w:val="00AE1E7A"/>
    <w:rsid w:val="00AE209F"/>
    <w:rsid w:val="00AE33AB"/>
    <w:rsid w:val="00AE3B53"/>
    <w:rsid w:val="00AE4B47"/>
    <w:rsid w:val="00AE589F"/>
    <w:rsid w:val="00AF0A8F"/>
    <w:rsid w:val="00AF249B"/>
    <w:rsid w:val="00AF2DD6"/>
    <w:rsid w:val="00AF37FA"/>
    <w:rsid w:val="00AF41BF"/>
    <w:rsid w:val="00AF5309"/>
    <w:rsid w:val="00AF5BD3"/>
    <w:rsid w:val="00AF60B9"/>
    <w:rsid w:val="00AF6A09"/>
    <w:rsid w:val="00AF7D1D"/>
    <w:rsid w:val="00AF7D7F"/>
    <w:rsid w:val="00AF7DC6"/>
    <w:rsid w:val="00AF7F12"/>
    <w:rsid w:val="00B00653"/>
    <w:rsid w:val="00B00C67"/>
    <w:rsid w:val="00B00CF8"/>
    <w:rsid w:val="00B01156"/>
    <w:rsid w:val="00B0143F"/>
    <w:rsid w:val="00B01B42"/>
    <w:rsid w:val="00B02583"/>
    <w:rsid w:val="00B03405"/>
    <w:rsid w:val="00B04630"/>
    <w:rsid w:val="00B0479A"/>
    <w:rsid w:val="00B054C3"/>
    <w:rsid w:val="00B057A8"/>
    <w:rsid w:val="00B05B14"/>
    <w:rsid w:val="00B063FF"/>
    <w:rsid w:val="00B073BC"/>
    <w:rsid w:val="00B07AD0"/>
    <w:rsid w:val="00B1051D"/>
    <w:rsid w:val="00B11673"/>
    <w:rsid w:val="00B11C80"/>
    <w:rsid w:val="00B12A8D"/>
    <w:rsid w:val="00B12D96"/>
    <w:rsid w:val="00B1308A"/>
    <w:rsid w:val="00B131F0"/>
    <w:rsid w:val="00B13B15"/>
    <w:rsid w:val="00B13F7C"/>
    <w:rsid w:val="00B14297"/>
    <w:rsid w:val="00B1450E"/>
    <w:rsid w:val="00B14891"/>
    <w:rsid w:val="00B155CA"/>
    <w:rsid w:val="00B15EF3"/>
    <w:rsid w:val="00B15F47"/>
    <w:rsid w:val="00B165D8"/>
    <w:rsid w:val="00B16A80"/>
    <w:rsid w:val="00B17D66"/>
    <w:rsid w:val="00B20405"/>
    <w:rsid w:val="00B20F09"/>
    <w:rsid w:val="00B20F88"/>
    <w:rsid w:val="00B21F6C"/>
    <w:rsid w:val="00B22AA7"/>
    <w:rsid w:val="00B2326A"/>
    <w:rsid w:val="00B232E5"/>
    <w:rsid w:val="00B2340C"/>
    <w:rsid w:val="00B2365A"/>
    <w:rsid w:val="00B23C2E"/>
    <w:rsid w:val="00B245E2"/>
    <w:rsid w:val="00B24DA6"/>
    <w:rsid w:val="00B2561E"/>
    <w:rsid w:val="00B25855"/>
    <w:rsid w:val="00B26648"/>
    <w:rsid w:val="00B26A90"/>
    <w:rsid w:val="00B272E5"/>
    <w:rsid w:val="00B2792A"/>
    <w:rsid w:val="00B31926"/>
    <w:rsid w:val="00B31AB2"/>
    <w:rsid w:val="00B328F4"/>
    <w:rsid w:val="00B3294B"/>
    <w:rsid w:val="00B33125"/>
    <w:rsid w:val="00B3450B"/>
    <w:rsid w:val="00B3489B"/>
    <w:rsid w:val="00B3495E"/>
    <w:rsid w:val="00B34F1A"/>
    <w:rsid w:val="00B353DA"/>
    <w:rsid w:val="00B35CE9"/>
    <w:rsid w:val="00B3795E"/>
    <w:rsid w:val="00B4000F"/>
    <w:rsid w:val="00B40640"/>
    <w:rsid w:val="00B415E0"/>
    <w:rsid w:val="00B41CE9"/>
    <w:rsid w:val="00B42265"/>
    <w:rsid w:val="00B42659"/>
    <w:rsid w:val="00B430F4"/>
    <w:rsid w:val="00B432C9"/>
    <w:rsid w:val="00B434E4"/>
    <w:rsid w:val="00B43562"/>
    <w:rsid w:val="00B45DAB"/>
    <w:rsid w:val="00B464F8"/>
    <w:rsid w:val="00B467DB"/>
    <w:rsid w:val="00B4697B"/>
    <w:rsid w:val="00B46ADA"/>
    <w:rsid w:val="00B50C86"/>
    <w:rsid w:val="00B51F01"/>
    <w:rsid w:val="00B531EF"/>
    <w:rsid w:val="00B53783"/>
    <w:rsid w:val="00B5530A"/>
    <w:rsid w:val="00B56CD3"/>
    <w:rsid w:val="00B56E13"/>
    <w:rsid w:val="00B57530"/>
    <w:rsid w:val="00B57BB9"/>
    <w:rsid w:val="00B61ADC"/>
    <w:rsid w:val="00B61C4C"/>
    <w:rsid w:val="00B61F24"/>
    <w:rsid w:val="00B61F59"/>
    <w:rsid w:val="00B63273"/>
    <w:rsid w:val="00B633FD"/>
    <w:rsid w:val="00B64C0A"/>
    <w:rsid w:val="00B6527C"/>
    <w:rsid w:val="00B6539C"/>
    <w:rsid w:val="00B66227"/>
    <w:rsid w:val="00B663D8"/>
    <w:rsid w:val="00B672FB"/>
    <w:rsid w:val="00B67CF7"/>
    <w:rsid w:val="00B67FA8"/>
    <w:rsid w:val="00B70008"/>
    <w:rsid w:val="00B7037B"/>
    <w:rsid w:val="00B70657"/>
    <w:rsid w:val="00B70918"/>
    <w:rsid w:val="00B70BBC"/>
    <w:rsid w:val="00B70C14"/>
    <w:rsid w:val="00B715C5"/>
    <w:rsid w:val="00B718BC"/>
    <w:rsid w:val="00B726B6"/>
    <w:rsid w:val="00B72E6B"/>
    <w:rsid w:val="00B73B95"/>
    <w:rsid w:val="00B7409D"/>
    <w:rsid w:val="00B75B10"/>
    <w:rsid w:val="00B75C7B"/>
    <w:rsid w:val="00B75D33"/>
    <w:rsid w:val="00B7664C"/>
    <w:rsid w:val="00B76727"/>
    <w:rsid w:val="00B76FE4"/>
    <w:rsid w:val="00B8179C"/>
    <w:rsid w:val="00B81A07"/>
    <w:rsid w:val="00B81B67"/>
    <w:rsid w:val="00B81D76"/>
    <w:rsid w:val="00B81DFE"/>
    <w:rsid w:val="00B81FE7"/>
    <w:rsid w:val="00B82263"/>
    <w:rsid w:val="00B82601"/>
    <w:rsid w:val="00B8262F"/>
    <w:rsid w:val="00B83136"/>
    <w:rsid w:val="00B832A2"/>
    <w:rsid w:val="00B83AF3"/>
    <w:rsid w:val="00B83B20"/>
    <w:rsid w:val="00B842C2"/>
    <w:rsid w:val="00B84955"/>
    <w:rsid w:val="00B85484"/>
    <w:rsid w:val="00B85D91"/>
    <w:rsid w:val="00B860AC"/>
    <w:rsid w:val="00B87128"/>
    <w:rsid w:val="00B87DA5"/>
    <w:rsid w:val="00B906A6"/>
    <w:rsid w:val="00B9083D"/>
    <w:rsid w:val="00B9088D"/>
    <w:rsid w:val="00B913F2"/>
    <w:rsid w:val="00B917C1"/>
    <w:rsid w:val="00B91C33"/>
    <w:rsid w:val="00B9217B"/>
    <w:rsid w:val="00B926FA"/>
    <w:rsid w:val="00B92EEB"/>
    <w:rsid w:val="00B93100"/>
    <w:rsid w:val="00B938E2"/>
    <w:rsid w:val="00B9535B"/>
    <w:rsid w:val="00B953B7"/>
    <w:rsid w:val="00B95FA0"/>
    <w:rsid w:val="00B95FA9"/>
    <w:rsid w:val="00B9609B"/>
    <w:rsid w:val="00B96DFE"/>
    <w:rsid w:val="00B97B65"/>
    <w:rsid w:val="00B97E3F"/>
    <w:rsid w:val="00BA0A9C"/>
    <w:rsid w:val="00BA0C3B"/>
    <w:rsid w:val="00BA0E56"/>
    <w:rsid w:val="00BA0F2E"/>
    <w:rsid w:val="00BA1255"/>
    <w:rsid w:val="00BA1373"/>
    <w:rsid w:val="00BA13D4"/>
    <w:rsid w:val="00BA1626"/>
    <w:rsid w:val="00BA2F03"/>
    <w:rsid w:val="00BA3594"/>
    <w:rsid w:val="00BA3A56"/>
    <w:rsid w:val="00BA41EC"/>
    <w:rsid w:val="00BA45F7"/>
    <w:rsid w:val="00BA4A16"/>
    <w:rsid w:val="00BA4A8D"/>
    <w:rsid w:val="00BA50E5"/>
    <w:rsid w:val="00BA59D2"/>
    <w:rsid w:val="00BA5EDF"/>
    <w:rsid w:val="00BA5FDF"/>
    <w:rsid w:val="00BA680C"/>
    <w:rsid w:val="00BA72DF"/>
    <w:rsid w:val="00BA74E4"/>
    <w:rsid w:val="00BA7AD8"/>
    <w:rsid w:val="00BB0199"/>
    <w:rsid w:val="00BB0F10"/>
    <w:rsid w:val="00BB19D6"/>
    <w:rsid w:val="00BB1D7D"/>
    <w:rsid w:val="00BB1FAD"/>
    <w:rsid w:val="00BB3885"/>
    <w:rsid w:val="00BB3D55"/>
    <w:rsid w:val="00BB4145"/>
    <w:rsid w:val="00BB4655"/>
    <w:rsid w:val="00BB4E62"/>
    <w:rsid w:val="00BB51DA"/>
    <w:rsid w:val="00BB5906"/>
    <w:rsid w:val="00BB5FFE"/>
    <w:rsid w:val="00BB6055"/>
    <w:rsid w:val="00BB7672"/>
    <w:rsid w:val="00BB7D44"/>
    <w:rsid w:val="00BB7E63"/>
    <w:rsid w:val="00BC040A"/>
    <w:rsid w:val="00BC0D4C"/>
    <w:rsid w:val="00BC25E5"/>
    <w:rsid w:val="00BC3025"/>
    <w:rsid w:val="00BC3B50"/>
    <w:rsid w:val="00BC3F78"/>
    <w:rsid w:val="00BC4447"/>
    <w:rsid w:val="00BC4452"/>
    <w:rsid w:val="00BC4603"/>
    <w:rsid w:val="00BC48E8"/>
    <w:rsid w:val="00BC5895"/>
    <w:rsid w:val="00BC5F7C"/>
    <w:rsid w:val="00BC626A"/>
    <w:rsid w:val="00BC6A35"/>
    <w:rsid w:val="00BC7604"/>
    <w:rsid w:val="00BC7771"/>
    <w:rsid w:val="00BC7F03"/>
    <w:rsid w:val="00BD035F"/>
    <w:rsid w:val="00BD0D6D"/>
    <w:rsid w:val="00BD1199"/>
    <w:rsid w:val="00BD1AAE"/>
    <w:rsid w:val="00BD1EDA"/>
    <w:rsid w:val="00BD22F1"/>
    <w:rsid w:val="00BD4669"/>
    <w:rsid w:val="00BD486E"/>
    <w:rsid w:val="00BD65E2"/>
    <w:rsid w:val="00BD6610"/>
    <w:rsid w:val="00BD66FC"/>
    <w:rsid w:val="00BD7682"/>
    <w:rsid w:val="00BD7CAD"/>
    <w:rsid w:val="00BE06A3"/>
    <w:rsid w:val="00BE0D6F"/>
    <w:rsid w:val="00BE1C11"/>
    <w:rsid w:val="00BE25E8"/>
    <w:rsid w:val="00BE28EA"/>
    <w:rsid w:val="00BE30EA"/>
    <w:rsid w:val="00BE320C"/>
    <w:rsid w:val="00BE36B2"/>
    <w:rsid w:val="00BE3818"/>
    <w:rsid w:val="00BE608E"/>
    <w:rsid w:val="00BE7C0D"/>
    <w:rsid w:val="00BF0075"/>
    <w:rsid w:val="00BF051A"/>
    <w:rsid w:val="00BF1EF4"/>
    <w:rsid w:val="00BF3997"/>
    <w:rsid w:val="00BF3C80"/>
    <w:rsid w:val="00BF3CA2"/>
    <w:rsid w:val="00BF3EAC"/>
    <w:rsid w:val="00BF415D"/>
    <w:rsid w:val="00BF4445"/>
    <w:rsid w:val="00BF4C8B"/>
    <w:rsid w:val="00BF4D04"/>
    <w:rsid w:val="00BF4E56"/>
    <w:rsid w:val="00BF6061"/>
    <w:rsid w:val="00BF626A"/>
    <w:rsid w:val="00BF724B"/>
    <w:rsid w:val="00BF7A84"/>
    <w:rsid w:val="00BF7C90"/>
    <w:rsid w:val="00C004DE"/>
    <w:rsid w:val="00C00B2E"/>
    <w:rsid w:val="00C00D46"/>
    <w:rsid w:val="00C00F1D"/>
    <w:rsid w:val="00C014CE"/>
    <w:rsid w:val="00C01E45"/>
    <w:rsid w:val="00C01FD1"/>
    <w:rsid w:val="00C026CD"/>
    <w:rsid w:val="00C0277B"/>
    <w:rsid w:val="00C02A57"/>
    <w:rsid w:val="00C03E9F"/>
    <w:rsid w:val="00C043FA"/>
    <w:rsid w:val="00C047EA"/>
    <w:rsid w:val="00C04B59"/>
    <w:rsid w:val="00C04BF6"/>
    <w:rsid w:val="00C04EB2"/>
    <w:rsid w:val="00C04F52"/>
    <w:rsid w:val="00C06F45"/>
    <w:rsid w:val="00C06F7E"/>
    <w:rsid w:val="00C10017"/>
    <w:rsid w:val="00C1009F"/>
    <w:rsid w:val="00C103EF"/>
    <w:rsid w:val="00C10980"/>
    <w:rsid w:val="00C12E89"/>
    <w:rsid w:val="00C1601A"/>
    <w:rsid w:val="00C16A0A"/>
    <w:rsid w:val="00C16C49"/>
    <w:rsid w:val="00C173E3"/>
    <w:rsid w:val="00C17560"/>
    <w:rsid w:val="00C1773F"/>
    <w:rsid w:val="00C20B87"/>
    <w:rsid w:val="00C2104B"/>
    <w:rsid w:val="00C21520"/>
    <w:rsid w:val="00C21A4D"/>
    <w:rsid w:val="00C21FEF"/>
    <w:rsid w:val="00C2292B"/>
    <w:rsid w:val="00C22B1F"/>
    <w:rsid w:val="00C22F7A"/>
    <w:rsid w:val="00C2317D"/>
    <w:rsid w:val="00C232C8"/>
    <w:rsid w:val="00C23A45"/>
    <w:rsid w:val="00C2414F"/>
    <w:rsid w:val="00C248F2"/>
    <w:rsid w:val="00C24CF2"/>
    <w:rsid w:val="00C25250"/>
    <w:rsid w:val="00C2592C"/>
    <w:rsid w:val="00C25EC4"/>
    <w:rsid w:val="00C2757E"/>
    <w:rsid w:val="00C27A95"/>
    <w:rsid w:val="00C30081"/>
    <w:rsid w:val="00C305E8"/>
    <w:rsid w:val="00C31C36"/>
    <w:rsid w:val="00C31D94"/>
    <w:rsid w:val="00C32493"/>
    <w:rsid w:val="00C32B07"/>
    <w:rsid w:val="00C3327F"/>
    <w:rsid w:val="00C33AA2"/>
    <w:rsid w:val="00C33D11"/>
    <w:rsid w:val="00C33D19"/>
    <w:rsid w:val="00C34B23"/>
    <w:rsid w:val="00C3603E"/>
    <w:rsid w:val="00C363EF"/>
    <w:rsid w:val="00C36A6B"/>
    <w:rsid w:val="00C373DD"/>
    <w:rsid w:val="00C37DC9"/>
    <w:rsid w:val="00C37E57"/>
    <w:rsid w:val="00C40289"/>
    <w:rsid w:val="00C408AD"/>
    <w:rsid w:val="00C40E69"/>
    <w:rsid w:val="00C41236"/>
    <w:rsid w:val="00C413E5"/>
    <w:rsid w:val="00C42C0E"/>
    <w:rsid w:val="00C4302A"/>
    <w:rsid w:val="00C43105"/>
    <w:rsid w:val="00C436B1"/>
    <w:rsid w:val="00C43E3D"/>
    <w:rsid w:val="00C449DC"/>
    <w:rsid w:val="00C457F7"/>
    <w:rsid w:val="00C45C80"/>
    <w:rsid w:val="00C466B4"/>
    <w:rsid w:val="00C46DA0"/>
    <w:rsid w:val="00C476FD"/>
    <w:rsid w:val="00C50A15"/>
    <w:rsid w:val="00C50E17"/>
    <w:rsid w:val="00C51A48"/>
    <w:rsid w:val="00C52836"/>
    <w:rsid w:val="00C53A42"/>
    <w:rsid w:val="00C540F5"/>
    <w:rsid w:val="00C54A15"/>
    <w:rsid w:val="00C55A41"/>
    <w:rsid w:val="00C57034"/>
    <w:rsid w:val="00C60FED"/>
    <w:rsid w:val="00C61E94"/>
    <w:rsid w:val="00C626EC"/>
    <w:rsid w:val="00C62B99"/>
    <w:rsid w:val="00C64F04"/>
    <w:rsid w:val="00C65D15"/>
    <w:rsid w:val="00C65F07"/>
    <w:rsid w:val="00C66031"/>
    <w:rsid w:val="00C67917"/>
    <w:rsid w:val="00C70F92"/>
    <w:rsid w:val="00C72644"/>
    <w:rsid w:val="00C72989"/>
    <w:rsid w:val="00C738D7"/>
    <w:rsid w:val="00C73AE1"/>
    <w:rsid w:val="00C747C3"/>
    <w:rsid w:val="00C75374"/>
    <w:rsid w:val="00C75592"/>
    <w:rsid w:val="00C76560"/>
    <w:rsid w:val="00C76BB7"/>
    <w:rsid w:val="00C778DC"/>
    <w:rsid w:val="00C80725"/>
    <w:rsid w:val="00C80EE2"/>
    <w:rsid w:val="00C820F4"/>
    <w:rsid w:val="00C823C0"/>
    <w:rsid w:val="00C8275D"/>
    <w:rsid w:val="00C82CD2"/>
    <w:rsid w:val="00C830E3"/>
    <w:rsid w:val="00C845DC"/>
    <w:rsid w:val="00C849B3"/>
    <w:rsid w:val="00C84BC2"/>
    <w:rsid w:val="00C85F21"/>
    <w:rsid w:val="00C86618"/>
    <w:rsid w:val="00C86C32"/>
    <w:rsid w:val="00C86CF0"/>
    <w:rsid w:val="00C90079"/>
    <w:rsid w:val="00C90971"/>
    <w:rsid w:val="00C92038"/>
    <w:rsid w:val="00C92AB8"/>
    <w:rsid w:val="00C92F07"/>
    <w:rsid w:val="00C939BC"/>
    <w:rsid w:val="00C94F00"/>
    <w:rsid w:val="00C95060"/>
    <w:rsid w:val="00C950F3"/>
    <w:rsid w:val="00C95849"/>
    <w:rsid w:val="00C960CC"/>
    <w:rsid w:val="00C962E4"/>
    <w:rsid w:val="00C96B66"/>
    <w:rsid w:val="00C97482"/>
    <w:rsid w:val="00C97776"/>
    <w:rsid w:val="00C978B3"/>
    <w:rsid w:val="00C97CA9"/>
    <w:rsid w:val="00CA06CB"/>
    <w:rsid w:val="00CA09C3"/>
    <w:rsid w:val="00CA0E1D"/>
    <w:rsid w:val="00CA1F14"/>
    <w:rsid w:val="00CA2D65"/>
    <w:rsid w:val="00CA2DFA"/>
    <w:rsid w:val="00CA3E56"/>
    <w:rsid w:val="00CA555A"/>
    <w:rsid w:val="00CA5B4B"/>
    <w:rsid w:val="00CA632E"/>
    <w:rsid w:val="00CA760D"/>
    <w:rsid w:val="00CB0CBB"/>
    <w:rsid w:val="00CB115B"/>
    <w:rsid w:val="00CB11C3"/>
    <w:rsid w:val="00CB2045"/>
    <w:rsid w:val="00CB2295"/>
    <w:rsid w:val="00CB2849"/>
    <w:rsid w:val="00CB2E93"/>
    <w:rsid w:val="00CB332B"/>
    <w:rsid w:val="00CB5898"/>
    <w:rsid w:val="00CB6395"/>
    <w:rsid w:val="00CB6C80"/>
    <w:rsid w:val="00CC04D0"/>
    <w:rsid w:val="00CC0644"/>
    <w:rsid w:val="00CC0FF5"/>
    <w:rsid w:val="00CC164B"/>
    <w:rsid w:val="00CC192D"/>
    <w:rsid w:val="00CC1DBB"/>
    <w:rsid w:val="00CC1EB3"/>
    <w:rsid w:val="00CC237F"/>
    <w:rsid w:val="00CC4E41"/>
    <w:rsid w:val="00CC4E6B"/>
    <w:rsid w:val="00CC518B"/>
    <w:rsid w:val="00CC54C5"/>
    <w:rsid w:val="00CC5642"/>
    <w:rsid w:val="00CC61BF"/>
    <w:rsid w:val="00CC688B"/>
    <w:rsid w:val="00CC735F"/>
    <w:rsid w:val="00CD017F"/>
    <w:rsid w:val="00CD08CD"/>
    <w:rsid w:val="00CD1B63"/>
    <w:rsid w:val="00CD403E"/>
    <w:rsid w:val="00CD54C8"/>
    <w:rsid w:val="00CD55BC"/>
    <w:rsid w:val="00CD5D2D"/>
    <w:rsid w:val="00CD6027"/>
    <w:rsid w:val="00CD658E"/>
    <w:rsid w:val="00CD662D"/>
    <w:rsid w:val="00CD693D"/>
    <w:rsid w:val="00CD6F72"/>
    <w:rsid w:val="00CE17CF"/>
    <w:rsid w:val="00CE2855"/>
    <w:rsid w:val="00CE28C2"/>
    <w:rsid w:val="00CE293A"/>
    <w:rsid w:val="00CE294A"/>
    <w:rsid w:val="00CE29F8"/>
    <w:rsid w:val="00CE2DB8"/>
    <w:rsid w:val="00CE366E"/>
    <w:rsid w:val="00CE3B73"/>
    <w:rsid w:val="00CE4DAB"/>
    <w:rsid w:val="00CE508A"/>
    <w:rsid w:val="00CE5A00"/>
    <w:rsid w:val="00CE5D4D"/>
    <w:rsid w:val="00CE69D1"/>
    <w:rsid w:val="00CE7542"/>
    <w:rsid w:val="00CE7AF8"/>
    <w:rsid w:val="00CE7BCA"/>
    <w:rsid w:val="00CE7BD9"/>
    <w:rsid w:val="00CE7BE2"/>
    <w:rsid w:val="00CF17D2"/>
    <w:rsid w:val="00CF2087"/>
    <w:rsid w:val="00CF2E60"/>
    <w:rsid w:val="00CF2E8D"/>
    <w:rsid w:val="00CF3168"/>
    <w:rsid w:val="00CF33F7"/>
    <w:rsid w:val="00CF4AED"/>
    <w:rsid w:val="00CF4F02"/>
    <w:rsid w:val="00CF695E"/>
    <w:rsid w:val="00CF6A59"/>
    <w:rsid w:val="00CF6F26"/>
    <w:rsid w:val="00CF7FA6"/>
    <w:rsid w:val="00D0084C"/>
    <w:rsid w:val="00D013B5"/>
    <w:rsid w:val="00D025CA"/>
    <w:rsid w:val="00D02CF8"/>
    <w:rsid w:val="00D0327B"/>
    <w:rsid w:val="00D03B1E"/>
    <w:rsid w:val="00D03F54"/>
    <w:rsid w:val="00D046F7"/>
    <w:rsid w:val="00D064D7"/>
    <w:rsid w:val="00D06B2A"/>
    <w:rsid w:val="00D104DE"/>
    <w:rsid w:val="00D10E74"/>
    <w:rsid w:val="00D1200E"/>
    <w:rsid w:val="00D124AA"/>
    <w:rsid w:val="00D12624"/>
    <w:rsid w:val="00D12B3E"/>
    <w:rsid w:val="00D12C93"/>
    <w:rsid w:val="00D12E45"/>
    <w:rsid w:val="00D12FA1"/>
    <w:rsid w:val="00D145DF"/>
    <w:rsid w:val="00D14B0D"/>
    <w:rsid w:val="00D14B75"/>
    <w:rsid w:val="00D14E3A"/>
    <w:rsid w:val="00D160E6"/>
    <w:rsid w:val="00D162AC"/>
    <w:rsid w:val="00D167F7"/>
    <w:rsid w:val="00D17CEC"/>
    <w:rsid w:val="00D17F95"/>
    <w:rsid w:val="00D21988"/>
    <w:rsid w:val="00D21E33"/>
    <w:rsid w:val="00D22178"/>
    <w:rsid w:val="00D22400"/>
    <w:rsid w:val="00D22B01"/>
    <w:rsid w:val="00D23C69"/>
    <w:rsid w:val="00D243BE"/>
    <w:rsid w:val="00D2468F"/>
    <w:rsid w:val="00D258BF"/>
    <w:rsid w:val="00D25D91"/>
    <w:rsid w:val="00D26D05"/>
    <w:rsid w:val="00D27112"/>
    <w:rsid w:val="00D2720F"/>
    <w:rsid w:val="00D27A1C"/>
    <w:rsid w:val="00D31728"/>
    <w:rsid w:val="00D32A70"/>
    <w:rsid w:val="00D32FC9"/>
    <w:rsid w:val="00D33098"/>
    <w:rsid w:val="00D33547"/>
    <w:rsid w:val="00D33601"/>
    <w:rsid w:val="00D3368A"/>
    <w:rsid w:val="00D33BE2"/>
    <w:rsid w:val="00D34097"/>
    <w:rsid w:val="00D34139"/>
    <w:rsid w:val="00D34375"/>
    <w:rsid w:val="00D35BB7"/>
    <w:rsid w:val="00D36C33"/>
    <w:rsid w:val="00D36DC5"/>
    <w:rsid w:val="00D3773E"/>
    <w:rsid w:val="00D40B15"/>
    <w:rsid w:val="00D40BEE"/>
    <w:rsid w:val="00D4128A"/>
    <w:rsid w:val="00D41512"/>
    <w:rsid w:val="00D41973"/>
    <w:rsid w:val="00D41A5D"/>
    <w:rsid w:val="00D42C37"/>
    <w:rsid w:val="00D43F81"/>
    <w:rsid w:val="00D440B1"/>
    <w:rsid w:val="00D44244"/>
    <w:rsid w:val="00D44623"/>
    <w:rsid w:val="00D44F38"/>
    <w:rsid w:val="00D45D98"/>
    <w:rsid w:val="00D460B5"/>
    <w:rsid w:val="00D46927"/>
    <w:rsid w:val="00D47188"/>
    <w:rsid w:val="00D47736"/>
    <w:rsid w:val="00D47FC2"/>
    <w:rsid w:val="00D50577"/>
    <w:rsid w:val="00D52273"/>
    <w:rsid w:val="00D5249A"/>
    <w:rsid w:val="00D52A02"/>
    <w:rsid w:val="00D52B02"/>
    <w:rsid w:val="00D5389C"/>
    <w:rsid w:val="00D542E1"/>
    <w:rsid w:val="00D543B7"/>
    <w:rsid w:val="00D557E1"/>
    <w:rsid w:val="00D55AA7"/>
    <w:rsid w:val="00D565BB"/>
    <w:rsid w:val="00D56666"/>
    <w:rsid w:val="00D56906"/>
    <w:rsid w:val="00D60945"/>
    <w:rsid w:val="00D6112D"/>
    <w:rsid w:val="00D611AB"/>
    <w:rsid w:val="00D61234"/>
    <w:rsid w:val="00D622A2"/>
    <w:rsid w:val="00D626EA"/>
    <w:rsid w:val="00D63AAF"/>
    <w:rsid w:val="00D63EF1"/>
    <w:rsid w:val="00D64775"/>
    <w:rsid w:val="00D666C4"/>
    <w:rsid w:val="00D66871"/>
    <w:rsid w:val="00D676A0"/>
    <w:rsid w:val="00D67754"/>
    <w:rsid w:val="00D67769"/>
    <w:rsid w:val="00D703A3"/>
    <w:rsid w:val="00D70DF6"/>
    <w:rsid w:val="00D71F3C"/>
    <w:rsid w:val="00D72259"/>
    <w:rsid w:val="00D72341"/>
    <w:rsid w:val="00D727CC"/>
    <w:rsid w:val="00D73358"/>
    <w:rsid w:val="00D73497"/>
    <w:rsid w:val="00D74957"/>
    <w:rsid w:val="00D74AE2"/>
    <w:rsid w:val="00D74C17"/>
    <w:rsid w:val="00D74C84"/>
    <w:rsid w:val="00D752FC"/>
    <w:rsid w:val="00D76245"/>
    <w:rsid w:val="00D76858"/>
    <w:rsid w:val="00D77279"/>
    <w:rsid w:val="00D77463"/>
    <w:rsid w:val="00D7792F"/>
    <w:rsid w:val="00D803B6"/>
    <w:rsid w:val="00D8055E"/>
    <w:rsid w:val="00D807F7"/>
    <w:rsid w:val="00D81990"/>
    <w:rsid w:val="00D83895"/>
    <w:rsid w:val="00D842F1"/>
    <w:rsid w:val="00D84496"/>
    <w:rsid w:val="00D845ED"/>
    <w:rsid w:val="00D863D1"/>
    <w:rsid w:val="00D86527"/>
    <w:rsid w:val="00D86E48"/>
    <w:rsid w:val="00D90A1A"/>
    <w:rsid w:val="00D9124B"/>
    <w:rsid w:val="00D9196E"/>
    <w:rsid w:val="00D91E0C"/>
    <w:rsid w:val="00D92FDE"/>
    <w:rsid w:val="00D9355C"/>
    <w:rsid w:val="00D93A56"/>
    <w:rsid w:val="00D947A2"/>
    <w:rsid w:val="00D958A2"/>
    <w:rsid w:val="00D963A4"/>
    <w:rsid w:val="00D96741"/>
    <w:rsid w:val="00D9723F"/>
    <w:rsid w:val="00D97767"/>
    <w:rsid w:val="00DA0487"/>
    <w:rsid w:val="00DA0875"/>
    <w:rsid w:val="00DA0B48"/>
    <w:rsid w:val="00DA0DFE"/>
    <w:rsid w:val="00DA0FD2"/>
    <w:rsid w:val="00DA1615"/>
    <w:rsid w:val="00DA2095"/>
    <w:rsid w:val="00DA3418"/>
    <w:rsid w:val="00DA3772"/>
    <w:rsid w:val="00DA4669"/>
    <w:rsid w:val="00DA4B92"/>
    <w:rsid w:val="00DA6072"/>
    <w:rsid w:val="00DA6217"/>
    <w:rsid w:val="00DA64A8"/>
    <w:rsid w:val="00DA6850"/>
    <w:rsid w:val="00DA69BF"/>
    <w:rsid w:val="00DA6A99"/>
    <w:rsid w:val="00DA6FC2"/>
    <w:rsid w:val="00DB0079"/>
    <w:rsid w:val="00DB0178"/>
    <w:rsid w:val="00DB0F9C"/>
    <w:rsid w:val="00DB1957"/>
    <w:rsid w:val="00DB1FDD"/>
    <w:rsid w:val="00DB20D1"/>
    <w:rsid w:val="00DB3A5A"/>
    <w:rsid w:val="00DB3B6F"/>
    <w:rsid w:val="00DB3D8A"/>
    <w:rsid w:val="00DB3FCE"/>
    <w:rsid w:val="00DB4081"/>
    <w:rsid w:val="00DB4413"/>
    <w:rsid w:val="00DB47BB"/>
    <w:rsid w:val="00DB5D7D"/>
    <w:rsid w:val="00DB6664"/>
    <w:rsid w:val="00DB6A2B"/>
    <w:rsid w:val="00DB7A01"/>
    <w:rsid w:val="00DC0FCA"/>
    <w:rsid w:val="00DC1697"/>
    <w:rsid w:val="00DC17C1"/>
    <w:rsid w:val="00DC290F"/>
    <w:rsid w:val="00DC2D61"/>
    <w:rsid w:val="00DC3847"/>
    <w:rsid w:val="00DC45B9"/>
    <w:rsid w:val="00DC49D7"/>
    <w:rsid w:val="00DC4AD5"/>
    <w:rsid w:val="00DC4F6F"/>
    <w:rsid w:val="00DC509B"/>
    <w:rsid w:val="00DC5672"/>
    <w:rsid w:val="00DC5E2B"/>
    <w:rsid w:val="00DC6A6F"/>
    <w:rsid w:val="00DC6B64"/>
    <w:rsid w:val="00DC6D4C"/>
    <w:rsid w:val="00DC7AA2"/>
    <w:rsid w:val="00DC7CB5"/>
    <w:rsid w:val="00DD06EC"/>
    <w:rsid w:val="00DD0D2C"/>
    <w:rsid w:val="00DD115D"/>
    <w:rsid w:val="00DD1581"/>
    <w:rsid w:val="00DD176F"/>
    <w:rsid w:val="00DD2AAB"/>
    <w:rsid w:val="00DD2B4B"/>
    <w:rsid w:val="00DD2B5F"/>
    <w:rsid w:val="00DD2E9E"/>
    <w:rsid w:val="00DD3E20"/>
    <w:rsid w:val="00DD3E31"/>
    <w:rsid w:val="00DD5DF7"/>
    <w:rsid w:val="00DD6637"/>
    <w:rsid w:val="00DD6B64"/>
    <w:rsid w:val="00DE0444"/>
    <w:rsid w:val="00DE0AB8"/>
    <w:rsid w:val="00DE1206"/>
    <w:rsid w:val="00DE1490"/>
    <w:rsid w:val="00DE1943"/>
    <w:rsid w:val="00DE1E31"/>
    <w:rsid w:val="00DE202E"/>
    <w:rsid w:val="00DE2624"/>
    <w:rsid w:val="00DE2C6B"/>
    <w:rsid w:val="00DE33D7"/>
    <w:rsid w:val="00DE4FF3"/>
    <w:rsid w:val="00DE5455"/>
    <w:rsid w:val="00DE5B37"/>
    <w:rsid w:val="00DF1572"/>
    <w:rsid w:val="00DF1BA0"/>
    <w:rsid w:val="00DF1C55"/>
    <w:rsid w:val="00DF2074"/>
    <w:rsid w:val="00DF24A9"/>
    <w:rsid w:val="00DF36AA"/>
    <w:rsid w:val="00DF37B6"/>
    <w:rsid w:val="00DF4415"/>
    <w:rsid w:val="00DF5551"/>
    <w:rsid w:val="00DF5ED0"/>
    <w:rsid w:val="00DF61D5"/>
    <w:rsid w:val="00DF68A1"/>
    <w:rsid w:val="00DF6C3E"/>
    <w:rsid w:val="00DF7061"/>
    <w:rsid w:val="00DF7639"/>
    <w:rsid w:val="00E000E0"/>
    <w:rsid w:val="00E00347"/>
    <w:rsid w:val="00E00600"/>
    <w:rsid w:val="00E00C44"/>
    <w:rsid w:val="00E0160F"/>
    <w:rsid w:val="00E01948"/>
    <w:rsid w:val="00E01E51"/>
    <w:rsid w:val="00E02C0A"/>
    <w:rsid w:val="00E02CDB"/>
    <w:rsid w:val="00E04588"/>
    <w:rsid w:val="00E046E7"/>
    <w:rsid w:val="00E0477F"/>
    <w:rsid w:val="00E0536E"/>
    <w:rsid w:val="00E059A4"/>
    <w:rsid w:val="00E059AB"/>
    <w:rsid w:val="00E06063"/>
    <w:rsid w:val="00E06570"/>
    <w:rsid w:val="00E06D6B"/>
    <w:rsid w:val="00E071C3"/>
    <w:rsid w:val="00E07471"/>
    <w:rsid w:val="00E07F10"/>
    <w:rsid w:val="00E07FC2"/>
    <w:rsid w:val="00E117EC"/>
    <w:rsid w:val="00E11E36"/>
    <w:rsid w:val="00E12998"/>
    <w:rsid w:val="00E1331B"/>
    <w:rsid w:val="00E13639"/>
    <w:rsid w:val="00E14B7B"/>
    <w:rsid w:val="00E14C69"/>
    <w:rsid w:val="00E152DF"/>
    <w:rsid w:val="00E1724B"/>
    <w:rsid w:val="00E17440"/>
    <w:rsid w:val="00E175F8"/>
    <w:rsid w:val="00E178A9"/>
    <w:rsid w:val="00E20068"/>
    <w:rsid w:val="00E2013D"/>
    <w:rsid w:val="00E204A7"/>
    <w:rsid w:val="00E20F1E"/>
    <w:rsid w:val="00E2185F"/>
    <w:rsid w:val="00E21889"/>
    <w:rsid w:val="00E21F70"/>
    <w:rsid w:val="00E22A30"/>
    <w:rsid w:val="00E22D1B"/>
    <w:rsid w:val="00E23338"/>
    <w:rsid w:val="00E23611"/>
    <w:rsid w:val="00E23904"/>
    <w:rsid w:val="00E23D8D"/>
    <w:rsid w:val="00E23F15"/>
    <w:rsid w:val="00E24384"/>
    <w:rsid w:val="00E246AF"/>
    <w:rsid w:val="00E24BA8"/>
    <w:rsid w:val="00E24D3F"/>
    <w:rsid w:val="00E259A3"/>
    <w:rsid w:val="00E26E3B"/>
    <w:rsid w:val="00E27077"/>
    <w:rsid w:val="00E27833"/>
    <w:rsid w:val="00E27AD3"/>
    <w:rsid w:val="00E30A1B"/>
    <w:rsid w:val="00E30B0F"/>
    <w:rsid w:val="00E30CBB"/>
    <w:rsid w:val="00E31544"/>
    <w:rsid w:val="00E3180F"/>
    <w:rsid w:val="00E31A27"/>
    <w:rsid w:val="00E326DE"/>
    <w:rsid w:val="00E32744"/>
    <w:rsid w:val="00E3376D"/>
    <w:rsid w:val="00E33784"/>
    <w:rsid w:val="00E3417E"/>
    <w:rsid w:val="00E3497C"/>
    <w:rsid w:val="00E36207"/>
    <w:rsid w:val="00E363B1"/>
    <w:rsid w:val="00E364D4"/>
    <w:rsid w:val="00E36E9C"/>
    <w:rsid w:val="00E4015D"/>
    <w:rsid w:val="00E403C2"/>
    <w:rsid w:val="00E40DDF"/>
    <w:rsid w:val="00E42490"/>
    <w:rsid w:val="00E43A78"/>
    <w:rsid w:val="00E4412C"/>
    <w:rsid w:val="00E44918"/>
    <w:rsid w:val="00E44D7C"/>
    <w:rsid w:val="00E4668D"/>
    <w:rsid w:val="00E46F6F"/>
    <w:rsid w:val="00E50156"/>
    <w:rsid w:val="00E50343"/>
    <w:rsid w:val="00E518D7"/>
    <w:rsid w:val="00E51CC9"/>
    <w:rsid w:val="00E52038"/>
    <w:rsid w:val="00E521F9"/>
    <w:rsid w:val="00E525B2"/>
    <w:rsid w:val="00E52822"/>
    <w:rsid w:val="00E52ED6"/>
    <w:rsid w:val="00E532AC"/>
    <w:rsid w:val="00E54C6C"/>
    <w:rsid w:val="00E550DD"/>
    <w:rsid w:val="00E55513"/>
    <w:rsid w:val="00E55876"/>
    <w:rsid w:val="00E5706F"/>
    <w:rsid w:val="00E574D2"/>
    <w:rsid w:val="00E60A20"/>
    <w:rsid w:val="00E60D18"/>
    <w:rsid w:val="00E61381"/>
    <w:rsid w:val="00E620CE"/>
    <w:rsid w:val="00E62367"/>
    <w:rsid w:val="00E62946"/>
    <w:rsid w:val="00E6342E"/>
    <w:rsid w:val="00E634E0"/>
    <w:rsid w:val="00E63EB3"/>
    <w:rsid w:val="00E65BBA"/>
    <w:rsid w:val="00E65FD2"/>
    <w:rsid w:val="00E67FCF"/>
    <w:rsid w:val="00E70FE6"/>
    <w:rsid w:val="00E71AC8"/>
    <w:rsid w:val="00E7280A"/>
    <w:rsid w:val="00E72C59"/>
    <w:rsid w:val="00E72E8D"/>
    <w:rsid w:val="00E734C8"/>
    <w:rsid w:val="00E73A9B"/>
    <w:rsid w:val="00E74049"/>
    <w:rsid w:val="00E75677"/>
    <w:rsid w:val="00E75727"/>
    <w:rsid w:val="00E75E30"/>
    <w:rsid w:val="00E75E4B"/>
    <w:rsid w:val="00E76023"/>
    <w:rsid w:val="00E769DA"/>
    <w:rsid w:val="00E76BF2"/>
    <w:rsid w:val="00E76ED7"/>
    <w:rsid w:val="00E77172"/>
    <w:rsid w:val="00E7738C"/>
    <w:rsid w:val="00E77875"/>
    <w:rsid w:val="00E779D8"/>
    <w:rsid w:val="00E77EE7"/>
    <w:rsid w:val="00E8076D"/>
    <w:rsid w:val="00E81325"/>
    <w:rsid w:val="00E813D3"/>
    <w:rsid w:val="00E81DFB"/>
    <w:rsid w:val="00E82294"/>
    <w:rsid w:val="00E8234C"/>
    <w:rsid w:val="00E82604"/>
    <w:rsid w:val="00E8374A"/>
    <w:rsid w:val="00E8494A"/>
    <w:rsid w:val="00E85178"/>
    <w:rsid w:val="00E8547E"/>
    <w:rsid w:val="00E855CB"/>
    <w:rsid w:val="00E85F18"/>
    <w:rsid w:val="00E86A8C"/>
    <w:rsid w:val="00E870DE"/>
    <w:rsid w:val="00E8780F"/>
    <w:rsid w:val="00E87CB7"/>
    <w:rsid w:val="00E90F98"/>
    <w:rsid w:val="00E91405"/>
    <w:rsid w:val="00E91649"/>
    <w:rsid w:val="00E92F80"/>
    <w:rsid w:val="00E935A7"/>
    <w:rsid w:val="00E936C2"/>
    <w:rsid w:val="00E946D8"/>
    <w:rsid w:val="00E94AA8"/>
    <w:rsid w:val="00E9510B"/>
    <w:rsid w:val="00E95549"/>
    <w:rsid w:val="00E955F0"/>
    <w:rsid w:val="00E95CA8"/>
    <w:rsid w:val="00E97E0D"/>
    <w:rsid w:val="00EA01E5"/>
    <w:rsid w:val="00EA119B"/>
    <w:rsid w:val="00EA1EC7"/>
    <w:rsid w:val="00EA22A9"/>
    <w:rsid w:val="00EA29CC"/>
    <w:rsid w:val="00EA33AA"/>
    <w:rsid w:val="00EA3CA5"/>
    <w:rsid w:val="00EA3CCB"/>
    <w:rsid w:val="00EA41F8"/>
    <w:rsid w:val="00EA441A"/>
    <w:rsid w:val="00EA44C3"/>
    <w:rsid w:val="00EA47F3"/>
    <w:rsid w:val="00EA5A7C"/>
    <w:rsid w:val="00EA5D74"/>
    <w:rsid w:val="00EA6214"/>
    <w:rsid w:val="00EA637F"/>
    <w:rsid w:val="00EA6699"/>
    <w:rsid w:val="00EA754D"/>
    <w:rsid w:val="00EA7F2D"/>
    <w:rsid w:val="00EB01F1"/>
    <w:rsid w:val="00EB0375"/>
    <w:rsid w:val="00EB14C6"/>
    <w:rsid w:val="00EB1D20"/>
    <w:rsid w:val="00EB1DF3"/>
    <w:rsid w:val="00EB1DF6"/>
    <w:rsid w:val="00EB225F"/>
    <w:rsid w:val="00EB2659"/>
    <w:rsid w:val="00EB38A8"/>
    <w:rsid w:val="00EB3B6D"/>
    <w:rsid w:val="00EB64A9"/>
    <w:rsid w:val="00EB6552"/>
    <w:rsid w:val="00EB7636"/>
    <w:rsid w:val="00EB7667"/>
    <w:rsid w:val="00EB7822"/>
    <w:rsid w:val="00EB7C38"/>
    <w:rsid w:val="00EB7F65"/>
    <w:rsid w:val="00EC06D1"/>
    <w:rsid w:val="00EC0AC7"/>
    <w:rsid w:val="00EC1124"/>
    <w:rsid w:val="00EC1443"/>
    <w:rsid w:val="00EC1994"/>
    <w:rsid w:val="00EC1E8A"/>
    <w:rsid w:val="00EC245E"/>
    <w:rsid w:val="00EC328A"/>
    <w:rsid w:val="00EC495C"/>
    <w:rsid w:val="00EC6B82"/>
    <w:rsid w:val="00EC71A2"/>
    <w:rsid w:val="00EC79FC"/>
    <w:rsid w:val="00EC7A54"/>
    <w:rsid w:val="00EC7BE9"/>
    <w:rsid w:val="00EC7D24"/>
    <w:rsid w:val="00EC7EE0"/>
    <w:rsid w:val="00ED0072"/>
    <w:rsid w:val="00ED050D"/>
    <w:rsid w:val="00ED06E7"/>
    <w:rsid w:val="00ED192F"/>
    <w:rsid w:val="00ED238E"/>
    <w:rsid w:val="00ED40F9"/>
    <w:rsid w:val="00ED4129"/>
    <w:rsid w:val="00ED5186"/>
    <w:rsid w:val="00ED52F0"/>
    <w:rsid w:val="00ED5A34"/>
    <w:rsid w:val="00ED5B04"/>
    <w:rsid w:val="00ED6971"/>
    <w:rsid w:val="00ED738D"/>
    <w:rsid w:val="00ED7643"/>
    <w:rsid w:val="00EE00B0"/>
    <w:rsid w:val="00EE04F0"/>
    <w:rsid w:val="00EE0767"/>
    <w:rsid w:val="00EE0D8C"/>
    <w:rsid w:val="00EE249B"/>
    <w:rsid w:val="00EE32E5"/>
    <w:rsid w:val="00EE332E"/>
    <w:rsid w:val="00EE34F6"/>
    <w:rsid w:val="00EE3ADD"/>
    <w:rsid w:val="00EE3CDB"/>
    <w:rsid w:val="00EE3E97"/>
    <w:rsid w:val="00EE417F"/>
    <w:rsid w:val="00EE5216"/>
    <w:rsid w:val="00EE5245"/>
    <w:rsid w:val="00EE5340"/>
    <w:rsid w:val="00EE57DD"/>
    <w:rsid w:val="00EE5E95"/>
    <w:rsid w:val="00EE6093"/>
    <w:rsid w:val="00EE6B8B"/>
    <w:rsid w:val="00EE6D13"/>
    <w:rsid w:val="00EE6D7C"/>
    <w:rsid w:val="00EE724C"/>
    <w:rsid w:val="00EE7391"/>
    <w:rsid w:val="00EE7992"/>
    <w:rsid w:val="00EE79D0"/>
    <w:rsid w:val="00EE7CD6"/>
    <w:rsid w:val="00EE7DCD"/>
    <w:rsid w:val="00EF0141"/>
    <w:rsid w:val="00EF1071"/>
    <w:rsid w:val="00EF17EF"/>
    <w:rsid w:val="00EF23D3"/>
    <w:rsid w:val="00EF27F0"/>
    <w:rsid w:val="00EF35FB"/>
    <w:rsid w:val="00EF3601"/>
    <w:rsid w:val="00EF379C"/>
    <w:rsid w:val="00EF38A9"/>
    <w:rsid w:val="00EF3AFF"/>
    <w:rsid w:val="00EF55A5"/>
    <w:rsid w:val="00EF57B6"/>
    <w:rsid w:val="00EF68F4"/>
    <w:rsid w:val="00EF7AE8"/>
    <w:rsid w:val="00EF7FF9"/>
    <w:rsid w:val="00F00226"/>
    <w:rsid w:val="00F007EF"/>
    <w:rsid w:val="00F00A11"/>
    <w:rsid w:val="00F01A3E"/>
    <w:rsid w:val="00F01ADC"/>
    <w:rsid w:val="00F02584"/>
    <w:rsid w:val="00F028BB"/>
    <w:rsid w:val="00F02AB4"/>
    <w:rsid w:val="00F04301"/>
    <w:rsid w:val="00F04648"/>
    <w:rsid w:val="00F04944"/>
    <w:rsid w:val="00F04B87"/>
    <w:rsid w:val="00F04F0E"/>
    <w:rsid w:val="00F04F76"/>
    <w:rsid w:val="00F05CE9"/>
    <w:rsid w:val="00F06DF5"/>
    <w:rsid w:val="00F075BA"/>
    <w:rsid w:val="00F07837"/>
    <w:rsid w:val="00F07D7A"/>
    <w:rsid w:val="00F07E77"/>
    <w:rsid w:val="00F07EB1"/>
    <w:rsid w:val="00F07F7B"/>
    <w:rsid w:val="00F1107D"/>
    <w:rsid w:val="00F110FA"/>
    <w:rsid w:val="00F1152F"/>
    <w:rsid w:val="00F11E5E"/>
    <w:rsid w:val="00F11F64"/>
    <w:rsid w:val="00F12807"/>
    <w:rsid w:val="00F136B1"/>
    <w:rsid w:val="00F139F8"/>
    <w:rsid w:val="00F145D4"/>
    <w:rsid w:val="00F15765"/>
    <w:rsid w:val="00F1580F"/>
    <w:rsid w:val="00F15F94"/>
    <w:rsid w:val="00F16AA4"/>
    <w:rsid w:val="00F16CB5"/>
    <w:rsid w:val="00F20585"/>
    <w:rsid w:val="00F209C3"/>
    <w:rsid w:val="00F20A64"/>
    <w:rsid w:val="00F20FF7"/>
    <w:rsid w:val="00F2118A"/>
    <w:rsid w:val="00F2234C"/>
    <w:rsid w:val="00F24A73"/>
    <w:rsid w:val="00F25B28"/>
    <w:rsid w:val="00F25DDC"/>
    <w:rsid w:val="00F26002"/>
    <w:rsid w:val="00F27A43"/>
    <w:rsid w:val="00F27E59"/>
    <w:rsid w:val="00F30621"/>
    <w:rsid w:val="00F30C51"/>
    <w:rsid w:val="00F311F9"/>
    <w:rsid w:val="00F31EAF"/>
    <w:rsid w:val="00F329F6"/>
    <w:rsid w:val="00F337E3"/>
    <w:rsid w:val="00F33E68"/>
    <w:rsid w:val="00F343E6"/>
    <w:rsid w:val="00F35D6B"/>
    <w:rsid w:val="00F35F60"/>
    <w:rsid w:val="00F35F97"/>
    <w:rsid w:val="00F3601E"/>
    <w:rsid w:val="00F365B5"/>
    <w:rsid w:val="00F367B8"/>
    <w:rsid w:val="00F37416"/>
    <w:rsid w:val="00F37ADF"/>
    <w:rsid w:val="00F40E80"/>
    <w:rsid w:val="00F416F2"/>
    <w:rsid w:val="00F41769"/>
    <w:rsid w:val="00F4205B"/>
    <w:rsid w:val="00F42D03"/>
    <w:rsid w:val="00F42EBD"/>
    <w:rsid w:val="00F430BD"/>
    <w:rsid w:val="00F433E0"/>
    <w:rsid w:val="00F446C0"/>
    <w:rsid w:val="00F44971"/>
    <w:rsid w:val="00F454D4"/>
    <w:rsid w:val="00F46058"/>
    <w:rsid w:val="00F461E6"/>
    <w:rsid w:val="00F46A8A"/>
    <w:rsid w:val="00F46C05"/>
    <w:rsid w:val="00F46DF5"/>
    <w:rsid w:val="00F479C5"/>
    <w:rsid w:val="00F47E86"/>
    <w:rsid w:val="00F50721"/>
    <w:rsid w:val="00F50F78"/>
    <w:rsid w:val="00F5112B"/>
    <w:rsid w:val="00F51272"/>
    <w:rsid w:val="00F51A3B"/>
    <w:rsid w:val="00F523D9"/>
    <w:rsid w:val="00F534CE"/>
    <w:rsid w:val="00F53D80"/>
    <w:rsid w:val="00F53E13"/>
    <w:rsid w:val="00F545C5"/>
    <w:rsid w:val="00F547CD"/>
    <w:rsid w:val="00F54ACE"/>
    <w:rsid w:val="00F557BD"/>
    <w:rsid w:val="00F557C3"/>
    <w:rsid w:val="00F56A5C"/>
    <w:rsid w:val="00F56CA1"/>
    <w:rsid w:val="00F576CC"/>
    <w:rsid w:val="00F600EE"/>
    <w:rsid w:val="00F6075B"/>
    <w:rsid w:val="00F61177"/>
    <w:rsid w:val="00F612AB"/>
    <w:rsid w:val="00F61C6B"/>
    <w:rsid w:val="00F62740"/>
    <w:rsid w:val="00F632F9"/>
    <w:rsid w:val="00F63F2C"/>
    <w:rsid w:val="00F64ADC"/>
    <w:rsid w:val="00F64EB3"/>
    <w:rsid w:val="00F65048"/>
    <w:rsid w:val="00F65B89"/>
    <w:rsid w:val="00F65B92"/>
    <w:rsid w:val="00F67875"/>
    <w:rsid w:val="00F67B6E"/>
    <w:rsid w:val="00F67CAB"/>
    <w:rsid w:val="00F70998"/>
    <w:rsid w:val="00F70D0D"/>
    <w:rsid w:val="00F70DB4"/>
    <w:rsid w:val="00F7188F"/>
    <w:rsid w:val="00F71CAF"/>
    <w:rsid w:val="00F725E2"/>
    <w:rsid w:val="00F72AE3"/>
    <w:rsid w:val="00F72ED4"/>
    <w:rsid w:val="00F7369C"/>
    <w:rsid w:val="00F743BD"/>
    <w:rsid w:val="00F76460"/>
    <w:rsid w:val="00F76721"/>
    <w:rsid w:val="00F76952"/>
    <w:rsid w:val="00F76FA3"/>
    <w:rsid w:val="00F772F4"/>
    <w:rsid w:val="00F77A6B"/>
    <w:rsid w:val="00F77A75"/>
    <w:rsid w:val="00F804CD"/>
    <w:rsid w:val="00F80B69"/>
    <w:rsid w:val="00F80D5F"/>
    <w:rsid w:val="00F819C4"/>
    <w:rsid w:val="00F83191"/>
    <w:rsid w:val="00F839FA"/>
    <w:rsid w:val="00F83B2A"/>
    <w:rsid w:val="00F85903"/>
    <w:rsid w:val="00F8660D"/>
    <w:rsid w:val="00F86962"/>
    <w:rsid w:val="00F87064"/>
    <w:rsid w:val="00F87D97"/>
    <w:rsid w:val="00F87E10"/>
    <w:rsid w:val="00F87EFE"/>
    <w:rsid w:val="00F90266"/>
    <w:rsid w:val="00F91116"/>
    <w:rsid w:val="00F91145"/>
    <w:rsid w:val="00F911DB"/>
    <w:rsid w:val="00F91C18"/>
    <w:rsid w:val="00F92164"/>
    <w:rsid w:val="00F92230"/>
    <w:rsid w:val="00F9247C"/>
    <w:rsid w:val="00F92847"/>
    <w:rsid w:val="00F92CE1"/>
    <w:rsid w:val="00F92E6C"/>
    <w:rsid w:val="00F92F2C"/>
    <w:rsid w:val="00F92F9B"/>
    <w:rsid w:val="00F9307A"/>
    <w:rsid w:val="00F930A0"/>
    <w:rsid w:val="00F93639"/>
    <w:rsid w:val="00F93DC9"/>
    <w:rsid w:val="00F93E53"/>
    <w:rsid w:val="00F94C80"/>
    <w:rsid w:val="00F9524F"/>
    <w:rsid w:val="00F953A8"/>
    <w:rsid w:val="00F9561F"/>
    <w:rsid w:val="00F96905"/>
    <w:rsid w:val="00F97C9B"/>
    <w:rsid w:val="00FA0383"/>
    <w:rsid w:val="00FA0705"/>
    <w:rsid w:val="00FA0908"/>
    <w:rsid w:val="00FA0A82"/>
    <w:rsid w:val="00FA12EC"/>
    <w:rsid w:val="00FA1467"/>
    <w:rsid w:val="00FA1F89"/>
    <w:rsid w:val="00FA227A"/>
    <w:rsid w:val="00FA3260"/>
    <w:rsid w:val="00FA34D7"/>
    <w:rsid w:val="00FA5298"/>
    <w:rsid w:val="00FA5BEF"/>
    <w:rsid w:val="00FA659E"/>
    <w:rsid w:val="00FA6A6B"/>
    <w:rsid w:val="00FA6CCF"/>
    <w:rsid w:val="00FA7228"/>
    <w:rsid w:val="00FA7BB0"/>
    <w:rsid w:val="00FA7C35"/>
    <w:rsid w:val="00FB0557"/>
    <w:rsid w:val="00FB1436"/>
    <w:rsid w:val="00FB16FA"/>
    <w:rsid w:val="00FB1E99"/>
    <w:rsid w:val="00FB2628"/>
    <w:rsid w:val="00FB34D8"/>
    <w:rsid w:val="00FB3B45"/>
    <w:rsid w:val="00FB3B92"/>
    <w:rsid w:val="00FB3D1D"/>
    <w:rsid w:val="00FB4DF6"/>
    <w:rsid w:val="00FB4FBD"/>
    <w:rsid w:val="00FB4FD7"/>
    <w:rsid w:val="00FB546B"/>
    <w:rsid w:val="00FB59D5"/>
    <w:rsid w:val="00FB6249"/>
    <w:rsid w:val="00FB6699"/>
    <w:rsid w:val="00FB67C4"/>
    <w:rsid w:val="00FB6D86"/>
    <w:rsid w:val="00FB73FE"/>
    <w:rsid w:val="00FB77DC"/>
    <w:rsid w:val="00FB7868"/>
    <w:rsid w:val="00FB78D7"/>
    <w:rsid w:val="00FB7C0F"/>
    <w:rsid w:val="00FC1683"/>
    <w:rsid w:val="00FC198C"/>
    <w:rsid w:val="00FC1A98"/>
    <w:rsid w:val="00FC2565"/>
    <w:rsid w:val="00FC26F9"/>
    <w:rsid w:val="00FC4336"/>
    <w:rsid w:val="00FC5FCC"/>
    <w:rsid w:val="00FC6071"/>
    <w:rsid w:val="00FC6CD6"/>
    <w:rsid w:val="00FC799F"/>
    <w:rsid w:val="00FC7A07"/>
    <w:rsid w:val="00FD0204"/>
    <w:rsid w:val="00FD17B5"/>
    <w:rsid w:val="00FD1C1A"/>
    <w:rsid w:val="00FD1F52"/>
    <w:rsid w:val="00FD22B6"/>
    <w:rsid w:val="00FD263E"/>
    <w:rsid w:val="00FD4E2E"/>
    <w:rsid w:val="00FD50BC"/>
    <w:rsid w:val="00FD53C6"/>
    <w:rsid w:val="00FD54DF"/>
    <w:rsid w:val="00FD5534"/>
    <w:rsid w:val="00FD56EA"/>
    <w:rsid w:val="00FD6E21"/>
    <w:rsid w:val="00FD718B"/>
    <w:rsid w:val="00FD7206"/>
    <w:rsid w:val="00FD78AD"/>
    <w:rsid w:val="00FE07A7"/>
    <w:rsid w:val="00FE1484"/>
    <w:rsid w:val="00FE1AD1"/>
    <w:rsid w:val="00FE2E22"/>
    <w:rsid w:val="00FE3030"/>
    <w:rsid w:val="00FE4003"/>
    <w:rsid w:val="00FE403E"/>
    <w:rsid w:val="00FE5093"/>
    <w:rsid w:val="00FE5737"/>
    <w:rsid w:val="00FE596C"/>
    <w:rsid w:val="00FE60B9"/>
    <w:rsid w:val="00FE6D2B"/>
    <w:rsid w:val="00FE71CD"/>
    <w:rsid w:val="00FE74DC"/>
    <w:rsid w:val="00FF037F"/>
    <w:rsid w:val="00FF0453"/>
    <w:rsid w:val="00FF2265"/>
    <w:rsid w:val="00FF2F89"/>
    <w:rsid w:val="00FF3679"/>
    <w:rsid w:val="00FF3897"/>
    <w:rsid w:val="00FF3966"/>
    <w:rsid w:val="00FF5E20"/>
    <w:rsid w:val="00FF5F44"/>
    <w:rsid w:val="00FF76E8"/>
    <w:rsid w:val="00FF7E27"/>
    <w:rsid w:val="00FF7EA8"/>
    <w:rsid w:val="02DC7B61"/>
    <w:rsid w:val="037E127D"/>
    <w:rsid w:val="04C154CC"/>
    <w:rsid w:val="052528A3"/>
    <w:rsid w:val="055B7A83"/>
    <w:rsid w:val="05727CE1"/>
    <w:rsid w:val="05791F08"/>
    <w:rsid w:val="0612415C"/>
    <w:rsid w:val="06F6676E"/>
    <w:rsid w:val="078C21B3"/>
    <w:rsid w:val="07A6619A"/>
    <w:rsid w:val="0809043D"/>
    <w:rsid w:val="08EB3C91"/>
    <w:rsid w:val="091F68F3"/>
    <w:rsid w:val="0947224C"/>
    <w:rsid w:val="09925461"/>
    <w:rsid w:val="09C15A84"/>
    <w:rsid w:val="0A8B51B4"/>
    <w:rsid w:val="0B062FF2"/>
    <w:rsid w:val="0BEE36BC"/>
    <w:rsid w:val="0C246310"/>
    <w:rsid w:val="0C42475D"/>
    <w:rsid w:val="0CBB3642"/>
    <w:rsid w:val="0CE462E0"/>
    <w:rsid w:val="0DF410DC"/>
    <w:rsid w:val="0E367DD1"/>
    <w:rsid w:val="0E4E0270"/>
    <w:rsid w:val="0EB87333"/>
    <w:rsid w:val="0F472783"/>
    <w:rsid w:val="0F872920"/>
    <w:rsid w:val="0FEA49C7"/>
    <w:rsid w:val="10DC56AB"/>
    <w:rsid w:val="111B6527"/>
    <w:rsid w:val="11A575D4"/>
    <w:rsid w:val="11AE47A1"/>
    <w:rsid w:val="11FC1F62"/>
    <w:rsid w:val="12523E4C"/>
    <w:rsid w:val="12623F69"/>
    <w:rsid w:val="13D749A0"/>
    <w:rsid w:val="14343DE1"/>
    <w:rsid w:val="14E070BE"/>
    <w:rsid w:val="15497811"/>
    <w:rsid w:val="15AB2A58"/>
    <w:rsid w:val="15F55695"/>
    <w:rsid w:val="17084E70"/>
    <w:rsid w:val="179B1249"/>
    <w:rsid w:val="17E5123B"/>
    <w:rsid w:val="18A73B92"/>
    <w:rsid w:val="18E05F3F"/>
    <w:rsid w:val="18E21C75"/>
    <w:rsid w:val="190C23A4"/>
    <w:rsid w:val="19647952"/>
    <w:rsid w:val="19782D58"/>
    <w:rsid w:val="19CB426B"/>
    <w:rsid w:val="1A8B63DA"/>
    <w:rsid w:val="1B3D69C6"/>
    <w:rsid w:val="1B90751C"/>
    <w:rsid w:val="1D8A2A14"/>
    <w:rsid w:val="1DF34A20"/>
    <w:rsid w:val="1F2A7FC4"/>
    <w:rsid w:val="1FF619DB"/>
    <w:rsid w:val="203649DC"/>
    <w:rsid w:val="209E1D6F"/>
    <w:rsid w:val="20A85926"/>
    <w:rsid w:val="217D2508"/>
    <w:rsid w:val="21B12F9A"/>
    <w:rsid w:val="21B76AE0"/>
    <w:rsid w:val="2215030D"/>
    <w:rsid w:val="2339630B"/>
    <w:rsid w:val="244F7A97"/>
    <w:rsid w:val="24517EAE"/>
    <w:rsid w:val="24E128E4"/>
    <w:rsid w:val="2556402C"/>
    <w:rsid w:val="25B75F5C"/>
    <w:rsid w:val="261700B0"/>
    <w:rsid w:val="27654418"/>
    <w:rsid w:val="27EA3102"/>
    <w:rsid w:val="28F9388F"/>
    <w:rsid w:val="29C82245"/>
    <w:rsid w:val="2AFD1271"/>
    <w:rsid w:val="2AFE5F2D"/>
    <w:rsid w:val="2B2A5597"/>
    <w:rsid w:val="2B957916"/>
    <w:rsid w:val="2CA03AA1"/>
    <w:rsid w:val="2CEE68B0"/>
    <w:rsid w:val="2DC14D03"/>
    <w:rsid w:val="2ED40EBE"/>
    <w:rsid w:val="2FC6261E"/>
    <w:rsid w:val="30193BAB"/>
    <w:rsid w:val="301E5F02"/>
    <w:rsid w:val="30876E53"/>
    <w:rsid w:val="30E3431D"/>
    <w:rsid w:val="324374D5"/>
    <w:rsid w:val="32513E7E"/>
    <w:rsid w:val="329119E0"/>
    <w:rsid w:val="32A248B0"/>
    <w:rsid w:val="33153895"/>
    <w:rsid w:val="335F4EA0"/>
    <w:rsid w:val="338D73A8"/>
    <w:rsid w:val="36193AE7"/>
    <w:rsid w:val="383C6639"/>
    <w:rsid w:val="38804D57"/>
    <w:rsid w:val="39C80818"/>
    <w:rsid w:val="39F95BE1"/>
    <w:rsid w:val="3A722340"/>
    <w:rsid w:val="3AF15A9B"/>
    <w:rsid w:val="3B8C491B"/>
    <w:rsid w:val="3BBE0A77"/>
    <w:rsid w:val="3C645466"/>
    <w:rsid w:val="3CA52998"/>
    <w:rsid w:val="3E201779"/>
    <w:rsid w:val="3EA403A4"/>
    <w:rsid w:val="3FF921A4"/>
    <w:rsid w:val="40293890"/>
    <w:rsid w:val="404F6174"/>
    <w:rsid w:val="406D5636"/>
    <w:rsid w:val="411F6A46"/>
    <w:rsid w:val="41934C0C"/>
    <w:rsid w:val="42502F02"/>
    <w:rsid w:val="432A197F"/>
    <w:rsid w:val="4467F414"/>
    <w:rsid w:val="451C3595"/>
    <w:rsid w:val="454C67BB"/>
    <w:rsid w:val="455B17B5"/>
    <w:rsid w:val="466561E9"/>
    <w:rsid w:val="46C61A2D"/>
    <w:rsid w:val="46D70208"/>
    <w:rsid w:val="4724510C"/>
    <w:rsid w:val="47294EB8"/>
    <w:rsid w:val="488D529A"/>
    <w:rsid w:val="498A6A2C"/>
    <w:rsid w:val="498C1F47"/>
    <w:rsid w:val="4AF740F6"/>
    <w:rsid w:val="4B4C1DB1"/>
    <w:rsid w:val="4BA22DCE"/>
    <w:rsid w:val="4C7B7240"/>
    <w:rsid w:val="4CF32751"/>
    <w:rsid w:val="4D746AC7"/>
    <w:rsid w:val="4E3C0A3D"/>
    <w:rsid w:val="4E5E2FEC"/>
    <w:rsid w:val="4EA818AA"/>
    <w:rsid w:val="4EC8031E"/>
    <w:rsid w:val="4F855478"/>
    <w:rsid w:val="4FBC500E"/>
    <w:rsid w:val="4FEA1BD4"/>
    <w:rsid w:val="50777D78"/>
    <w:rsid w:val="50D53EE6"/>
    <w:rsid w:val="50F75058"/>
    <w:rsid w:val="5249155B"/>
    <w:rsid w:val="525974B8"/>
    <w:rsid w:val="5324714C"/>
    <w:rsid w:val="538C27EA"/>
    <w:rsid w:val="53B725F9"/>
    <w:rsid w:val="53E20184"/>
    <w:rsid w:val="54376B1B"/>
    <w:rsid w:val="549F743F"/>
    <w:rsid w:val="54B728A0"/>
    <w:rsid w:val="55096A3A"/>
    <w:rsid w:val="55480865"/>
    <w:rsid w:val="55485CAA"/>
    <w:rsid w:val="55EE25AC"/>
    <w:rsid w:val="562A74C0"/>
    <w:rsid w:val="56980DA9"/>
    <w:rsid w:val="56AB642E"/>
    <w:rsid w:val="57287E01"/>
    <w:rsid w:val="5745180C"/>
    <w:rsid w:val="57E36F6D"/>
    <w:rsid w:val="58A719B3"/>
    <w:rsid w:val="5963095F"/>
    <w:rsid w:val="59AD7F90"/>
    <w:rsid w:val="5BA81849"/>
    <w:rsid w:val="5CB82337"/>
    <w:rsid w:val="5D881E34"/>
    <w:rsid w:val="5DAB7048"/>
    <w:rsid w:val="5DE55498"/>
    <w:rsid w:val="5E8045C6"/>
    <w:rsid w:val="5F5F51CA"/>
    <w:rsid w:val="5FF20CA5"/>
    <w:rsid w:val="603914FA"/>
    <w:rsid w:val="604F0089"/>
    <w:rsid w:val="60F05EB4"/>
    <w:rsid w:val="61124A46"/>
    <w:rsid w:val="61473480"/>
    <w:rsid w:val="61CF6C04"/>
    <w:rsid w:val="62E74484"/>
    <w:rsid w:val="630B58E6"/>
    <w:rsid w:val="63A53501"/>
    <w:rsid w:val="6553250E"/>
    <w:rsid w:val="65705433"/>
    <w:rsid w:val="6576131B"/>
    <w:rsid w:val="65C014BB"/>
    <w:rsid w:val="65FF1937"/>
    <w:rsid w:val="66BB7092"/>
    <w:rsid w:val="66F10A4A"/>
    <w:rsid w:val="673A1549"/>
    <w:rsid w:val="67454710"/>
    <w:rsid w:val="684A5C5E"/>
    <w:rsid w:val="68D82B39"/>
    <w:rsid w:val="6957051D"/>
    <w:rsid w:val="6993488D"/>
    <w:rsid w:val="69DD45BA"/>
    <w:rsid w:val="6AFE6793"/>
    <w:rsid w:val="6C61794C"/>
    <w:rsid w:val="6E9C0C73"/>
    <w:rsid w:val="702964E1"/>
    <w:rsid w:val="70ED20D3"/>
    <w:rsid w:val="715B4A3E"/>
    <w:rsid w:val="71DB5190"/>
    <w:rsid w:val="71FC6930"/>
    <w:rsid w:val="72131F49"/>
    <w:rsid w:val="72CB2A86"/>
    <w:rsid w:val="73180661"/>
    <w:rsid w:val="74EF4137"/>
    <w:rsid w:val="759E5161"/>
    <w:rsid w:val="75BC60F1"/>
    <w:rsid w:val="764B170C"/>
    <w:rsid w:val="764F3097"/>
    <w:rsid w:val="76B71214"/>
    <w:rsid w:val="770045CD"/>
    <w:rsid w:val="7871792B"/>
    <w:rsid w:val="790E3028"/>
    <w:rsid w:val="79A75804"/>
    <w:rsid w:val="7A187A56"/>
    <w:rsid w:val="7BFFB0EF"/>
    <w:rsid w:val="7C6203A0"/>
    <w:rsid w:val="7D02576D"/>
    <w:rsid w:val="7D353C62"/>
    <w:rsid w:val="7E312070"/>
    <w:rsid w:val="7E3C4CF8"/>
    <w:rsid w:val="7E967B5F"/>
    <w:rsid w:val="7ED4612E"/>
    <w:rsid w:val="7FD6028A"/>
    <w:rsid w:val="7FF03ADC"/>
    <w:rsid w:val="E7FDC0B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00" w:beforeAutospacing="1" w:after="100" w:afterAutospacing="1" w:line="360" w:lineRule="exact"/>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9"/>
    <w:pPr>
      <w:keepNext/>
      <w:keepLines/>
      <w:autoSpaceDN w:val="0"/>
      <w:spacing w:before="340" w:beforeAutospacing="0" w:after="330" w:afterAutospacing="0" w:line="576" w:lineRule="auto"/>
      <w:outlineLvl w:val="0"/>
    </w:pPr>
    <w:rPr>
      <w:rFonts w:ascii="Times New Roman" w:hAnsi="Times New Roman"/>
      <w:b/>
      <w:bCs/>
      <w:kern w:val="44"/>
      <w:sz w:val="44"/>
      <w:szCs w:val="44"/>
    </w:rPr>
  </w:style>
  <w:style w:type="paragraph" w:styleId="5">
    <w:name w:val="heading 2"/>
    <w:basedOn w:val="1"/>
    <w:next w:val="1"/>
    <w:link w:val="48"/>
    <w:unhideWhenUsed/>
    <w:qFormat/>
    <w:uiPriority w:val="9"/>
    <w:pPr>
      <w:keepNext/>
      <w:keepLines/>
      <w:autoSpaceDN w:val="0"/>
      <w:spacing w:before="260" w:beforeAutospacing="0" w:after="260" w:afterAutospacing="0" w:line="415" w:lineRule="auto"/>
      <w:outlineLvl w:val="1"/>
    </w:pPr>
    <w:rPr>
      <w:rFonts w:ascii="Arial" w:hAnsi="Arial" w:eastAsia="黑体"/>
      <w:b/>
      <w:bCs/>
      <w:sz w:val="32"/>
      <w:szCs w:val="32"/>
    </w:rPr>
  </w:style>
  <w:style w:type="paragraph" w:styleId="6">
    <w:name w:val="heading 3"/>
    <w:basedOn w:val="1"/>
    <w:next w:val="1"/>
    <w:link w:val="49"/>
    <w:qFormat/>
    <w:uiPriority w:val="9"/>
    <w:pPr>
      <w:keepNext/>
      <w:keepLines/>
      <w:adjustRightInd w:val="0"/>
      <w:spacing w:before="260" w:beforeAutospacing="0" w:after="260" w:afterAutospacing="0" w:line="360" w:lineRule="auto"/>
      <w:jc w:val="left"/>
      <w:outlineLvl w:val="2"/>
    </w:pPr>
    <w:rPr>
      <w:rFonts w:ascii="Calibri" w:hAnsi="Calibri" w:eastAsia="黑体" w:cs="Times New Roman"/>
      <w:bCs/>
      <w:sz w:val="32"/>
      <w:szCs w:val="32"/>
    </w:rPr>
  </w:style>
  <w:style w:type="paragraph" w:styleId="7">
    <w:name w:val="heading 4"/>
    <w:basedOn w:val="1"/>
    <w:next w:val="1"/>
    <w:link w:val="50"/>
    <w:unhideWhenUsed/>
    <w:qFormat/>
    <w:uiPriority w:val="9"/>
    <w:pPr>
      <w:keepNext/>
      <w:keepLines/>
      <w:autoSpaceDN w:val="0"/>
      <w:spacing w:before="280" w:beforeAutospacing="0" w:after="290" w:afterAutospacing="0" w:line="240" w:lineRule="auto"/>
      <w:outlineLvl w:val="3"/>
    </w:pPr>
    <w:rPr>
      <w:rFonts w:ascii="Cambria" w:hAnsi="Cambria" w:cs="宋体"/>
      <w:b/>
      <w:bCs/>
      <w:szCs w:val="28"/>
    </w:rPr>
  </w:style>
  <w:style w:type="paragraph" w:styleId="8">
    <w:name w:val="heading 5"/>
    <w:basedOn w:val="1"/>
    <w:next w:val="9"/>
    <w:link w:val="51"/>
    <w:unhideWhenUsed/>
    <w:qFormat/>
    <w:uiPriority w:val="9"/>
    <w:pPr>
      <w:keepNext/>
      <w:keepLines/>
      <w:tabs>
        <w:tab w:val="left" w:pos="780"/>
      </w:tabs>
      <w:spacing w:before="280" w:beforeAutospacing="0" w:after="290" w:afterAutospacing="0" w:line="376" w:lineRule="auto"/>
      <w:outlineLvl w:val="4"/>
    </w:pPr>
    <w:rPr>
      <w:rFonts w:ascii="Calibri" w:hAnsi="Calibri" w:eastAsia="宋体" w:cs="Times New Roman"/>
      <w:b/>
      <w:bCs/>
      <w:sz w:val="28"/>
      <w:szCs w:val="28"/>
    </w:rPr>
  </w:style>
  <w:style w:type="paragraph" w:styleId="10">
    <w:name w:val="heading 6"/>
    <w:basedOn w:val="1"/>
    <w:next w:val="1"/>
    <w:link w:val="52"/>
    <w:unhideWhenUsed/>
    <w:qFormat/>
    <w:uiPriority w:val="9"/>
    <w:pPr>
      <w:keepNext/>
      <w:keepLines/>
      <w:autoSpaceDN w:val="0"/>
      <w:spacing w:before="240" w:beforeAutospacing="0" w:after="64" w:afterAutospacing="0" w:line="319" w:lineRule="auto"/>
      <w:outlineLvl w:val="5"/>
    </w:pPr>
    <w:rPr>
      <w:rFonts w:ascii="Calibri Light" w:hAnsi="Calibri Light" w:cs="Calibri Light"/>
      <w:b/>
      <w:bCs/>
      <w:sz w:val="24"/>
      <w:szCs w:val="24"/>
    </w:rPr>
  </w:style>
  <w:style w:type="character" w:default="1" w:styleId="37">
    <w:name w:val="Default Paragraph Font"/>
    <w:unhideWhenUsed/>
    <w:qFormat/>
    <w:uiPriority w:val="1"/>
  </w:style>
  <w:style w:type="table" w:default="1" w:styleId="35">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标题 5（有编号）（绿盟科技）"/>
    <w:basedOn w:val="1"/>
    <w:next w:val="3"/>
    <w:qFormat/>
    <w:uiPriority w:val="99"/>
    <w:pPr>
      <w:keepNext/>
      <w:keepLines/>
      <w:widowControl/>
      <w:numPr>
        <w:ilvl w:val="4"/>
        <w:numId w:val="1"/>
      </w:numPr>
      <w:kinsoku w:val="0"/>
      <w:autoSpaceDE w:val="0"/>
      <w:autoSpaceDN w:val="0"/>
      <w:adjustRightInd w:val="0"/>
      <w:snapToGrid w:val="0"/>
      <w:spacing w:before="280" w:beforeAutospacing="0" w:after="156" w:afterAutospacing="0" w:line="376" w:lineRule="auto"/>
      <w:jc w:val="left"/>
      <w:outlineLvl w:val="4"/>
    </w:pPr>
    <w:rPr>
      <w:rFonts w:ascii="Arial" w:hAnsi="Arial" w:eastAsia="黑体" w:cs="黑体"/>
      <w:b/>
      <w:color w:val="000000"/>
      <w:kern w:val="0"/>
      <w:sz w:val="24"/>
      <w:szCs w:val="28"/>
    </w:rPr>
  </w:style>
  <w:style w:type="paragraph" w:customStyle="1" w:styleId="3">
    <w:name w:val="正文（绿盟科技）"/>
    <w:qFormat/>
    <w:uiPriority w:val="99"/>
    <w:pPr>
      <w:autoSpaceDN w:val="0"/>
      <w:spacing w:line="300" w:lineRule="auto"/>
    </w:pPr>
    <w:rPr>
      <w:rFonts w:ascii="Arial" w:hAnsi="Arial" w:eastAsia="宋体" w:cs="黑体"/>
      <w:sz w:val="21"/>
      <w:szCs w:val="21"/>
      <w:lang w:val="en-US" w:eastAsia="zh-CN" w:bidi="ar-SA"/>
    </w:rPr>
  </w:style>
  <w:style w:type="paragraph" w:styleId="9">
    <w:name w:val="Normal (Web)"/>
    <w:basedOn w:val="1"/>
    <w:unhideWhenUsed/>
    <w:qFormat/>
    <w:uiPriority w:val="99"/>
    <w:pPr>
      <w:widowControl/>
      <w:spacing w:line="240" w:lineRule="auto"/>
      <w:jc w:val="left"/>
    </w:pPr>
    <w:rPr>
      <w:rFonts w:ascii="宋体" w:hAnsi="宋体" w:eastAsia="宋体" w:cs="宋体"/>
      <w:kern w:val="0"/>
      <w:sz w:val="24"/>
      <w:szCs w:val="24"/>
    </w:rPr>
  </w:style>
  <w:style w:type="paragraph" w:styleId="11">
    <w:name w:val="toc 7"/>
    <w:basedOn w:val="1"/>
    <w:next w:val="1"/>
    <w:unhideWhenUsed/>
    <w:qFormat/>
    <w:uiPriority w:val="39"/>
    <w:pPr>
      <w:autoSpaceDN w:val="0"/>
      <w:spacing w:before="0" w:beforeAutospacing="0" w:after="0" w:afterAutospacing="0" w:line="240" w:lineRule="auto"/>
      <w:ind w:left="2520" w:leftChars="1200"/>
    </w:pPr>
  </w:style>
  <w:style w:type="paragraph" w:styleId="12">
    <w:name w:val="List Number 2"/>
    <w:basedOn w:val="1"/>
    <w:qFormat/>
    <w:uiPriority w:val="0"/>
    <w:pPr>
      <w:numPr>
        <w:ilvl w:val="0"/>
        <w:numId w:val="2"/>
      </w:numPr>
      <w:spacing w:before="0" w:beforeAutospacing="0" w:after="0" w:afterAutospacing="0" w:line="240" w:lineRule="auto"/>
    </w:pPr>
    <w:rPr>
      <w:rFonts w:ascii="Calibri" w:hAnsi="Calibri" w:eastAsia="宋体" w:cs="Times New Roman"/>
    </w:rPr>
  </w:style>
  <w:style w:type="paragraph" w:styleId="13">
    <w:name w:val="index 8"/>
    <w:basedOn w:val="1"/>
    <w:next w:val="1"/>
    <w:qFormat/>
    <w:uiPriority w:val="0"/>
    <w:pPr>
      <w:ind w:left="2940"/>
    </w:pPr>
  </w:style>
  <w:style w:type="paragraph" w:styleId="14">
    <w:name w:val="annotation text"/>
    <w:basedOn w:val="1"/>
    <w:link w:val="64"/>
    <w:unhideWhenUsed/>
    <w:qFormat/>
    <w:uiPriority w:val="99"/>
    <w:pPr>
      <w:widowControl/>
      <w:kinsoku w:val="0"/>
      <w:autoSpaceDE w:val="0"/>
      <w:autoSpaceDN w:val="0"/>
      <w:adjustRightInd w:val="0"/>
      <w:snapToGrid w:val="0"/>
      <w:spacing w:before="0" w:beforeAutospacing="0" w:after="0" w:afterAutospacing="0" w:line="240" w:lineRule="auto"/>
      <w:jc w:val="left"/>
    </w:pPr>
    <w:rPr>
      <w:rFonts w:ascii="Arial" w:hAnsi="Arial" w:eastAsia="Arial" w:cs="Arial"/>
      <w:color w:val="000000"/>
      <w:kern w:val="0"/>
      <w:szCs w:val="21"/>
    </w:rPr>
  </w:style>
  <w:style w:type="paragraph" w:styleId="15">
    <w:name w:val="Body Text 3"/>
    <w:basedOn w:val="1"/>
    <w:link w:val="54"/>
    <w:unhideWhenUsed/>
    <w:qFormat/>
    <w:uiPriority w:val="99"/>
    <w:pPr>
      <w:autoSpaceDN w:val="0"/>
      <w:spacing w:before="0" w:beforeAutospacing="0" w:after="120" w:afterAutospacing="0" w:line="240" w:lineRule="auto"/>
    </w:pPr>
    <w:rPr>
      <w:rFonts w:ascii="Times New Roman" w:hAnsi="Times New Roman"/>
      <w:sz w:val="16"/>
      <w:szCs w:val="16"/>
    </w:rPr>
  </w:style>
  <w:style w:type="paragraph" w:styleId="16">
    <w:name w:val="Body Text"/>
    <w:basedOn w:val="1"/>
    <w:next w:val="1"/>
    <w:link w:val="55"/>
    <w:qFormat/>
    <w:uiPriority w:val="99"/>
    <w:pPr>
      <w:spacing w:before="0" w:beforeAutospacing="0" w:after="0" w:afterAutospacing="0" w:line="240" w:lineRule="auto"/>
    </w:pPr>
    <w:rPr>
      <w:rFonts w:ascii="Calibri" w:hAnsi="Calibri" w:eastAsia="宋体" w:cs="Times New Roman"/>
      <w:b/>
      <w:szCs w:val="24"/>
    </w:rPr>
  </w:style>
  <w:style w:type="paragraph" w:styleId="17">
    <w:name w:val="Body Text Indent"/>
    <w:basedOn w:val="1"/>
    <w:link w:val="56"/>
    <w:unhideWhenUsed/>
    <w:qFormat/>
    <w:uiPriority w:val="99"/>
    <w:pPr>
      <w:autoSpaceDN w:val="0"/>
      <w:spacing w:before="0" w:beforeAutospacing="0" w:after="0" w:afterAutospacing="0" w:line="240" w:lineRule="auto"/>
      <w:ind w:firstLine="830" w:firstLineChars="352"/>
    </w:pPr>
    <w:rPr>
      <w:rFonts w:ascii="仿宋_GB2312" w:hAnsi="Times New Roman" w:eastAsia="仿宋_GB2312"/>
      <w:kern w:val="0"/>
      <w:sz w:val="32"/>
      <w:szCs w:val="20"/>
    </w:rPr>
  </w:style>
  <w:style w:type="paragraph" w:styleId="18">
    <w:name w:val="toc 5"/>
    <w:basedOn w:val="1"/>
    <w:next w:val="1"/>
    <w:unhideWhenUsed/>
    <w:qFormat/>
    <w:uiPriority w:val="39"/>
    <w:pPr>
      <w:autoSpaceDN w:val="0"/>
      <w:spacing w:before="0" w:beforeAutospacing="0" w:after="0" w:afterAutospacing="0" w:line="240" w:lineRule="auto"/>
      <w:ind w:left="1680" w:leftChars="800"/>
    </w:pPr>
  </w:style>
  <w:style w:type="paragraph" w:styleId="19">
    <w:name w:val="toc 3"/>
    <w:basedOn w:val="1"/>
    <w:next w:val="1"/>
    <w:unhideWhenUsed/>
    <w:qFormat/>
    <w:uiPriority w:val="39"/>
    <w:pPr>
      <w:widowControl/>
      <w:kinsoku w:val="0"/>
      <w:autoSpaceDE w:val="0"/>
      <w:autoSpaceDN w:val="0"/>
      <w:adjustRightInd w:val="0"/>
      <w:snapToGrid w:val="0"/>
      <w:spacing w:before="0" w:beforeAutospacing="0" w:after="0" w:afterAutospacing="0" w:line="240" w:lineRule="auto"/>
      <w:ind w:left="840" w:leftChars="400"/>
      <w:jc w:val="left"/>
    </w:pPr>
    <w:rPr>
      <w:rFonts w:ascii="Arial" w:hAnsi="Arial" w:eastAsia="Arial" w:cs="Arial"/>
      <w:color w:val="000000"/>
      <w:kern w:val="0"/>
      <w:szCs w:val="21"/>
    </w:rPr>
  </w:style>
  <w:style w:type="paragraph" w:styleId="20">
    <w:name w:val="Plain Text"/>
    <w:basedOn w:val="1"/>
    <w:next w:val="1"/>
    <w:link w:val="57"/>
    <w:unhideWhenUsed/>
    <w:qFormat/>
    <w:uiPriority w:val="99"/>
    <w:pPr>
      <w:spacing w:before="0" w:beforeAutospacing="0" w:after="0" w:afterAutospacing="0" w:line="240" w:lineRule="auto"/>
    </w:pPr>
    <w:rPr>
      <w:rFonts w:ascii="宋体" w:hAnsi="Courier New" w:eastAsia="宋体" w:cs="Courier New"/>
      <w:szCs w:val="21"/>
    </w:rPr>
  </w:style>
  <w:style w:type="paragraph" w:styleId="21">
    <w:name w:val="toc 8"/>
    <w:basedOn w:val="1"/>
    <w:next w:val="1"/>
    <w:unhideWhenUsed/>
    <w:qFormat/>
    <w:uiPriority w:val="39"/>
    <w:pPr>
      <w:autoSpaceDN w:val="0"/>
      <w:spacing w:before="0" w:beforeAutospacing="0" w:after="0" w:afterAutospacing="0" w:line="240" w:lineRule="auto"/>
      <w:ind w:left="2940" w:leftChars="1400"/>
    </w:pPr>
  </w:style>
  <w:style w:type="paragraph" w:styleId="22">
    <w:name w:val="Date"/>
    <w:basedOn w:val="1"/>
    <w:next w:val="1"/>
    <w:link w:val="58"/>
    <w:unhideWhenUsed/>
    <w:qFormat/>
    <w:uiPriority w:val="99"/>
    <w:pPr>
      <w:autoSpaceDN w:val="0"/>
      <w:spacing w:before="0" w:beforeAutospacing="0" w:after="0" w:afterAutospacing="0" w:line="240" w:lineRule="auto"/>
      <w:ind w:left="100" w:leftChars="2500"/>
    </w:pPr>
    <w:rPr>
      <w:rFonts w:ascii="Times New Roman" w:hAnsi="Times New Roman"/>
      <w:szCs w:val="24"/>
    </w:rPr>
  </w:style>
  <w:style w:type="paragraph" w:styleId="23">
    <w:name w:val="Balloon Text"/>
    <w:basedOn w:val="1"/>
    <w:link w:val="59"/>
    <w:unhideWhenUsed/>
    <w:qFormat/>
    <w:uiPriority w:val="99"/>
    <w:pPr>
      <w:widowControl/>
      <w:kinsoku w:val="0"/>
      <w:autoSpaceDE w:val="0"/>
      <w:autoSpaceDN w:val="0"/>
      <w:adjustRightInd w:val="0"/>
      <w:snapToGrid w:val="0"/>
      <w:spacing w:before="0" w:beforeAutospacing="0" w:after="0" w:afterAutospacing="0" w:line="240" w:lineRule="auto"/>
      <w:jc w:val="left"/>
    </w:pPr>
    <w:rPr>
      <w:rFonts w:ascii="Arial" w:hAnsi="Arial" w:eastAsia="Arial" w:cs="Arial"/>
      <w:color w:val="000000"/>
      <w:kern w:val="0"/>
      <w:sz w:val="18"/>
      <w:szCs w:val="18"/>
    </w:rPr>
  </w:style>
  <w:style w:type="paragraph" w:styleId="24">
    <w:name w:val="footer"/>
    <w:basedOn w:val="1"/>
    <w:next w:val="1"/>
    <w:link w:val="60"/>
    <w:unhideWhenUsed/>
    <w:qFormat/>
    <w:uiPriority w:val="99"/>
    <w:pPr>
      <w:tabs>
        <w:tab w:val="center" w:pos="4153"/>
        <w:tab w:val="right" w:pos="8306"/>
      </w:tabs>
      <w:snapToGrid w:val="0"/>
      <w:spacing w:before="0" w:beforeAutospacing="0" w:after="0" w:afterAutospacing="0" w:line="240" w:lineRule="auto"/>
      <w:jc w:val="left"/>
    </w:pPr>
    <w:rPr>
      <w:rFonts w:ascii="Calibri" w:hAnsi="Calibri" w:eastAsia="宋体" w:cs="Times New Roman"/>
      <w:sz w:val="18"/>
      <w:szCs w:val="18"/>
    </w:rPr>
  </w:style>
  <w:style w:type="paragraph" w:styleId="25">
    <w:name w:val="header"/>
    <w:basedOn w:val="1"/>
    <w:link w:val="61"/>
    <w:qFormat/>
    <w:uiPriority w:val="99"/>
    <w:pPr>
      <w:pBdr>
        <w:bottom w:val="single" w:color="auto" w:sz="6" w:space="1"/>
      </w:pBdr>
      <w:tabs>
        <w:tab w:val="center" w:pos="4153"/>
        <w:tab w:val="right" w:pos="8306"/>
      </w:tabs>
      <w:snapToGrid w:val="0"/>
      <w:spacing w:before="0" w:beforeAutospacing="0" w:after="0" w:afterAutospacing="0" w:line="240" w:lineRule="auto"/>
      <w:jc w:val="center"/>
    </w:pPr>
    <w:rPr>
      <w:rFonts w:ascii="Calibri" w:hAnsi="Calibri" w:eastAsia="宋体" w:cs="Times New Roman"/>
      <w:sz w:val="18"/>
      <w:szCs w:val="18"/>
    </w:rPr>
  </w:style>
  <w:style w:type="paragraph" w:styleId="26">
    <w:name w:val="toc 1"/>
    <w:basedOn w:val="1"/>
    <w:next w:val="1"/>
    <w:unhideWhenUsed/>
    <w:qFormat/>
    <w:uiPriority w:val="39"/>
    <w:pPr>
      <w:spacing w:before="0" w:beforeAutospacing="0" w:after="0" w:afterAutospacing="0" w:line="240" w:lineRule="auto"/>
    </w:pPr>
    <w:rPr>
      <w:rFonts w:ascii="Calibri" w:hAnsi="Calibri" w:eastAsia="宋体" w:cs="Times New Roman"/>
    </w:rPr>
  </w:style>
  <w:style w:type="paragraph" w:styleId="27">
    <w:name w:val="toc 4"/>
    <w:basedOn w:val="1"/>
    <w:next w:val="1"/>
    <w:unhideWhenUsed/>
    <w:qFormat/>
    <w:uiPriority w:val="39"/>
    <w:pPr>
      <w:autoSpaceDN w:val="0"/>
      <w:spacing w:before="0" w:beforeAutospacing="0" w:after="0" w:afterAutospacing="0" w:line="240" w:lineRule="auto"/>
      <w:ind w:left="1260" w:leftChars="600"/>
    </w:pPr>
  </w:style>
  <w:style w:type="paragraph" w:styleId="28">
    <w:name w:val="toc 6"/>
    <w:basedOn w:val="1"/>
    <w:next w:val="1"/>
    <w:unhideWhenUsed/>
    <w:qFormat/>
    <w:uiPriority w:val="39"/>
    <w:pPr>
      <w:autoSpaceDN w:val="0"/>
      <w:spacing w:before="0" w:beforeAutospacing="0" w:after="0" w:afterAutospacing="0" w:line="240" w:lineRule="auto"/>
      <w:ind w:left="2100" w:leftChars="1000"/>
    </w:pPr>
  </w:style>
  <w:style w:type="paragraph" w:styleId="29">
    <w:name w:val="toc 2"/>
    <w:basedOn w:val="1"/>
    <w:next w:val="1"/>
    <w:unhideWhenUsed/>
    <w:qFormat/>
    <w:uiPriority w:val="39"/>
    <w:pPr>
      <w:spacing w:before="0" w:beforeAutospacing="0" w:after="0" w:afterAutospacing="0" w:line="240" w:lineRule="auto"/>
      <w:ind w:left="420" w:leftChars="200"/>
    </w:pPr>
    <w:rPr>
      <w:rFonts w:ascii="Calibri" w:hAnsi="Calibri" w:eastAsia="宋体" w:cs="Times New Roman"/>
    </w:rPr>
  </w:style>
  <w:style w:type="paragraph" w:styleId="30">
    <w:name w:val="toc 9"/>
    <w:basedOn w:val="1"/>
    <w:next w:val="1"/>
    <w:unhideWhenUsed/>
    <w:qFormat/>
    <w:uiPriority w:val="39"/>
    <w:pPr>
      <w:autoSpaceDN w:val="0"/>
      <w:spacing w:before="0" w:beforeAutospacing="0" w:after="0" w:afterAutospacing="0" w:line="240" w:lineRule="auto"/>
      <w:ind w:left="3360" w:leftChars="1600"/>
    </w:pPr>
  </w:style>
  <w:style w:type="paragraph" w:styleId="31">
    <w:name w:val="HTML Preformatted"/>
    <w:basedOn w:val="1"/>
    <w:link w:val="6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val="0"/>
      <w:autoSpaceDE w:val="0"/>
      <w:autoSpaceDN w:val="0"/>
      <w:adjustRightInd w:val="0"/>
      <w:snapToGrid w:val="0"/>
      <w:spacing w:before="0" w:beforeAutospacing="0" w:after="0" w:afterAutospacing="0" w:line="240" w:lineRule="auto"/>
      <w:jc w:val="left"/>
    </w:pPr>
    <w:rPr>
      <w:rFonts w:ascii="Courier New" w:hAnsi="Courier New" w:eastAsia="Arial" w:cs="Courier New"/>
      <w:color w:val="000000"/>
      <w:kern w:val="0"/>
      <w:sz w:val="20"/>
      <w:szCs w:val="20"/>
    </w:rPr>
  </w:style>
  <w:style w:type="paragraph" w:styleId="32">
    <w:name w:val="Title"/>
    <w:basedOn w:val="1"/>
    <w:next w:val="1"/>
    <w:qFormat/>
    <w:uiPriority w:val="10"/>
    <w:pPr>
      <w:spacing w:before="240" w:after="60"/>
      <w:jc w:val="center"/>
      <w:outlineLvl w:val="0"/>
    </w:pPr>
    <w:rPr>
      <w:rFonts w:ascii="Calibri Light" w:hAnsi="Calibri Light" w:cs="Times New Roman"/>
      <w:b/>
      <w:bCs/>
      <w:sz w:val="32"/>
      <w:szCs w:val="32"/>
    </w:rPr>
  </w:style>
  <w:style w:type="paragraph" w:styleId="33">
    <w:name w:val="annotation subject"/>
    <w:basedOn w:val="14"/>
    <w:next w:val="14"/>
    <w:link w:val="63"/>
    <w:unhideWhenUsed/>
    <w:qFormat/>
    <w:uiPriority w:val="99"/>
    <w:pPr>
      <w:widowControl w:val="0"/>
      <w:kinsoku/>
      <w:autoSpaceDE/>
      <w:adjustRightInd/>
      <w:snapToGrid/>
    </w:pPr>
    <w:rPr>
      <w:rFonts w:ascii="Times New Roman" w:hAnsi="Times New Roman" w:eastAsia="宋体" w:cs="Times New Roman"/>
      <w:b/>
      <w:bCs/>
      <w:color w:val="auto"/>
      <w:kern w:val="2"/>
      <w:szCs w:val="24"/>
    </w:rPr>
  </w:style>
  <w:style w:type="paragraph" w:styleId="34">
    <w:name w:val="Body Text First Indent 2"/>
    <w:basedOn w:val="17"/>
    <w:qFormat/>
    <w:uiPriority w:val="0"/>
    <w:pPr>
      <w:spacing w:after="120" w:afterLines="0" w:line="240" w:lineRule="auto"/>
      <w:ind w:left="420" w:leftChars="200" w:firstLine="420" w:firstLineChars="200"/>
    </w:pPr>
    <w:rPr>
      <w:rFonts w:ascii="宋体" w:hAnsi="Courier New"/>
      <w:spacing w:val="-4"/>
      <w:sz w:val="18"/>
    </w:rPr>
  </w:style>
  <w:style w:type="table" w:styleId="36">
    <w:name w:val="Table Grid"/>
    <w:basedOn w:val="35"/>
    <w:qFormat/>
    <w:uiPriority w:val="39"/>
    <w:pPr>
      <w:spacing w:before="0" w:beforeAutospacing="0" w:after="0" w:afterAutospacing="0" w:line="240" w:lineRule="auto"/>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rFonts w:hint="default" w:ascii="Arial" w:hAnsi="Arial" w:cs="Arial"/>
      <w:b/>
      <w:bCs/>
      <w:kern w:val="2"/>
      <w:sz w:val="22"/>
      <w:szCs w:val="22"/>
      <w:lang w:eastAsia="en-US"/>
    </w:rPr>
  </w:style>
  <w:style w:type="character" w:styleId="39">
    <w:name w:val="page number"/>
    <w:basedOn w:val="37"/>
    <w:qFormat/>
    <w:uiPriority w:val="99"/>
  </w:style>
  <w:style w:type="character" w:styleId="40">
    <w:name w:val="FollowedHyperlink"/>
    <w:basedOn w:val="37"/>
    <w:unhideWhenUsed/>
    <w:qFormat/>
    <w:uiPriority w:val="0"/>
    <w:rPr>
      <w:color w:val="800080"/>
      <w:u w:val="single"/>
    </w:rPr>
  </w:style>
  <w:style w:type="character" w:styleId="41">
    <w:name w:val="Hyperlink"/>
    <w:unhideWhenUsed/>
    <w:qFormat/>
    <w:uiPriority w:val="99"/>
    <w:rPr>
      <w:color w:val="0000FF"/>
      <w:u w:val="single"/>
    </w:rPr>
  </w:style>
  <w:style w:type="character" w:styleId="42">
    <w:name w:val="annotation reference"/>
    <w:basedOn w:val="37"/>
    <w:unhideWhenUsed/>
    <w:qFormat/>
    <w:uiPriority w:val="99"/>
    <w:rPr>
      <w:sz w:val="21"/>
      <w:szCs w:val="21"/>
    </w:rPr>
  </w:style>
  <w:style w:type="paragraph" w:customStyle="1" w:styleId="43">
    <w:name w:val="列出段落1"/>
    <w:basedOn w:val="1"/>
    <w:qFormat/>
    <w:uiPriority w:val="99"/>
    <w:pPr>
      <w:widowControl/>
      <w:kinsoku w:val="0"/>
      <w:autoSpaceDE w:val="0"/>
      <w:autoSpaceDN w:val="0"/>
      <w:adjustRightInd w:val="0"/>
      <w:snapToGrid w:val="0"/>
      <w:spacing w:before="0" w:beforeAutospacing="0" w:after="0" w:afterAutospacing="0" w:line="240" w:lineRule="auto"/>
      <w:ind w:firstLine="420" w:firstLineChars="200"/>
      <w:jc w:val="left"/>
    </w:pPr>
    <w:rPr>
      <w:rFonts w:ascii="Arial" w:hAnsi="Arial" w:eastAsia="Arial" w:cs="Arial"/>
      <w:color w:val="000000"/>
      <w:kern w:val="0"/>
      <w:szCs w:val="21"/>
    </w:rPr>
  </w:style>
  <w:style w:type="paragraph" w:customStyle="1" w:styleId="44">
    <w:name w:val="首行缩进"/>
    <w:basedOn w:val="1"/>
    <w:qFormat/>
    <w:uiPriority w:val="0"/>
    <w:pPr>
      <w:ind w:firstLine="480" w:firstLineChars="200"/>
    </w:pPr>
  </w:style>
  <w:style w:type="paragraph" w:customStyle="1" w:styleId="45">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Normal Indent1"/>
    <w:qFormat/>
    <w:uiPriority w:val="99"/>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7">
    <w:name w:val="标题 1 Char"/>
    <w:basedOn w:val="37"/>
    <w:link w:val="4"/>
    <w:qFormat/>
    <w:uiPriority w:val="9"/>
    <w:rPr>
      <w:rFonts w:ascii="Times New Roman" w:hAnsi="Times New Roman"/>
      <w:b/>
      <w:bCs/>
      <w:kern w:val="44"/>
      <w:sz w:val="44"/>
      <w:szCs w:val="44"/>
    </w:rPr>
  </w:style>
  <w:style w:type="character" w:customStyle="1" w:styleId="48">
    <w:name w:val="标题 2 Char"/>
    <w:basedOn w:val="37"/>
    <w:link w:val="5"/>
    <w:semiHidden/>
    <w:qFormat/>
    <w:uiPriority w:val="9"/>
    <w:rPr>
      <w:rFonts w:ascii="Arial" w:hAnsi="Arial" w:eastAsia="黑体"/>
      <w:b/>
      <w:bCs/>
      <w:kern w:val="2"/>
      <w:sz w:val="32"/>
      <w:szCs w:val="32"/>
    </w:rPr>
  </w:style>
  <w:style w:type="character" w:customStyle="1" w:styleId="49">
    <w:name w:val="标题 3 Char"/>
    <w:basedOn w:val="37"/>
    <w:link w:val="6"/>
    <w:qFormat/>
    <w:uiPriority w:val="9"/>
    <w:rPr>
      <w:rFonts w:ascii="Calibri" w:hAnsi="Calibri" w:eastAsia="黑体" w:cs="Times New Roman"/>
      <w:bCs/>
      <w:sz w:val="32"/>
      <w:szCs w:val="32"/>
    </w:rPr>
  </w:style>
  <w:style w:type="character" w:customStyle="1" w:styleId="50">
    <w:name w:val="标题 4 Char"/>
    <w:basedOn w:val="37"/>
    <w:link w:val="7"/>
    <w:semiHidden/>
    <w:qFormat/>
    <w:uiPriority w:val="9"/>
    <w:rPr>
      <w:rFonts w:ascii="Cambria" w:hAnsi="Cambria" w:cs="宋体"/>
      <w:b/>
      <w:bCs/>
      <w:kern w:val="2"/>
      <w:sz w:val="21"/>
      <w:szCs w:val="28"/>
    </w:rPr>
  </w:style>
  <w:style w:type="character" w:customStyle="1" w:styleId="51">
    <w:name w:val="标题 5 Char"/>
    <w:basedOn w:val="37"/>
    <w:link w:val="8"/>
    <w:qFormat/>
    <w:uiPriority w:val="9"/>
    <w:rPr>
      <w:rFonts w:ascii="Calibri" w:hAnsi="Calibri" w:eastAsia="宋体" w:cs="Times New Roman"/>
      <w:b/>
      <w:bCs/>
      <w:sz w:val="28"/>
      <w:szCs w:val="28"/>
    </w:rPr>
  </w:style>
  <w:style w:type="character" w:customStyle="1" w:styleId="52">
    <w:name w:val="标题 6 Char"/>
    <w:basedOn w:val="37"/>
    <w:link w:val="10"/>
    <w:semiHidden/>
    <w:qFormat/>
    <w:uiPriority w:val="9"/>
    <w:rPr>
      <w:rFonts w:ascii="Calibri Light" w:hAnsi="Calibri Light" w:cs="Calibri Light"/>
      <w:b/>
      <w:bCs/>
      <w:kern w:val="2"/>
      <w:sz w:val="24"/>
      <w:szCs w:val="24"/>
    </w:rPr>
  </w:style>
  <w:style w:type="character" w:customStyle="1" w:styleId="53">
    <w:name w:val="批注文字 Char1"/>
    <w:basedOn w:val="37"/>
    <w:link w:val="14"/>
    <w:semiHidden/>
    <w:qFormat/>
    <w:locked/>
    <w:uiPriority w:val="99"/>
    <w:rPr>
      <w:rFonts w:ascii="Arial" w:hAnsi="Arial" w:eastAsia="Arial" w:cs="Arial"/>
      <w:color w:val="000000"/>
      <w:sz w:val="21"/>
      <w:szCs w:val="21"/>
    </w:rPr>
  </w:style>
  <w:style w:type="character" w:customStyle="1" w:styleId="54">
    <w:name w:val="正文文本 3 Char"/>
    <w:basedOn w:val="37"/>
    <w:link w:val="15"/>
    <w:semiHidden/>
    <w:qFormat/>
    <w:uiPriority w:val="99"/>
    <w:rPr>
      <w:rFonts w:ascii="Times New Roman" w:hAnsi="Times New Roman"/>
      <w:kern w:val="2"/>
      <w:sz w:val="16"/>
      <w:szCs w:val="16"/>
    </w:rPr>
  </w:style>
  <w:style w:type="character" w:customStyle="1" w:styleId="55">
    <w:name w:val="正文文本 Char"/>
    <w:basedOn w:val="37"/>
    <w:link w:val="16"/>
    <w:qFormat/>
    <w:uiPriority w:val="99"/>
    <w:rPr>
      <w:rFonts w:ascii="Calibri" w:hAnsi="Calibri" w:eastAsia="宋体" w:cs="Times New Roman"/>
      <w:b/>
      <w:szCs w:val="24"/>
    </w:rPr>
  </w:style>
  <w:style w:type="character" w:customStyle="1" w:styleId="56">
    <w:name w:val="正文文本缩进 Char"/>
    <w:basedOn w:val="37"/>
    <w:link w:val="17"/>
    <w:semiHidden/>
    <w:qFormat/>
    <w:uiPriority w:val="99"/>
    <w:rPr>
      <w:rFonts w:ascii="仿宋_GB2312" w:hAnsi="Times New Roman" w:eastAsia="仿宋_GB2312"/>
      <w:sz w:val="32"/>
    </w:rPr>
  </w:style>
  <w:style w:type="character" w:customStyle="1" w:styleId="57">
    <w:name w:val="纯文本 Char"/>
    <w:basedOn w:val="37"/>
    <w:link w:val="20"/>
    <w:qFormat/>
    <w:uiPriority w:val="99"/>
    <w:rPr>
      <w:rFonts w:ascii="宋体" w:hAnsi="Courier New" w:eastAsia="宋体" w:cs="Courier New"/>
      <w:szCs w:val="21"/>
    </w:rPr>
  </w:style>
  <w:style w:type="character" w:customStyle="1" w:styleId="58">
    <w:name w:val="日期 Char"/>
    <w:basedOn w:val="37"/>
    <w:link w:val="22"/>
    <w:semiHidden/>
    <w:qFormat/>
    <w:uiPriority w:val="99"/>
    <w:rPr>
      <w:rFonts w:ascii="Times New Roman" w:hAnsi="Times New Roman"/>
      <w:kern w:val="2"/>
      <w:sz w:val="21"/>
      <w:szCs w:val="24"/>
    </w:rPr>
  </w:style>
  <w:style w:type="character" w:customStyle="1" w:styleId="59">
    <w:name w:val="批注框文本 Char"/>
    <w:basedOn w:val="37"/>
    <w:link w:val="23"/>
    <w:semiHidden/>
    <w:qFormat/>
    <w:uiPriority w:val="99"/>
    <w:rPr>
      <w:rFonts w:ascii="Arial" w:hAnsi="Arial" w:eastAsia="Arial" w:cs="Arial"/>
      <w:color w:val="000000"/>
      <w:sz w:val="18"/>
      <w:szCs w:val="18"/>
    </w:rPr>
  </w:style>
  <w:style w:type="character" w:customStyle="1" w:styleId="60">
    <w:name w:val="页脚 Char"/>
    <w:basedOn w:val="37"/>
    <w:link w:val="24"/>
    <w:qFormat/>
    <w:uiPriority w:val="99"/>
    <w:rPr>
      <w:rFonts w:ascii="Calibri" w:hAnsi="Calibri" w:eastAsia="宋体" w:cs="Times New Roman"/>
      <w:sz w:val="18"/>
      <w:szCs w:val="18"/>
    </w:rPr>
  </w:style>
  <w:style w:type="character" w:customStyle="1" w:styleId="61">
    <w:name w:val="页眉 Char"/>
    <w:basedOn w:val="37"/>
    <w:link w:val="25"/>
    <w:qFormat/>
    <w:uiPriority w:val="99"/>
    <w:rPr>
      <w:rFonts w:ascii="Calibri" w:hAnsi="Calibri" w:eastAsia="宋体" w:cs="Times New Roman"/>
      <w:sz w:val="18"/>
      <w:szCs w:val="18"/>
    </w:rPr>
  </w:style>
  <w:style w:type="character" w:customStyle="1" w:styleId="62">
    <w:name w:val="HTML 预设格式 Char"/>
    <w:basedOn w:val="37"/>
    <w:link w:val="31"/>
    <w:semiHidden/>
    <w:qFormat/>
    <w:uiPriority w:val="99"/>
    <w:rPr>
      <w:rFonts w:ascii="Courier New" w:hAnsi="Courier New" w:eastAsia="Arial" w:cs="Courier New"/>
      <w:color w:val="000000"/>
    </w:rPr>
  </w:style>
  <w:style w:type="character" w:customStyle="1" w:styleId="63">
    <w:name w:val="批注主题 Char"/>
    <w:basedOn w:val="64"/>
    <w:link w:val="33"/>
    <w:semiHidden/>
    <w:qFormat/>
    <w:uiPriority w:val="99"/>
    <w:rPr>
      <w:rFonts w:ascii="Times New Roman" w:hAnsi="Times New Roman"/>
      <w:b/>
      <w:bCs/>
      <w:szCs w:val="24"/>
    </w:rPr>
  </w:style>
  <w:style w:type="character" w:customStyle="1" w:styleId="64">
    <w:name w:val="批注文字 Char"/>
    <w:basedOn w:val="37"/>
    <w:link w:val="14"/>
    <w:semiHidden/>
    <w:qFormat/>
    <w:uiPriority w:val="99"/>
    <w:rPr>
      <w:kern w:val="2"/>
      <w:sz w:val="21"/>
      <w:szCs w:val="22"/>
    </w:rPr>
  </w:style>
  <w:style w:type="paragraph" w:customStyle="1" w:styleId="65">
    <w:name w:val="null3"/>
    <w:qFormat/>
    <w:uiPriority w:val="0"/>
    <w:rPr>
      <w:rFonts w:hint="eastAsia" w:ascii="Times New Roman" w:hAnsi="Times New Roman" w:eastAsia="宋体" w:cs="Times New Roman"/>
      <w:lang w:val="en-US" w:eastAsia="zh-CN" w:bidi="ar-SA"/>
    </w:rPr>
  </w:style>
  <w:style w:type="paragraph" w:customStyle="1" w:styleId="66">
    <w:name w:val="样式1"/>
    <w:basedOn w:val="1"/>
    <w:qFormat/>
    <w:uiPriority w:val="0"/>
    <w:pPr>
      <w:spacing w:before="0" w:beforeAutospacing="0" w:after="0" w:afterAutospacing="0" w:line="240" w:lineRule="auto"/>
      <w:jc w:val="center"/>
    </w:pPr>
    <w:rPr>
      <w:rFonts w:ascii="Calibri" w:hAnsi="Calibri" w:eastAsia="方正大标宋简体" w:cs="Times New Roman"/>
      <w:sz w:val="52"/>
    </w:rPr>
  </w:style>
  <w:style w:type="character" w:customStyle="1" w:styleId="67">
    <w:name w:val="已访问的超链接1"/>
    <w:basedOn w:val="37"/>
    <w:unhideWhenUsed/>
    <w:qFormat/>
    <w:uiPriority w:val="99"/>
    <w:rPr>
      <w:color w:val="954F72"/>
      <w:u w:val="single"/>
    </w:rPr>
  </w:style>
  <w:style w:type="character" w:customStyle="1" w:styleId="68">
    <w:name w:val="无间隔 Char"/>
    <w:link w:val="69"/>
    <w:qFormat/>
    <w:locked/>
    <w:uiPriority w:val="1"/>
    <w:rPr>
      <w:kern w:val="2"/>
      <w:sz w:val="21"/>
      <w:szCs w:val="24"/>
      <w:lang w:val="en-US" w:eastAsia="zh-CN" w:bidi="ar-SA"/>
    </w:rPr>
  </w:style>
  <w:style w:type="paragraph" w:styleId="69">
    <w:name w:val="No Spacing"/>
    <w:link w:val="68"/>
    <w:qFormat/>
    <w:uiPriority w:val="1"/>
    <w:pPr>
      <w:widowControl w:val="0"/>
      <w:autoSpaceDN w:val="0"/>
      <w:jc w:val="both"/>
    </w:pPr>
    <w:rPr>
      <w:rFonts w:ascii="Times New Roman" w:hAnsi="Times New Roman" w:eastAsia="宋体" w:cs="Times New Roman"/>
      <w:kern w:val="2"/>
      <w:sz w:val="21"/>
      <w:szCs w:val="24"/>
      <w:lang w:val="en-US" w:eastAsia="zh-CN" w:bidi="ar-SA"/>
    </w:rPr>
  </w:style>
  <w:style w:type="paragraph" w:styleId="70">
    <w:name w:val="List Paragraph"/>
    <w:basedOn w:val="1"/>
    <w:qFormat/>
    <w:uiPriority w:val="34"/>
    <w:pPr>
      <w:autoSpaceDN w:val="0"/>
      <w:spacing w:before="0" w:beforeAutospacing="0" w:after="0" w:afterAutospacing="0" w:line="240" w:lineRule="auto"/>
      <w:ind w:firstLine="420" w:firstLineChars="200"/>
    </w:pPr>
    <w:rPr>
      <w:rFonts w:ascii="Times New Roman" w:hAnsi="Times New Roman"/>
      <w:szCs w:val="24"/>
    </w:rPr>
  </w:style>
  <w:style w:type="paragraph" w:customStyle="1" w:styleId="71">
    <w:name w:val="WPSOffice手动目录 1"/>
    <w:qFormat/>
    <w:uiPriority w:val="99"/>
    <w:pPr>
      <w:autoSpaceDN w:val="0"/>
    </w:pPr>
    <w:rPr>
      <w:rFonts w:ascii="Times New Roman" w:hAnsi="Times New Roman" w:eastAsia="宋体" w:cs="Times New Roman"/>
      <w:lang w:val="en-US" w:eastAsia="zh-CN" w:bidi="ar-SA"/>
    </w:rPr>
  </w:style>
  <w:style w:type="paragraph" w:customStyle="1" w:styleId="72">
    <w:name w:val="WPSOffice手动目录 2"/>
    <w:qFormat/>
    <w:uiPriority w:val="99"/>
    <w:pPr>
      <w:autoSpaceDN w:val="0"/>
      <w:ind w:left="200" w:leftChars="200"/>
    </w:pPr>
    <w:rPr>
      <w:rFonts w:ascii="Times New Roman" w:hAnsi="Times New Roman" w:eastAsia="宋体" w:cs="Times New Roman"/>
      <w:lang w:val="en-US" w:eastAsia="zh-CN" w:bidi="ar-SA"/>
    </w:rPr>
  </w:style>
  <w:style w:type="paragraph" w:customStyle="1" w:styleId="73">
    <w:name w:val="WPSOffice手动目录 3"/>
    <w:qFormat/>
    <w:uiPriority w:val="99"/>
    <w:pPr>
      <w:autoSpaceDN w:val="0"/>
      <w:ind w:left="400" w:leftChars="400"/>
    </w:pPr>
    <w:rPr>
      <w:rFonts w:ascii="Times New Roman" w:hAnsi="Times New Roman" w:eastAsia="宋体" w:cs="Times New Roman"/>
      <w:lang w:val="en-US" w:eastAsia="zh-CN" w:bidi="ar-SA"/>
    </w:rPr>
  </w:style>
  <w:style w:type="paragraph" w:customStyle="1" w:styleId="74">
    <w:name w:val="表格文字"/>
    <w:basedOn w:val="1"/>
    <w:qFormat/>
    <w:uiPriority w:val="99"/>
    <w:pPr>
      <w:autoSpaceDN w:val="0"/>
      <w:spacing w:before="25" w:beforeAutospacing="0" w:after="25" w:afterAutospacing="0" w:line="240" w:lineRule="auto"/>
      <w:jc w:val="left"/>
    </w:pPr>
    <w:rPr>
      <w:rFonts w:ascii="Times New Roman" w:hAnsi="Times New Roman"/>
      <w:bCs/>
      <w:spacing w:val="10"/>
      <w:kern w:val="0"/>
      <w:sz w:val="24"/>
      <w:szCs w:val="24"/>
    </w:rPr>
  </w:style>
  <w:style w:type="paragraph" w:customStyle="1" w:styleId="75">
    <w:name w:val="列表段落1"/>
    <w:basedOn w:val="1"/>
    <w:qFormat/>
    <w:uiPriority w:val="99"/>
    <w:pPr>
      <w:autoSpaceDN w:val="0"/>
      <w:spacing w:before="0" w:beforeAutospacing="0" w:after="0" w:afterAutospacing="0" w:line="240" w:lineRule="auto"/>
      <w:ind w:firstLine="420" w:firstLineChars="200"/>
    </w:pPr>
    <w:rPr>
      <w:rFonts w:ascii="Times New Roman" w:hAnsi="Times New Roman"/>
      <w:szCs w:val="21"/>
    </w:rPr>
  </w:style>
  <w:style w:type="paragraph" w:customStyle="1" w:styleId="76">
    <w:name w:val="BodyText"/>
    <w:basedOn w:val="1"/>
    <w:qFormat/>
    <w:uiPriority w:val="99"/>
    <w:pPr>
      <w:autoSpaceDN w:val="0"/>
      <w:spacing w:before="0" w:beforeAutospacing="0" w:after="0" w:afterAutospacing="0" w:line="380" w:lineRule="exact"/>
    </w:pPr>
    <w:rPr>
      <w:rFonts w:ascii="Times New Roman" w:hAnsi="Times New Roman"/>
      <w:sz w:val="24"/>
      <w:szCs w:val="24"/>
    </w:rPr>
  </w:style>
  <w:style w:type="paragraph" w:customStyle="1" w:styleId="77">
    <w:name w:val="无间隔1"/>
    <w:next w:val="69"/>
    <w:qFormat/>
    <w:uiPriority w:val="1"/>
    <w:pPr>
      <w:widowControl w:val="0"/>
      <w:autoSpaceDN w:val="0"/>
      <w:jc w:val="both"/>
    </w:pPr>
    <w:rPr>
      <w:rFonts w:ascii="等线" w:hAnsi="等线" w:eastAsia="等线" w:cs="Times New Roman"/>
      <w:kern w:val="2"/>
      <w:sz w:val="21"/>
      <w:szCs w:val="22"/>
      <w:lang w:val="en-US" w:eastAsia="zh-CN" w:bidi="ar-SA"/>
    </w:rPr>
  </w:style>
  <w:style w:type="paragraph" w:customStyle="1" w:styleId="78">
    <w:name w:val="_Style 14"/>
    <w:qFormat/>
    <w:uiPriority w:val="1"/>
    <w:pPr>
      <w:widowControl w:val="0"/>
      <w:autoSpaceDN w:val="0"/>
      <w:jc w:val="both"/>
    </w:pPr>
    <w:rPr>
      <w:rFonts w:ascii="Times New Roman" w:hAnsi="Times New Roman" w:eastAsia="宋体" w:cs="Times New Roman"/>
      <w:kern w:val="2"/>
      <w:sz w:val="21"/>
      <w:szCs w:val="22"/>
      <w:lang w:val="en-US" w:eastAsia="zh-CN" w:bidi="ar-SA"/>
    </w:rPr>
  </w:style>
  <w:style w:type="paragraph" w:customStyle="1" w:styleId="79">
    <w:name w:val="_Style 1"/>
    <w:basedOn w:val="1"/>
    <w:qFormat/>
    <w:uiPriority w:val="99"/>
    <w:pPr>
      <w:autoSpaceDN w:val="0"/>
      <w:spacing w:before="0" w:beforeAutospacing="0" w:after="0" w:afterAutospacing="0" w:line="240" w:lineRule="auto"/>
      <w:ind w:firstLine="420" w:firstLineChars="200"/>
    </w:pPr>
  </w:style>
  <w:style w:type="paragraph" w:customStyle="1" w:styleId="80">
    <w:name w:val="TOC 标题1"/>
    <w:basedOn w:val="4"/>
    <w:next w:val="1"/>
    <w:qFormat/>
    <w:uiPriority w:val="39"/>
    <w:pPr>
      <w:widowControl/>
      <w:spacing w:before="0" w:beforeLines="50" w:after="0" w:afterLines="50" w:line="256" w:lineRule="auto"/>
      <w:jc w:val="left"/>
      <w:outlineLvl w:val="9"/>
    </w:pPr>
    <w:rPr>
      <w:rFonts w:ascii="Calibri Light" w:hAnsi="Calibri Light"/>
      <w:bCs w:val="0"/>
      <w:color w:val="2E74B5"/>
      <w:kern w:val="0"/>
      <w:sz w:val="32"/>
      <w:szCs w:val="32"/>
    </w:rPr>
  </w:style>
  <w:style w:type="character" w:customStyle="1" w:styleId="81">
    <w:name w:val="font51"/>
    <w:qFormat/>
    <w:uiPriority w:val="99"/>
    <w:rPr>
      <w:rFonts w:hint="eastAsia" w:ascii="宋体" w:hAnsi="宋体" w:eastAsia="宋体" w:cs="宋体"/>
      <w:color w:val="000000"/>
      <w:sz w:val="24"/>
      <w:szCs w:val="24"/>
      <w:u w:val="none"/>
    </w:rPr>
  </w:style>
  <w:style w:type="character" w:customStyle="1" w:styleId="82">
    <w:name w:val="font11"/>
    <w:qFormat/>
    <w:uiPriority w:val="99"/>
    <w:rPr>
      <w:rFonts w:hint="eastAsia" w:ascii="宋体" w:hAnsi="宋体" w:eastAsia="宋体" w:cs="宋体"/>
      <w:color w:val="000000"/>
      <w:sz w:val="20"/>
      <w:szCs w:val="20"/>
      <w:u w:val="none"/>
    </w:rPr>
  </w:style>
  <w:style w:type="character" w:customStyle="1" w:styleId="83">
    <w:name w:val="Balloon Text Char"/>
    <w:qFormat/>
    <w:uiPriority w:val="99"/>
    <w:rPr>
      <w:sz w:val="18"/>
      <w:szCs w:val="18"/>
    </w:rPr>
  </w:style>
  <w:style w:type="character" w:customStyle="1" w:styleId="84">
    <w:name w:val="纯文本 Char1"/>
    <w:semiHidden/>
    <w:qFormat/>
    <w:locked/>
    <w:uiPriority w:val="99"/>
    <w:rPr>
      <w:rFonts w:hint="eastAsia" w:ascii="宋体" w:hAnsi="Courier New" w:eastAsia="宋体" w:cs="宋体"/>
      <w:kern w:val="2"/>
      <w:sz w:val="21"/>
      <w:szCs w:val="21"/>
    </w:rPr>
  </w:style>
  <w:style w:type="character" w:customStyle="1" w:styleId="85">
    <w:name w:val="批注框文本 字符1"/>
    <w:basedOn w:val="37"/>
    <w:semiHidden/>
    <w:qFormat/>
    <w:uiPriority w:val="99"/>
    <w:rPr>
      <w:rFonts w:hint="default" w:ascii="Times New Roman" w:hAnsi="Times New Roman" w:eastAsia="宋体" w:cs="Times New Roman"/>
      <w:sz w:val="18"/>
      <w:szCs w:val="18"/>
    </w:rPr>
  </w:style>
  <w:style w:type="character" w:customStyle="1" w:styleId="86">
    <w:name w:val="纯文本 字符1"/>
    <w:basedOn w:val="37"/>
    <w:semiHidden/>
    <w:qFormat/>
    <w:uiPriority w:val="99"/>
    <w:rPr>
      <w:rFonts w:hint="eastAsia" w:ascii="等线" w:hAnsi="Courier New" w:eastAsia="等线" w:cs="Courier New"/>
      <w:szCs w:val="24"/>
    </w:rPr>
  </w:style>
  <w:style w:type="character" w:customStyle="1" w:styleId="87">
    <w:name w:val="批注文字 字符1"/>
    <w:basedOn w:val="37"/>
    <w:semiHidden/>
    <w:qFormat/>
    <w:uiPriority w:val="99"/>
    <w:rPr>
      <w:rFonts w:hint="default" w:ascii="Times New Roman" w:hAnsi="Times New Roman" w:eastAsia="宋体" w:cs="Times New Roman"/>
      <w:szCs w:val="24"/>
    </w:rPr>
  </w:style>
  <w:style w:type="character" w:customStyle="1" w:styleId="88">
    <w:name w:val="批注主题 字符1"/>
    <w:basedOn w:val="87"/>
    <w:semiHidden/>
    <w:qFormat/>
    <w:uiPriority w:val="99"/>
    <w:rPr>
      <w:b/>
      <w:bCs/>
    </w:rPr>
  </w:style>
  <w:style w:type="character" w:customStyle="1" w:styleId="89">
    <w:name w:val="日期 字符1"/>
    <w:basedOn w:val="37"/>
    <w:semiHidden/>
    <w:qFormat/>
    <w:uiPriority w:val="99"/>
    <w:rPr>
      <w:rFonts w:hint="default" w:ascii="Times New Roman" w:hAnsi="Times New Roman" w:eastAsia="宋体" w:cs="Times New Roman"/>
      <w:szCs w:val="24"/>
    </w:rPr>
  </w:style>
  <w:style w:type="table" w:customStyle="1" w:styleId="90">
    <w:name w:val="Table Normal"/>
    <w:semiHidden/>
    <w:qFormat/>
    <w:uiPriority w:val="0"/>
    <w:rPr>
      <w:rFonts w:ascii="Times New Roman" w:hAnsi="Times New Roman"/>
      <w:lang w:val="en-US" w:eastAsia="zh-CN" w:bidi="ar-SA"/>
    </w:rPr>
    <w:tblPr>
      <w:tblCellMar>
        <w:top w:w="0" w:type="dxa"/>
        <w:left w:w="0" w:type="dxa"/>
        <w:bottom w:w="0" w:type="dxa"/>
        <w:right w:w="0" w:type="dxa"/>
      </w:tblCellMar>
    </w:tblPr>
  </w:style>
  <w:style w:type="table" w:customStyle="1" w:styleId="91">
    <w:name w:val="网格型1"/>
    <w:basedOn w:val="35"/>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2">
    <w:name w:val="网格型1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93">
    <w:name w:val="网格型2"/>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4">
    <w:name w:val="NormalCharacter"/>
    <w:qFormat/>
    <w:uiPriority w:val="0"/>
  </w:style>
  <w:style w:type="paragraph" w:customStyle="1" w:styleId="95">
    <w:name w:val="Table Text"/>
    <w:basedOn w:val="1"/>
    <w:semiHidden/>
    <w:qFormat/>
    <w:uiPriority w:val="0"/>
    <w:rPr>
      <w:rFonts w:ascii="宋体" w:hAnsi="宋体" w:eastAsia="宋体" w:cs="宋体"/>
      <w:sz w:val="20"/>
      <w:szCs w:val="20"/>
      <w:lang w:val="en-US" w:eastAsia="en-US" w:bidi="ar-SA"/>
    </w:rPr>
  </w:style>
  <w:style w:type="paragraph" w:customStyle="1" w:styleId="96">
    <w:name w:val="Table Paragraph"/>
    <w:basedOn w:val="1"/>
    <w:unhideWhenUsed/>
    <w:qFormat/>
    <w:uiPriority w:val="1"/>
    <w:rPr>
      <w:sz w:val="24"/>
    </w:rPr>
  </w:style>
  <w:style w:type="paragraph" w:customStyle="1" w:styleId="97">
    <w:name w:val="Normal_0"/>
    <w:next w:val="98"/>
    <w:unhideWhenUsed/>
    <w:qFormat/>
    <w:uiPriority w:val="0"/>
    <w:pPr>
      <w:widowControl w:val="0"/>
      <w:spacing w:beforeLines="0" w:afterLines="0" w:line="360" w:lineRule="auto"/>
      <w:ind w:firstLine="883" w:firstLineChars="200"/>
      <w:jc w:val="both"/>
    </w:pPr>
    <w:rPr>
      <w:rFonts w:hint="eastAsia" w:ascii="仿宋_GB2312" w:hAnsi="仿宋_GB2312" w:eastAsia="仿宋_GB2312" w:cs="Times New Roman"/>
      <w:kern w:val="2"/>
      <w:sz w:val="32"/>
      <w:szCs w:val="24"/>
      <w:lang w:val="en-US" w:eastAsia="zh-CN" w:bidi="ar-SA"/>
    </w:rPr>
  </w:style>
  <w:style w:type="paragraph" w:customStyle="1" w:styleId="98">
    <w:name w:val="Normal Indent1_0"/>
    <w:unhideWhenUsed/>
    <w:qFormat/>
    <w:uiPriority w:val="0"/>
    <w:pPr>
      <w:spacing w:beforeLines="0" w:afterLines="50" w:line="360" w:lineRule="auto"/>
      <w:ind w:firstLine="420" w:firstLineChars="200"/>
    </w:pPr>
    <w:rPr>
      <w:rFonts w:hint="default"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18493</Words>
  <Characters>20002</Characters>
  <Lines>1</Lines>
  <Paragraphs>1</Paragraphs>
  <TotalTime>33</TotalTime>
  <ScaleCrop>false</ScaleCrop>
  <LinksUpToDate>false</LinksUpToDate>
  <CharactersWithSpaces>20489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2024-01-12T18:18:00Z</dcterms:created>
  <dc:creator>Administrator</dc:creator>
  <cp:lastModifiedBy>zbzx</cp:lastModifiedBy>
  <cp:lastPrinted>2024-01-31T18:06:00Z</cp:lastPrinted>
  <dcterms:modified xsi:type="dcterms:W3CDTF">2026-02-02T03:53:34Z</dcterms:modified>
  <dc:title>磋商文件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4ECDFDDF9C8E4C88AD92772D290BB6C1_13</vt:lpwstr>
  </property>
  <property fmtid="{D5CDD505-2E9C-101B-9397-08002B2CF9AE}" pid="4" name="KSOTemplateDocerSaveRecord">
    <vt:lpwstr>eyJoZGlkIjoiZTQ3N2FmYjEwZjE0ZTNiY2M1OTQwNWU0ZjgwMzM4ZmYiLCJ1c2VySWQiOiIxNTQ4OTc5NDEzIn0=</vt:lpwstr>
  </property>
</Properties>
</file>