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1.6.0 -->
  <w:body>
    <w:p>
      <w:pPr>
        <w:widowControl w:val="0"/>
        <w:topLinePunct/>
        <w:autoSpaceDE w:val="0"/>
        <w:autoSpaceDN w:val="0"/>
        <w:spacing w:before="0" w:after="0" w:line="360" w:lineRule="auto"/>
        <w:jc w:val="center"/>
        <w:rPr>
          <w:rFonts w:ascii="宋体" w:eastAsia="宋体" w:hAnsi="宋体" w:cs="宋体" w:hint="eastAsia"/>
          <w:b/>
          <w:sz w:val="96"/>
          <w:szCs w:val="96"/>
          <w:lang w:eastAsia="zh-CN"/>
        </w:rPr>
      </w:pPr>
    </w:p>
    <w:p>
      <w:pPr>
        <w:widowControl w:val="0"/>
        <w:topLinePunct/>
        <w:autoSpaceDE w:val="0"/>
        <w:autoSpaceDN w:val="0"/>
        <w:spacing w:before="0" w:after="0" w:line="360" w:lineRule="auto"/>
        <w:jc w:val="center"/>
        <w:rPr>
          <w:rFonts w:ascii="宋体" w:eastAsia="宋体" w:hAnsi="宋体" w:cs="宋体" w:hint="eastAsia"/>
          <w:b/>
          <w:sz w:val="96"/>
          <w:szCs w:val="96"/>
          <w:lang w:eastAsia="zh-CN"/>
        </w:rPr>
      </w:pPr>
      <w:r>
        <w:rPr>
          <w:rFonts w:ascii="宋体" w:eastAsia="宋体" w:hAnsi="宋体" w:cs="宋体" w:hint="eastAsia"/>
          <w:b/>
          <w:sz w:val="96"/>
          <w:szCs w:val="96"/>
          <w:lang w:eastAsia="zh-CN"/>
        </w:rPr>
        <w:t>采 购 需 求</w:t>
      </w:r>
    </w:p>
    <w:p>
      <w:pPr>
        <w:widowControl w:val="0"/>
        <w:topLinePunct/>
        <w:autoSpaceDE w:val="0"/>
        <w:autoSpaceDN w:val="0"/>
        <w:spacing w:before="0" w:after="0" w:line="360" w:lineRule="auto"/>
        <w:jc w:val="center"/>
        <w:rPr>
          <w:rFonts w:ascii="宋体" w:eastAsia="宋体" w:hAnsi="宋体" w:cs="宋体" w:hint="eastAsia"/>
          <w:b/>
          <w:sz w:val="80"/>
          <w:szCs w:val="80"/>
          <w:lang w:eastAsia="zh-CN"/>
        </w:rPr>
      </w:pPr>
    </w:p>
    <w:p>
      <w:pPr>
        <w:widowControl w:val="0"/>
        <w:topLinePunct/>
        <w:autoSpaceDE w:val="0"/>
        <w:autoSpaceDN w:val="0"/>
        <w:spacing w:before="0" w:after="0" w:line="360" w:lineRule="auto"/>
        <w:jc w:val="center"/>
        <w:rPr>
          <w:rFonts w:ascii="宋体" w:eastAsia="宋体" w:hAnsi="宋体" w:cs="宋体" w:hint="eastAsia"/>
          <w:b/>
          <w:sz w:val="80"/>
          <w:szCs w:val="80"/>
          <w:lang w:eastAsia="zh-CN"/>
        </w:rPr>
      </w:pPr>
    </w:p>
    <w:p>
      <w:pPr>
        <w:widowControl w:val="0"/>
        <w:topLinePunct/>
        <w:autoSpaceDE w:val="0"/>
        <w:autoSpaceDN w:val="0"/>
        <w:spacing w:before="0" w:after="0" w:line="360" w:lineRule="auto"/>
        <w:jc w:val="center"/>
        <w:rPr>
          <w:rFonts w:ascii="宋体" w:eastAsia="宋体" w:hAnsi="宋体" w:cs="宋体" w:hint="eastAsia"/>
          <w:b/>
          <w:sz w:val="80"/>
          <w:szCs w:val="80"/>
          <w:lang w:eastAsia="zh-CN"/>
        </w:rPr>
      </w:pPr>
    </w:p>
    <w:p>
      <w:pPr>
        <w:widowControl w:val="0"/>
        <w:topLinePunct/>
        <w:autoSpaceDE w:val="0"/>
        <w:autoSpaceDN w:val="0"/>
        <w:spacing w:before="0" w:after="0" w:line="360" w:lineRule="auto"/>
        <w:jc w:val="center"/>
        <w:rPr>
          <w:rFonts w:ascii="宋体" w:eastAsia="宋体" w:hAnsi="宋体" w:cs="宋体" w:hint="eastAsia"/>
          <w:b/>
          <w:sz w:val="30"/>
          <w:szCs w:val="30"/>
          <w:lang w:eastAsia="zh-CN"/>
        </w:rPr>
      </w:pPr>
      <w:r>
        <w:rPr>
          <w:rFonts w:ascii="宋体" w:eastAsia="宋体" w:hAnsi="宋体" w:cs="宋体" w:hint="eastAsia"/>
          <w:b/>
          <w:sz w:val="30"/>
          <w:szCs w:val="30"/>
          <w:lang w:eastAsia="zh-CN"/>
        </w:rPr>
        <w:t>项目名称：</w:t>
      </w:r>
      <w:r>
        <w:rPr>
          <w:rFonts w:ascii="宋体" w:eastAsia="宋体" w:hAnsi="宋体" w:cs="宋体" w:hint="eastAsia"/>
          <w:b/>
          <w:sz w:val="30"/>
          <w:szCs w:val="30"/>
          <w:lang w:eastAsia="zh-CN"/>
        </w:rPr>
        <w:t>国家税务总局南宁市青秀区税务局2027年职工食堂食材采购及配送项目</w:t>
      </w:r>
    </w:p>
    <w:p>
      <w:pPr>
        <w:widowControl w:val="0"/>
        <w:spacing w:before="0" w:after="0" w:line="360" w:lineRule="auto"/>
        <w:jc w:val="both"/>
        <w:rPr>
          <w:rFonts w:ascii="宋体" w:eastAsia="宋体" w:hAnsi="宋体" w:cs="宋体" w:hint="eastAsia"/>
          <w:kern w:val="2"/>
          <w:sz w:val="32"/>
          <w:szCs w:val="32"/>
          <w:lang w:eastAsia="zh-CN"/>
        </w:rPr>
      </w:pPr>
    </w:p>
    <w:p>
      <w:pPr>
        <w:widowControl w:val="0"/>
        <w:spacing w:before="0" w:after="0" w:line="360" w:lineRule="auto"/>
        <w:jc w:val="both"/>
        <w:rPr>
          <w:rFonts w:ascii="宋体" w:eastAsia="宋体" w:hAnsi="宋体" w:cs="宋体"/>
          <w:kern w:val="2"/>
          <w:sz w:val="32"/>
          <w:szCs w:val="32"/>
          <w:lang w:eastAsia="zh-CN"/>
        </w:rPr>
      </w:pPr>
    </w:p>
    <w:p>
      <w:pPr>
        <w:widowControl w:val="0"/>
        <w:spacing w:before="0" w:after="0" w:line="360" w:lineRule="auto"/>
        <w:jc w:val="both"/>
        <w:rPr>
          <w:rFonts w:ascii="宋体" w:eastAsia="宋体" w:hAnsi="宋体" w:cs="宋体" w:hint="eastAsia"/>
          <w:kern w:val="2"/>
          <w:sz w:val="32"/>
          <w:szCs w:val="32"/>
          <w:lang w:eastAsia="zh-CN"/>
        </w:rPr>
      </w:pPr>
    </w:p>
    <w:p>
      <w:pPr>
        <w:widowControl w:val="0"/>
        <w:topLinePunct/>
        <w:autoSpaceDE w:val="0"/>
        <w:autoSpaceDN w:val="0"/>
        <w:spacing w:before="0" w:after="0" w:line="360" w:lineRule="auto"/>
        <w:jc w:val="both"/>
        <w:rPr>
          <w:rFonts w:ascii="宋体" w:eastAsia="宋体" w:hAnsi="宋体" w:cs="宋体" w:hint="eastAsia"/>
          <w:sz w:val="32"/>
          <w:szCs w:val="32"/>
          <w:lang w:eastAsia="zh-CN"/>
        </w:rPr>
      </w:pPr>
    </w:p>
    <w:p>
      <w:pPr>
        <w:spacing w:before="0" w:after="0" w:line="360" w:lineRule="auto"/>
        <w:jc w:val="center"/>
        <w:rPr>
          <w:rFonts w:eastAsia="宋体"/>
        </w:rPr>
      </w:pPr>
      <w:r>
        <w:rPr>
          <w:rFonts w:ascii="宋体" w:eastAsia="宋体" w:hAnsi="宋体" w:cs="宋体" w:hint="eastAsia"/>
          <w:sz w:val="36"/>
          <w:szCs w:val="36"/>
          <w:lang w:eastAsia="zh-CN"/>
        </w:rPr>
        <w:t>2026年10月</w:t>
      </w:r>
    </w:p>
    <w:p w:rsidR="00A77B3E">
      <w:pPr>
        <w:spacing w:before="0" w:after="0" w:line="360" w:lineRule="auto"/>
        <w:jc w:val="center"/>
        <w:rPr>
          <w:rFonts w:ascii="SimSun" w:eastAsia="SimSun" w:hAnsi="SimSun" w:cs="SimSun"/>
          <w:sz w:val="32"/>
        </w:rPr>
      </w:pPr>
      <w:r>
        <w:br w:type="page"/>
      </w:r>
      <w:r>
        <w:rPr>
          <w:rFonts w:ascii="SimSun" w:eastAsia="SimSun" w:hAnsi="SimSun" w:cs="SimSun"/>
          <w:sz w:val="32"/>
        </w:rPr>
        <w:t>目 录</w:t>
      </w:r>
    </w:p>
    <w:p>
      <w:pPr>
        <w:pStyle w:val="TOC1"/>
        <w:tabs>
          <w:tab w:val="right" w:leader="dot" w:pos="9016"/>
        </w:tabs>
        <w:spacing w:before="0" w:after="0" w:line="360" w:lineRule="auto"/>
        <w:rPr>
          <w:rFonts w:asciiTheme="minorHAnsi" w:hAnsiTheme="minorHAnsi"/>
          <w:noProof/>
          <w:sz w:val="22"/>
        </w:rPr>
      </w:pPr>
      <w:r w:rsidR="00A77B3E">
        <w:rPr>
          <w:rFonts w:ascii="SimSun" w:eastAsia="SimSun" w:hAnsi="SimSun" w:cs="SimSun"/>
          <w:sz w:val="32"/>
        </w:rPr>
        <w:fldChar w:fldCharType="begin"/>
      </w:r>
      <w:r w:rsidR="00A77B3E">
        <w:rPr>
          <w:rFonts w:ascii="SimSun" w:eastAsia="SimSun" w:hAnsi="SimSun" w:cs="SimSun"/>
          <w:sz w:val="32"/>
        </w:rPr>
        <w:instrText>TOC \o "1-3" \h \z \u</w:instrText>
      </w:r>
      <w:r w:rsidR="00A77B3E">
        <w:rPr>
          <w:rFonts w:ascii="SimSun" w:eastAsia="SimSun" w:hAnsi="SimSun" w:cs="SimSun"/>
          <w:sz w:val="32"/>
        </w:rPr>
        <w:fldChar w:fldCharType="separate"/>
      </w:r>
      <w:hyperlink w:anchor="_Toc256000000" w:history="1">
        <w:r>
          <w:rPr>
            <w:rStyle w:val="Hyperlink"/>
            <w:rFonts w:ascii="仿宋_GB2312" w:eastAsia="仿宋_GB2312" w:hAnsi="仿宋_GB2312" w:cs="仿宋_GB2312"/>
            <w:kern w:val="36"/>
          </w:rPr>
          <w:t>1项目概述</w:t>
        </w:r>
        <w:r>
          <w:tab/>
        </w:r>
        <w:r>
          <w:fldChar w:fldCharType="begin"/>
        </w:r>
        <w:r>
          <w:instrText xml:space="preserve"> PAGEREF _Toc256000000 \h </w:instrText>
        </w:r>
        <w:r>
          <w:fldChar w:fldCharType="separate"/>
        </w:r>
        <w:r>
          <w:t>3</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01" w:history="1">
        <w:r>
          <w:rPr>
            <w:rStyle w:val="Hyperlink"/>
            <w:rFonts w:ascii="仿宋_GB2312" w:eastAsia="仿宋_GB2312" w:hAnsi="仿宋_GB2312" w:cs="仿宋_GB2312"/>
          </w:rPr>
          <w:t>1.1项目背景</w:t>
        </w:r>
        <w:r>
          <w:tab/>
        </w:r>
        <w:r>
          <w:fldChar w:fldCharType="begin"/>
        </w:r>
        <w:r>
          <w:instrText xml:space="preserve"> PAGEREF _Toc256000001 \h </w:instrText>
        </w:r>
        <w:r>
          <w:fldChar w:fldCharType="separate"/>
        </w:r>
        <w:r>
          <w:t>3</w:t>
        </w:r>
        <w:r>
          <w:fldChar w:fldCharType="end"/>
        </w:r>
      </w:hyperlink>
    </w:p>
    <w:p>
      <w:pPr>
        <w:pStyle w:val="TOC3"/>
        <w:tabs>
          <w:tab w:val="right" w:leader="dot" w:pos="9016"/>
        </w:tabs>
        <w:spacing w:before="0" w:after="0" w:line="360" w:lineRule="auto"/>
        <w:rPr>
          <w:rFonts w:asciiTheme="minorHAnsi" w:hAnsiTheme="minorHAnsi"/>
          <w:noProof/>
          <w:sz w:val="22"/>
        </w:rPr>
      </w:pPr>
      <w:hyperlink w:anchor="_Toc256000002" w:history="1">
        <w:r>
          <w:rPr>
            <w:rStyle w:val="Hyperlink"/>
            <w:rFonts w:ascii="仿宋_GB2312" w:eastAsia="仿宋_GB2312" w:hAnsi="仿宋_GB2312" w:cs="仿宋_GB2312"/>
          </w:rPr>
          <w:t>1.1.1项目目的、意义及背景</w:t>
        </w:r>
        <w:r>
          <w:tab/>
        </w:r>
        <w:r>
          <w:fldChar w:fldCharType="begin"/>
        </w:r>
        <w:r>
          <w:instrText xml:space="preserve"> PAGEREF _Toc256000002 \h </w:instrText>
        </w:r>
        <w:r>
          <w:fldChar w:fldCharType="separate"/>
        </w:r>
        <w:r>
          <w:t>3</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03" w:history="1">
        <w:r>
          <w:rPr>
            <w:rStyle w:val="Hyperlink"/>
            <w:rFonts w:ascii="仿宋_GB2312" w:eastAsia="仿宋_GB2312" w:hAnsi="仿宋_GB2312" w:cs="仿宋_GB2312"/>
          </w:rPr>
          <w:t>1.2项目内容</w:t>
        </w:r>
        <w:r>
          <w:tab/>
        </w:r>
        <w:r>
          <w:fldChar w:fldCharType="begin"/>
        </w:r>
        <w:r>
          <w:instrText xml:space="preserve"> PAGEREF _Toc256000003 \h </w:instrText>
        </w:r>
        <w:r>
          <w:fldChar w:fldCharType="separate"/>
        </w:r>
        <w:r>
          <w:t>3</w:t>
        </w:r>
        <w:r>
          <w:fldChar w:fldCharType="end"/>
        </w:r>
      </w:hyperlink>
    </w:p>
    <w:p>
      <w:pPr>
        <w:pStyle w:val="TOC3"/>
        <w:tabs>
          <w:tab w:val="right" w:leader="dot" w:pos="9016"/>
        </w:tabs>
        <w:spacing w:before="0" w:after="0" w:line="360" w:lineRule="auto"/>
        <w:rPr>
          <w:rFonts w:asciiTheme="minorHAnsi" w:hAnsiTheme="minorHAnsi"/>
          <w:noProof/>
          <w:sz w:val="22"/>
        </w:rPr>
      </w:pPr>
      <w:hyperlink w:anchor="_Toc256000004" w:history="1">
        <w:r>
          <w:rPr>
            <w:rStyle w:val="Hyperlink"/>
            <w:rFonts w:ascii="仿宋_GB2312" w:eastAsia="仿宋_GB2312" w:hAnsi="仿宋_GB2312" w:cs="仿宋_GB2312"/>
          </w:rPr>
          <w:t>1.2.1项目建设思路</w:t>
        </w:r>
        <w:r>
          <w:tab/>
        </w:r>
        <w:r>
          <w:fldChar w:fldCharType="begin"/>
        </w:r>
        <w:r>
          <w:instrText xml:space="preserve"> PAGEREF _Toc256000004 \h </w:instrText>
        </w:r>
        <w:r>
          <w:fldChar w:fldCharType="separate"/>
        </w:r>
        <w:r>
          <w:t>3</w:t>
        </w:r>
        <w:r>
          <w:fldChar w:fldCharType="end"/>
        </w:r>
      </w:hyperlink>
    </w:p>
    <w:p>
      <w:pPr>
        <w:pStyle w:val="TOC3"/>
        <w:tabs>
          <w:tab w:val="right" w:leader="dot" w:pos="9016"/>
        </w:tabs>
        <w:spacing w:before="0" w:after="0" w:line="360" w:lineRule="auto"/>
        <w:rPr>
          <w:rFonts w:asciiTheme="minorHAnsi" w:hAnsiTheme="minorHAnsi"/>
          <w:noProof/>
          <w:sz w:val="22"/>
        </w:rPr>
      </w:pPr>
      <w:hyperlink w:anchor="_Toc256000005" w:history="1">
        <w:r>
          <w:rPr>
            <w:rStyle w:val="Hyperlink"/>
            <w:rFonts w:ascii="仿宋_GB2312" w:eastAsia="仿宋_GB2312" w:hAnsi="仿宋_GB2312" w:cs="仿宋_GB2312"/>
          </w:rPr>
          <w:t>1.2.2采购内容</w:t>
        </w:r>
        <w:r>
          <w:tab/>
        </w:r>
        <w:r>
          <w:fldChar w:fldCharType="begin"/>
        </w:r>
        <w:r>
          <w:instrText xml:space="preserve"> PAGEREF _Toc256000005 \h </w:instrText>
        </w:r>
        <w:r>
          <w:fldChar w:fldCharType="separate"/>
        </w:r>
        <w:r>
          <w:t>3</w:t>
        </w:r>
        <w:r>
          <w:fldChar w:fldCharType="end"/>
        </w:r>
      </w:hyperlink>
    </w:p>
    <w:p>
      <w:pPr>
        <w:pStyle w:val="TOC3"/>
        <w:tabs>
          <w:tab w:val="right" w:leader="dot" w:pos="9016"/>
        </w:tabs>
        <w:spacing w:before="0" w:after="0" w:line="360" w:lineRule="auto"/>
        <w:rPr>
          <w:rFonts w:asciiTheme="minorHAnsi" w:hAnsiTheme="minorHAnsi"/>
          <w:noProof/>
          <w:sz w:val="22"/>
        </w:rPr>
      </w:pPr>
      <w:hyperlink w:anchor="_Toc256000006" w:history="1">
        <w:r>
          <w:rPr>
            <w:rStyle w:val="Hyperlink"/>
            <w:rFonts w:ascii="仿宋_GB2312" w:eastAsia="仿宋_GB2312" w:hAnsi="仿宋_GB2312" w:cs="仿宋_GB2312"/>
          </w:rPr>
          <w:t>1.2.3项目实施要求</w:t>
        </w:r>
        <w:r>
          <w:tab/>
        </w:r>
        <w:r>
          <w:fldChar w:fldCharType="begin"/>
        </w:r>
        <w:r>
          <w:instrText xml:space="preserve"> PAGEREF _Toc256000006 \h </w:instrText>
        </w:r>
        <w:r>
          <w:fldChar w:fldCharType="separate"/>
        </w:r>
        <w:r>
          <w:t>3</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07" w:history="1">
        <w:r>
          <w:rPr>
            <w:rStyle w:val="Hyperlink"/>
            <w:rFonts w:ascii="仿宋_GB2312" w:eastAsia="仿宋_GB2312" w:hAnsi="仿宋_GB2312" w:cs="仿宋_GB2312"/>
          </w:rPr>
          <w:t>1.3其他要求</w:t>
        </w:r>
        <w:r>
          <w:tab/>
        </w:r>
        <w:r>
          <w:fldChar w:fldCharType="begin"/>
        </w:r>
        <w:r>
          <w:instrText xml:space="preserve"> PAGEREF _Toc256000007 \h </w:instrText>
        </w:r>
        <w:r>
          <w:fldChar w:fldCharType="separate"/>
        </w:r>
        <w:r>
          <w:t>4</w:t>
        </w:r>
        <w:r>
          <w:fldChar w:fldCharType="end"/>
        </w:r>
      </w:hyperlink>
    </w:p>
    <w:p>
      <w:pPr>
        <w:pStyle w:val="TOC3"/>
        <w:tabs>
          <w:tab w:val="right" w:leader="dot" w:pos="9016"/>
        </w:tabs>
        <w:spacing w:before="0" w:after="0" w:line="360" w:lineRule="auto"/>
        <w:rPr>
          <w:rFonts w:asciiTheme="minorHAnsi" w:hAnsiTheme="minorHAnsi"/>
          <w:noProof/>
          <w:sz w:val="22"/>
        </w:rPr>
      </w:pPr>
      <w:hyperlink w:anchor="_Toc256000008" w:history="1">
        <w:r>
          <w:rPr>
            <w:rStyle w:val="Hyperlink"/>
            <w:rFonts w:ascii="仿宋_GB2312" w:eastAsia="仿宋_GB2312" w:hAnsi="仿宋_GB2312" w:cs="仿宋_GB2312"/>
          </w:rPr>
          <w:t>1.3.1采购标的需执行的相关标准规范</w:t>
        </w:r>
        <w:r>
          <w:tab/>
        </w:r>
        <w:r>
          <w:fldChar w:fldCharType="begin"/>
        </w:r>
        <w:r>
          <w:instrText xml:space="preserve"> PAGEREF _Toc256000008 \h </w:instrText>
        </w:r>
        <w:r>
          <w:fldChar w:fldCharType="separate"/>
        </w:r>
        <w:r>
          <w:t>4</w:t>
        </w:r>
        <w:r>
          <w:fldChar w:fldCharType="end"/>
        </w:r>
      </w:hyperlink>
    </w:p>
    <w:p>
      <w:pPr>
        <w:pStyle w:val="TOC1"/>
        <w:tabs>
          <w:tab w:val="right" w:leader="dot" w:pos="9016"/>
        </w:tabs>
        <w:spacing w:before="0" w:after="0" w:line="360" w:lineRule="auto"/>
        <w:rPr>
          <w:rFonts w:asciiTheme="minorHAnsi" w:hAnsiTheme="minorHAnsi"/>
          <w:noProof/>
          <w:sz w:val="22"/>
        </w:rPr>
      </w:pPr>
      <w:hyperlink w:anchor="_Toc256000009" w:history="1">
        <w:r>
          <w:rPr>
            <w:rStyle w:val="Hyperlink"/>
            <w:rFonts w:ascii="仿宋_GB2312" w:eastAsia="仿宋_GB2312" w:hAnsi="仿宋_GB2312" w:cs="仿宋_GB2312"/>
            <w:kern w:val="36"/>
          </w:rPr>
          <w:t>2投标/响应要求</w:t>
        </w:r>
        <w:r>
          <w:tab/>
        </w:r>
        <w:r>
          <w:fldChar w:fldCharType="begin"/>
        </w:r>
        <w:r>
          <w:instrText xml:space="preserve"> PAGEREF _Toc256000009 \h </w:instrText>
        </w:r>
        <w:r>
          <w:fldChar w:fldCharType="separate"/>
        </w:r>
        <w:r>
          <w:t>5</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10" w:history="1">
        <w:r>
          <w:rPr>
            <w:rStyle w:val="Hyperlink"/>
            <w:rFonts w:ascii="仿宋_GB2312" w:eastAsia="仿宋_GB2312" w:hAnsi="仿宋_GB2312" w:cs="仿宋_GB2312"/>
          </w:rPr>
          <w:t>2.1对供应商的要求</w:t>
        </w:r>
        <w:r>
          <w:tab/>
        </w:r>
        <w:r>
          <w:fldChar w:fldCharType="begin"/>
        </w:r>
        <w:r>
          <w:instrText xml:space="preserve"> PAGEREF _Toc256000010 \h </w:instrText>
        </w:r>
        <w:r>
          <w:fldChar w:fldCharType="separate"/>
        </w:r>
        <w:r>
          <w:t>5</w:t>
        </w:r>
        <w:r>
          <w:fldChar w:fldCharType="end"/>
        </w:r>
      </w:hyperlink>
    </w:p>
    <w:p>
      <w:pPr>
        <w:pStyle w:val="TOC3"/>
        <w:tabs>
          <w:tab w:val="right" w:leader="dot" w:pos="9016"/>
        </w:tabs>
        <w:spacing w:before="0" w:after="0" w:line="360" w:lineRule="auto"/>
        <w:rPr>
          <w:rFonts w:asciiTheme="minorHAnsi" w:hAnsiTheme="minorHAnsi"/>
          <w:noProof/>
          <w:sz w:val="22"/>
        </w:rPr>
      </w:pPr>
      <w:hyperlink w:anchor="_Toc256000011" w:history="1">
        <w:r>
          <w:rPr>
            <w:rStyle w:val="Hyperlink"/>
            <w:rFonts w:ascii="仿宋_GB2312" w:eastAsia="仿宋_GB2312" w:hAnsi="仿宋_GB2312" w:cs="仿宋_GB2312"/>
          </w:rPr>
          <w:t>2.1.1必备资质</w:t>
        </w:r>
        <w:r>
          <w:tab/>
        </w:r>
        <w:r>
          <w:fldChar w:fldCharType="begin"/>
        </w:r>
        <w:r>
          <w:instrText xml:space="preserve"> PAGEREF _Toc256000011 \h </w:instrText>
        </w:r>
        <w:r>
          <w:fldChar w:fldCharType="separate"/>
        </w:r>
        <w:r>
          <w:t>5</w:t>
        </w:r>
        <w:r>
          <w:fldChar w:fldCharType="end"/>
        </w:r>
      </w:hyperlink>
    </w:p>
    <w:p>
      <w:pPr>
        <w:pStyle w:val="TOC3"/>
        <w:tabs>
          <w:tab w:val="right" w:leader="dot" w:pos="9016"/>
        </w:tabs>
        <w:spacing w:before="0" w:after="0" w:line="360" w:lineRule="auto"/>
        <w:rPr>
          <w:rFonts w:asciiTheme="minorHAnsi" w:hAnsiTheme="minorHAnsi"/>
          <w:noProof/>
          <w:sz w:val="22"/>
        </w:rPr>
      </w:pPr>
      <w:hyperlink w:anchor="_Toc256000012" w:history="1">
        <w:r>
          <w:rPr>
            <w:rStyle w:val="Hyperlink"/>
            <w:rFonts w:ascii="仿宋_GB2312" w:eastAsia="仿宋_GB2312" w:hAnsi="仿宋_GB2312" w:cs="仿宋_GB2312"/>
          </w:rPr>
          <w:t>2.1.2优选资质/优选指标</w:t>
        </w:r>
        <w:r>
          <w:tab/>
        </w:r>
        <w:r>
          <w:fldChar w:fldCharType="begin"/>
        </w:r>
        <w:r>
          <w:instrText xml:space="preserve"> PAGEREF _Toc256000012 \h </w:instrText>
        </w:r>
        <w:r>
          <w:fldChar w:fldCharType="separate"/>
        </w:r>
        <w:r>
          <w:t>5</w:t>
        </w:r>
        <w:r>
          <w:fldChar w:fldCharType="end"/>
        </w:r>
      </w:hyperlink>
    </w:p>
    <w:p>
      <w:pPr>
        <w:pStyle w:val="TOC3"/>
        <w:tabs>
          <w:tab w:val="right" w:leader="dot" w:pos="9016"/>
        </w:tabs>
        <w:spacing w:before="0" w:after="0" w:line="360" w:lineRule="auto"/>
        <w:rPr>
          <w:rFonts w:asciiTheme="minorHAnsi" w:hAnsiTheme="minorHAnsi"/>
          <w:noProof/>
          <w:sz w:val="22"/>
        </w:rPr>
      </w:pPr>
      <w:hyperlink w:anchor="_Toc256000013" w:history="1">
        <w:r>
          <w:rPr>
            <w:rStyle w:val="Hyperlink"/>
            <w:rFonts w:ascii="仿宋_GB2312" w:eastAsia="仿宋_GB2312" w:hAnsi="仿宋_GB2312" w:cs="仿宋_GB2312"/>
          </w:rPr>
          <w:t>2.1.3是否允许联合体</w:t>
        </w:r>
        <w:r>
          <w:tab/>
        </w:r>
        <w:r>
          <w:fldChar w:fldCharType="begin"/>
        </w:r>
        <w:r>
          <w:instrText xml:space="preserve"> PAGEREF _Toc256000013 \h </w:instrText>
        </w:r>
        <w:r>
          <w:fldChar w:fldCharType="separate"/>
        </w:r>
        <w:r>
          <w:t>5</w:t>
        </w:r>
        <w:r>
          <w:fldChar w:fldCharType="end"/>
        </w:r>
      </w:hyperlink>
    </w:p>
    <w:p>
      <w:pPr>
        <w:pStyle w:val="TOC3"/>
        <w:tabs>
          <w:tab w:val="right" w:leader="dot" w:pos="9016"/>
        </w:tabs>
        <w:spacing w:before="0" w:after="0" w:line="360" w:lineRule="auto"/>
        <w:rPr>
          <w:rFonts w:asciiTheme="minorHAnsi" w:hAnsiTheme="minorHAnsi"/>
          <w:noProof/>
          <w:sz w:val="22"/>
        </w:rPr>
      </w:pPr>
      <w:hyperlink w:anchor="_Toc256000014" w:history="1">
        <w:r>
          <w:rPr>
            <w:rStyle w:val="Hyperlink"/>
            <w:rFonts w:ascii="仿宋_GB2312" w:eastAsia="仿宋_GB2312" w:hAnsi="仿宋_GB2312" w:cs="仿宋_GB2312"/>
          </w:rPr>
          <w:t>2.1.4是否专门面向中小企业</w:t>
        </w:r>
        <w:r>
          <w:tab/>
        </w:r>
        <w:r>
          <w:fldChar w:fldCharType="begin"/>
        </w:r>
        <w:r>
          <w:instrText xml:space="preserve"> PAGEREF _Toc256000014 \h </w:instrText>
        </w:r>
        <w:r>
          <w:fldChar w:fldCharType="separate"/>
        </w:r>
        <w:r>
          <w:t>5</w:t>
        </w:r>
        <w:r>
          <w:fldChar w:fldCharType="end"/>
        </w:r>
      </w:hyperlink>
    </w:p>
    <w:p>
      <w:pPr>
        <w:pStyle w:val="TOC3"/>
        <w:tabs>
          <w:tab w:val="right" w:leader="dot" w:pos="9016"/>
        </w:tabs>
        <w:spacing w:before="0" w:after="0" w:line="360" w:lineRule="auto"/>
        <w:rPr>
          <w:rFonts w:asciiTheme="minorHAnsi" w:hAnsiTheme="minorHAnsi"/>
          <w:noProof/>
          <w:sz w:val="22"/>
        </w:rPr>
      </w:pPr>
      <w:hyperlink w:anchor="_Toc256000015" w:history="1">
        <w:r>
          <w:rPr>
            <w:rStyle w:val="Hyperlink"/>
            <w:rFonts w:ascii="仿宋_GB2312" w:eastAsia="仿宋_GB2312" w:hAnsi="仿宋_GB2312" w:cs="仿宋_GB2312"/>
          </w:rPr>
          <w:t>2.1.5其他要求</w:t>
        </w:r>
        <w:r>
          <w:tab/>
        </w:r>
        <w:r>
          <w:fldChar w:fldCharType="begin"/>
        </w:r>
        <w:r>
          <w:instrText xml:space="preserve"> PAGEREF _Toc256000015 \h </w:instrText>
        </w:r>
        <w:r>
          <w:fldChar w:fldCharType="separate"/>
        </w:r>
        <w:r>
          <w:t>5</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16" w:history="1">
        <w:r>
          <w:rPr>
            <w:rStyle w:val="Hyperlink"/>
            <w:rFonts w:ascii="仿宋_GB2312" w:eastAsia="仿宋_GB2312" w:hAnsi="仿宋_GB2312" w:cs="仿宋_GB2312"/>
          </w:rPr>
          <w:t>2.2技术部分投标/响应内容</w:t>
        </w:r>
        <w:r>
          <w:tab/>
        </w:r>
        <w:r>
          <w:fldChar w:fldCharType="begin"/>
        </w:r>
        <w:r>
          <w:instrText xml:space="preserve"> PAGEREF _Toc256000016 \h </w:instrText>
        </w:r>
        <w:r>
          <w:fldChar w:fldCharType="separate"/>
        </w:r>
        <w:r>
          <w:t>6</w:t>
        </w:r>
        <w:r>
          <w:fldChar w:fldCharType="end"/>
        </w:r>
      </w:hyperlink>
    </w:p>
    <w:p>
      <w:pPr>
        <w:pStyle w:val="TOC3"/>
        <w:tabs>
          <w:tab w:val="right" w:leader="dot" w:pos="9016"/>
        </w:tabs>
        <w:spacing w:before="0" w:after="0" w:line="360" w:lineRule="auto"/>
        <w:rPr>
          <w:rFonts w:asciiTheme="minorHAnsi" w:hAnsiTheme="minorHAnsi"/>
          <w:noProof/>
          <w:sz w:val="22"/>
        </w:rPr>
      </w:pPr>
      <w:hyperlink w:anchor="_Toc256000017" w:history="1">
        <w:r>
          <w:rPr>
            <w:rStyle w:val="Hyperlink"/>
            <w:rFonts w:ascii="仿宋_GB2312" w:eastAsia="仿宋_GB2312" w:hAnsi="仿宋_GB2312" w:cs="仿宋_GB2312"/>
          </w:rPr>
          <w:t>2.2.1技术投标/响应总要求</w:t>
        </w:r>
        <w:r>
          <w:tab/>
        </w:r>
        <w:r>
          <w:fldChar w:fldCharType="begin"/>
        </w:r>
        <w:r>
          <w:instrText xml:space="preserve"> PAGEREF _Toc256000017 \h </w:instrText>
        </w:r>
        <w:r>
          <w:fldChar w:fldCharType="separate"/>
        </w:r>
        <w:r>
          <w:t>6</w:t>
        </w:r>
        <w:r>
          <w:fldChar w:fldCharType="end"/>
        </w:r>
      </w:hyperlink>
    </w:p>
    <w:p>
      <w:pPr>
        <w:pStyle w:val="TOC3"/>
        <w:tabs>
          <w:tab w:val="right" w:leader="dot" w:pos="9016"/>
        </w:tabs>
        <w:spacing w:before="0" w:after="0" w:line="360" w:lineRule="auto"/>
        <w:rPr>
          <w:rFonts w:asciiTheme="minorHAnsi" w:hAnsiTheme="minorHAnsi"/>
          <w:noProof/>
          <w:sz w:val="22"/>
        </w:rPr>
      </w:pPr>
      <w:hyperlink w:anchor="_Toc256000018" w:history="1">
        <w:r>
          <w:rPr>
            <w:rStyle w:val="Hyperlink"/>
            <w:rFonts w:ascii="仿宋_GB2312" w:eastAsia="仿宋_GB2312" w:hAnsi="仿宋_GB2312" w:cs="仿宋_GB2312"/>
          </w:rPr>
          <w:t>2.2.2投标/响应方案要求</w:t>
        </w:r>
        <w:r>
          <w:tab/>
        </w:r>
        <w:r>
          <w:fldChar w:fldCharType="begin"/>
        </w:r>
        <w:r>
          <w:instrText xml:space="preserve"> PAGEREF _Toc256000018 \h </w:instrText>
        </w:r>
        <w:r>
          <w:fldChar w:fldCharType="separate"/>
        </w:r>
        <w:r>
          <w:t>8</w:t>
        </w:r>
        <w:r>
          <w:fldChar w:fldCharType="end"/>
        </w:r>
      </w:hyperlink>
    </w:p>
    <w:p>
      <w:pPr>
        <w:pStyle w:val="TOC1"/>
        <w:tabs>
          <w:tab w:val="right" w:leader="dot" w:pos="9016"/>
        </w:tabs>
        <w:spacing w:before="0" w:after="0" w:line="360" w:lineRule="auto"/>
        <w:rPr>
          <w:rFonts w:asciiTheme="minorHAnsi" w:hAnsiTheme="minorHAnsi"/>
          <w:noProof/>
          <w:sz w:val="22"/>
        </w:rPr>
      </w:pPr>
      <w:hyperlink w:anchor="_Toc256000019" w:history="1">
        <w:r>
          <w:rPr>
            <w:rStyle w:val="Hyperlink"/>
            <w:rFonts w:ascii="仿宋_GB2312" w:eastAsia="仿宋_GB2312" w:hAnsi="仿宋_GB2312" w:cs="仿宋_GB2312"/>
            <w:kern w:val="36"/>
          </w:rPr>
          <w:t>3项目需求</w:t>
        </w:r>
        <w:r>
          <w:tab/>
        </w:r>
        <w:r>
          <w:fldChar w:fldCharType="begin"/>
        </w:r>
        <w:r>
          <w:instrText xml:space="preserve"> PAGEREF _Toc256000019 \h </w:instrText>
        </w:r>
        <w:r>
          <w:fldChar w:fldCharType="separate"/>
        </w:r>
        <w:r>
          <w:t>9</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20" w:history="1">
        <w:r>
          <w:rPr>
            <w:rStyle w:val="Hyperlink"/>
            <w:rFonts w:ascii="仿宋_GB2312" w:eastAsia="仿宋_GB2312" w:hAnsi="仿宋_GB2312" w:cs="仿宋_GB2312"/>
          </w:rPr>
          <w:t>3.1总体要求</w:t>
        </w:r>
        <w:r>
          <w:tab/>
        </w:r>
        <w:r>
          <w:fldChar w:fldCharType="begin"/>
        </w:r>
        <w:r>
          <w:instrText xml:space="preserve"> PAGEREF _Toc256000020 \h </w:instrText>
        </w:r>
        <w:r>
          <w:fldChar w:fldCharType="separate"/>
        </w:r>
        <w:r>
          <w:t>9</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21" w:history="1">
        <w:r>
          <w:rPr>
            <w:rStyle w:val="Hyperlink"/>
            <w:rFonts w:ascii="仿宋_GB2312" w:eastAsia="仿宋_GB2312" w:hAnsi="仿宋_GB2312" w:cs="仿宋_GB2312"/>
          </w:rPr>
          <w:t>3.2采购产品一览表</w:t>
        </w:r>
        <w:r>
          <w:tab/>
        </w:r>
        <w:r>
          <w:fldChar w:fldCharType="begin"/>
        </w:r>
        <w:r>
          <w:instrText xml:space="preserve"> PAGEREF _Toc256000021 \h </w:instrText>
        </w:r>
        <w:r>
          <w:fldChar w:fldCharType="separate"/>
        </w:r>
        <w:r>
          <w:t>10</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22" w:history="1">
        <w:r>
          <w:rPr>
            <w:rStyle w:val="Hyperlink"/>
            <w:rFonts w:ascii="仿宋_GB2312" w:eastAsia="仿宋_GB2312" w:hAnsi="仿宋_GB2312" w:cs="仿宋_GB2312"/>
          </w:rPr>
          <w:t>3.3采购产品详细清单及技术指标</w:t>
        </w:r>
        <w:r>
          <w:tab/>
        </w:r>
        <w:r>
          <w:fldChar w:fldCharType="begin"/>
        </w:r>
        <w:r>
          <w:instrText xml:space="preserve"> PAGEREF _Toc256000022 \h </w:instrText>
        </w:r>
        <w:r>
          <w:fldChar w:fldCharType="separate"/>
        </w:r>
        <w:r>
          <w:t>11</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23" w:history="1">
        <w:r>
          <w:rPr>
            <w:rStyle w:val="Hyperlink"/>
            <w:rFonts w:ascii="仿宋_GB2312" w:eastAsia="仿宋_GB2312" w:hAnsi="仿宋_GB2312" w:cs="仿宋_GB2312"/>
          </w:rPr>
          <w:t>3.4服务要求</w:t>
        </w:r>
        <w:r>
          <w:tab/>
        </w:r>
        <w:r>
          <w:fldChar w:fldCharType="begin"/>
        </w:r>
        <w:r>
          <w:instrText xml:space="preserve"> PAGEREF _Toc256000023 \h </w:instrText>
        </w:r>
        <w:r>
          <w:fldChar w:fldCharType="separate"/>
        </w:r>
        <w:r>
          <w:t>11</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24" w:history="1">
        <w:r>
          <w:rPr>
            <w:rStyle w:val="Hyperlink"/>
            <w:rFonts w:ascii="仿宋_GB2312" w:eastAsia="仿宋_GB2312" w:hAnsi="仿宋_GB2312" w:cs="仿宋_GB2312"/>
          </w:rPr>
          <w:t>3.5其他要求</w:t>
        </w:r>
        <w:r>
          <w:tab/>
        </w:r>
        <w:r>
          <w:fldChar w:fldCharType="begin"/>
        </w:r>
        <w:r>
          <w:instrText xml:space="preserve"> PAGEREF _Toc256000024 \h </w:instrText>
        </w:r>
        <w:r>
          <w:fldChar w:fldCharType="separate"/>
        </w:r>
        <w:r>
          <w:t>12</w:t>
        </w:r>
        <w:r>
          <w:fldChar w:fldCharType="end"/>
        </w:r>
      </w:hyperlink>
    </w:p>
    <w:p>
      <w:pPr>
        <w:pStyle w:val="TOC1"/>
        <w:tabs>
          <w:tab w:val="right" w:leader="dot" w:pos="9016"/>
        </w:tabs>
        <w:spacing w:before="0" w:after="0" w:line="360" w:lineRule="auto"/>
        <w:rPr>
          <w:rFonts w:asciiTheme="minorHAnsi" w:hAnsiTheme="minorHAnsi"/>
          <w:noProof/>
          <w:sz w:val="22"/>
        </w:rPr>
      </w:pPr>
      <w:hyperlink w:anchor="_Toc256000025" w:history="1">
        <w:r>
          <w:rPr>
            <w:rStyle w:val="Hyperlink"/>
            <w:rFonts w:ascii="仿宋_GB2312" w:eastAsia="仿宋_GB2312" w:hAnsi="仿宋_GB2312" w:cs="仿宋_GB2312"/>
            <w:kern w:val="36"/>
          </w:rPr>
          <w:t>4人员要求</w:t>
        </w:r>
        <w:r>
          <w:tab/>
        </w:r>
        <w:r>
          <w:fldChar w:fldCharType="begin"/>
        </w:r>
        <w:r>
          <w:instrText xml:space="preserve"> PAGEREF _Toc256000025 \h </w:instrText>
        </w:r>
        <w:r>
          <w:fldChar w:fldCharType="separate"/>
        </w:r>
        <w:r>
          <w:t>12</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26" w:history="1">
        <w:r>
          <w:rPr>
            <w:rStyle w:val="Hyperlink"/>
            <w:rFonts w:ascii="仿宋_GB2312" w:eastAsia="仿宋_GB2312" w:hAnsi="仿宋_GB2312" w:cs="仿宋_GB2312"/>
          </w:rPr>
          <w:t>4.1团队要求</w:t>
        </w:r>
        <w:r>
          <w:tab/>
        </w:r>
        <w:r>
          <w:fldChar w:fldCharType="begin"/>
        </w:r>
        <w:r>
          <w:instrText xml:space="preserve"> PAGEREF _Toc256000026 \h </w:instrText>
        </w:r>
        <w:r>
          <w:fldChar w:fldCharType="separate"/>
        </w:r>
        <w:r>
          <w:t>12</w:t>
        </w:r>
        <w:r>
          <w:fldChar w:fldCharType="end"/>
        </w:r>
      </w:hyperlink>
    </w:p>
    <w:p>
      <w:pPr>
        <w:pStyle w:val="TOC3"/>
        <w:tabs>
          <w:tab w:val="right" w:leader="dot" w:pos="9016"/>
        </w:tabs>
        <w:spacing w:before="0" w:after="0" w:line="360" w:lineRule="auto"/>
        <w:rPr>
          <w:rFonts w:asciiTheme="minorHAnsi" w:hAnsiTheme="minorHAnsi"/>
          <w:noProof/>
          <w:sz w:val="22"/>
        </w:rPr>
      </w:pPr>
      <w:hyperlink w:anchor="_Toc256000027" w:history="1">
        <w:r>
          <w:rPr>
            <w:rStyle w:val="Hyperlink"/>
            <w:rFonts w:ascii="仿宋_GB2312" w:eastAsia="仿宋_GB2312" w:hAnsi="仿宋_GB2312" w:cs="仿宋_GB2312"/>
          </w:rPr>
          <w:t>4.1.1基本要求</w:t>
        </w:r>
        <w:r>
          <w:tab/>
        </w:r>
        <w:r>
          <w:fldChar w:fldCharType="begin"/>
        </w:r>
        <w:r>
          <w:instrText xml:space="preserve"> PAGEREF _Toc256000027 \h </w:instrText>
        </w:r>
        <w:r>
          <w:fldChar w:fldCharType="separate"/>
        </w:r>
        <w:r>
          <w:t>12</w:t>
        </w:r>
        <w:r>
          <w:fldChar w:fldCharType="end"/>
        </w:r>
      </w:hyperlink>
    </w:p>
    <w:p>
      <w:pPr>
        <w:pStyle w:val="TOC3"/>
        <w:tabs>
          <w:tab w:val="right" w:leader="dot" w:pos="9016"/>
        </w:tabs>
        <w:spacing w:before="0" w:after="0" w:line="360" w:lineRule="auto"/>
        <w:rPr>
          <w:rFonts w:asciiTheme="minorHAnsi" w:hAnsiTheme="minorHAnsi"/>
          <w:noProof/>
          <w:sz w:val="22"/>
        </w:rPr>
      </w:pPr>
      <w:hyperlink w:anchor="_Toc256000028" w:history="1">
        <w:r>
          <w:rPr>
            <w:rStyle w:val="Hyperlink"/>
            <w:rFonts w:ascii="仿宋_GB2312" w:eastAsia="仿宋_GB2312" w:hAnsi="仿宋_GB2312" w:cs="仿宋_GB2312"/>
          </w:rPr>
          <w:t>4.1.2优选资质/优选指标</w:t>
        </w:r>
        <w:r>
          <w:tab/>
        </w:r>
        <w:r>
          <w:fldChar w:fldCharType="begin"/>
        </w:r>
        <w:r>
          <w:instrText xml:space="preserve"> PAGEREF _Toc256000028 \h </w:instrText>
        </w:r>
        <w:r>
          <w:fldChar w:fldCharType="separate"/>
        </w:r>
        <w:r>
          <w:t>12</w:t>
        </w:r>
        <w:r>
          <w:fldChar w:fldCharType="end"/>
        </w:r>
      </w:hyperlink>
    </w:p>
    <w:p>
      <w:pPr>
        <w:pStyle w:val="TOC1"/>
        <w:tabs>
          <w:tab w:val="right" w:leader="dot" w:pos="9016"/>
        </w:tabs>
        <w:spacing w:before="0" w:after="0" w:line="360" w:lineRule="auto"/>
        <w:rPr>
          <w:rFonts w:asciiTheme="minorHAnsi" w:hAnsiTheme="minorHAnsi"/>
          <w:noProof/>
          <w:sz w:val="22"/>
        </w:rPr>
      </w:pPr>
      <w:hyperlink w:anchor="_Toc256000029" w:history="1">
        <w:r>
          <w:rPr>
            <w:rStyle w:val="Hyperlink"/>
            <w:rFonts w:ascii="仿宋_GB2312" w:eastAsia="仿宋_GB2312" w:hAnsi="仿宋_GB2312" w:cs="仿宋_GB2312"/>
            <w:kern w:val="36"/>
          </w:rPr>
          <w:t>5管理实施要求</w:t>
        </w:r>
        <w:r>
          <w:tab/>
        </w:r>
        <w:r>
          <w:fldChar w:fldCharType="begin"/>
        </w:r>
        <w:r>
          <w:instrText xml:space="preserve"> PAGEREF _Toc256000029 \h </w:instrText>
        </w:r>
        <w:r>
          <w:fldChar w:fldCharType="separate"/>
        </w:r>
        <w:r>
          <w:t>12</w:t>
        </w:r>
        <w:r>
          <w:fldChar w:fldCharType="end"/>
        </w:r>
      </w:hyperlink>
    </w:p>
    <w:p>
      <w:pPr>
        <w:pStyle w:val="TOC1"/>
        <w:tabs>
          <w:tab w:val="right" w:leader="dot" w:pos="9016"/>
        </w:tabs>
        <w:spacing w:before="0" w:after="0" w:line="360" w:lineRule="auto"/>
        <w:rPr>
          <w:rFonts w:asciiTheme="minorHAnsi" w:hAnsiTheme="minorHAnsi"/>
          <w:noProof/>
          <w:sz w:val="22"/>
        </w:rPr>
      </w:pPr>
      <w:hyperlink w:anchor="_Toc256000030" w:history="1">
        <w:r>
          <w:rPr>
            <w:rStyle w:val="Hyperlink"/>
            <w:rFonts w:ascii="仿宋_GB2312" w:eastAsia="仿宋_GB2312" w:hAnsi="仿宋_GB2312" w:cs="仿宋_GB2312"/>
            <w:kern w:val="36"/>
          </w:rPr>
          <w:t>6风险管控要求</w:t>
        </w:r>
        <w:r>
          <w:tab/>
        </w:r>
        <w:r>
          <w:fldChar w:fldCharType="begin"/>
        </w:r>
        <w:r>
          <w:instrText xml:space="preserve"> PAGEREF _Toc256000030 \h </w:instrText>
        </w:r>
        <w:r>
          <w:fldChar w:fldCharType="separate"/>
        </w:r>
        <w:r>
          <w:t>13</w:t>
        </w:r>
        <w:r>
          <w:fldChar w:fldCharType="end"/>
        </w:r>
      </w:hyperlink>
    </w:p>
    <w:p>
      <w:pPr>
        <w:pStyle w:val="TOC1"/>
        <w:tabs>
          <w:tab w:val="right" w:leader="dot" w:pos="9016"/>
        </w:tabs>
        <w:spacing w:before="0" w:after="0" w:line="360" w:lineRule="auto"/>
        <w:rPr>
          <w:rFonts w:asciiTheme="minorHAnsi" w:hAnsiTheme="minorHAnsi"/>
          <w:noProof/>
          <w:sz w:val="22"/>
        </w:rPr>
      </w:pPr>
      <w:hyperlink w:anchor="_Toc256000031" w:history="1">
        <w:r>
          <w:rPr>
            <w:rStyle w:val="Hyperlink"/>
            <w:rFonts w:ascii="仿宋_GB2312" w:eastAsia="仿宋_GB2312" w:hAnsi="仿宋_GB2312" w:cs="仿宋_GB2312"/>
            <w:kern w:val="36"/>
          </w:rPr>
          <w:t>7履约验收要求</w:t>
        </w:r>
        <w:r>
          <w:tab/>
        </w:r>
        <w:r>
          <w:fldChar w:fldCharType="begin"/>
        </w:r>
        <w:r>
          <w:instrText xml:space="preserve"> PAGEREF _Toc256000031 \h </w:instrText>
        </w:r>
        <w:r>
          <w:fldChar w:fldCharType="separate"/>
        </w:r>
        <w:r>
          <w:t>13</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32" w:history="1">
        <w:r>
          <w:rPr>
            <w:rStyle w:val="Hyperlink"/>
            <w:rFonts w:ascii="仿宋_GB2312" w:eastAsia="仿宋_GB2312" w:hAnsi="仿宋_GB2312" w:cs="仿宋_GB2312"/>
          </w:rPr>
          <w:t>7.1总体要求</w:t>
        </w:r>
        <w:r>
          <w:tab/>
        </w:r>
        <w:r>
          <w:fldChar w:fldCharType="begin"/>
        </w:r>
        <w:r>
          <w:instrText xml:space="preserve"> PAGEREF _Toc256000032 \h </w:instrText>
        </w:r>
        <w:r>
          <w:fldChar w:fldCharType="separate"/>
        </w:r>
        <w:r>
          <w:t>13</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33" w:history="1">
        <w:r>
          <w:rPr>
            <w:rStyle w:val="Hyperlink"/>
            <w:rFonts w:ascii="仿宋_GB2312" w:eastAsia="仿宋_GB2312" w:hAnsi="仿宋_GB2312" w:cs="仿宋_GB2312"/>
          </w:rPr>
          <w:t>7.2具体要求</w:t>
        </w:r>
        <w:r>
          <w:tab/>
        </w:r>
        <w:r>
          <w:fldChar w:fldCharType="begin"/>
        </w:r>
        <w:r>
          <w:instrText xml:space="preserve"> PAGEREF _Toc256000033 \h </w:instrText>
        </w:r>
        <w:r>
          <w:fldChar w:fldCharType="separate"/>
        </w:r>
        <w:r>
          <w:t>13</w:t>
        </w:r>
        <w:r>
          <w:fldChar w:fldCharType="end"/>
        </w:r>
      </w:hyperlink>
    </w:p>
    <w:p>
      <w:pPr>
        <w:pStyle w:val="TOC1"/>
        <w:tabs>
          <w:tab w:val="right" w:leader="dot" w:pos="9016"/>
        </w:tabs>
        <w:spacing w:before="0" w:after="0" w:line="360" w:lineRule="auto"/>
        <w:rPr>
          <w:rFonts w:asciiTheme="minorHAnsi" w:hAnsiTheme="minorHAnsi"/>
          <w:noProof/>
          <w:sz w:val="22"/>
        </w:rPr>
      </w:pPr>
      <w:hyperlink w:anchor="_Toc256000034" w:history="1">
        <w:r>
          <w:rPr>
            <w:rStyle w:val="Hyperlink"/>
            <w:rFonts w:ascii="仿宋_GB2312" w:eastAsia="仿宋_GB2312" w:hAnsi="仿宋_GB2312" w:cs="仿宋_GB2312"/>
            <w:kern w:val="36"/>
          </w:rPr>
          <w:t>8其他要求</w:t>
        </w:r>
        <w:r>
          <w:tab/>
        </w:r>
        <w:r>
          <w:fldChar w:fldCharType="begin"/>
        </w:r>
        <w:r>
          <w:instrText xml:space="preserve"> PAGEREF _Toc256000034 \h </w:instrText>
        </w:r>
        <w:r>
          <w:fldChar w:fldCharType="separate"/>
        </w:r>
        <w:r>
          <w:t>14</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35" w:history="1">
        <w:r>
          <w:rPr>
            <w:rStyle w:val="Hyperlink"/>
            <w:rFonts w:ascii="仿宋_GB2312" w:eastAsia="仿宋_GB2312" w:hAnsi="仿宋_GB2312" w:cs="仿宋_GB2312"/>
          </w:rPr>
          <w:t>8.1必备要求</w:t>
        </w:r>
        <w:r>
          <w:tab/>
        </w:r>
        <w:r>
          <w:fldChar w:fldCharType="begin"/>
        </w:r>
        <w:r>
          <w:instrText xml:space="preserve"> PAGEREF _Toc256000035 \h </w:instrText>
        </w:r>
        <w:r>
          <w:fldChar w:fldCharType="separate"/>
        </w:r>
        <w:r>
          <w:t>14</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36" w:history="1">
        <w:r>
          <w:rPr>
            <w:rStyle w:val="Hyperlink"/>
            <w:rFonts w:ascii="仿宋_GB2312" w:eastAsia="仿宋_GB2312" w:hAnsi="仿宋_GB2312" w:cs="仿宋_GB2312"/>
          </w:rPr>
          <w:t>8.1.1通用必备要求</w:t>
        </w:r>
        <w:r>
          <w:tab/>
        </w:r>
        <w:r>
          <w:fldChar w:fldCharType="begin"/>
        </w:r>
        <w:r>
          <w:instrText xml:space="preserve"> PAGEREF _Toc256000036 \h </w:instrText>
        </w:r>
        <w:r>
          <w:fldChar w:fldCharType="separate"/>
        </w:r>
        <w:r>
          <w:t>14</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37" w:history="1">
        <w:r>
          <w:rPr>
            <w:rStyle w:val="Hyperlink"/>
            <w:rFonts w:ascii="仿宋_GB2312" w:eastAsia="仿宋_GB2312" w:hAnsi="仿宋_GB2312" w:cs="仿宋_GB2312"/>
          </w:rPr>
          <w:t>8.2付款安排建议</w:t>
        </w:r>
        <w:r>
          <w:tab/>
        </w:r>
        <w:r>
          <w:fldChar w:fldCharType="begin"/>
        </w:r>
        <w:r>
          <w:instrText xml:space="preserve"> PAGEREF _Toc256000037 \h </w:instrText>
        </w:r>
        <w:r>
          <w:fldChar w:fldCharType="separate"/>
        </w:r>
        <w:r>
          <w:t>15</w:t>
        </w:r>
        <w:r>
          <w:fldChar w:fldCharType="end"/>
        </w:r>
      </w:hyperlink>
    </w:p>
    <w:p>
      <w:pPr>
        <w:pStyle w:val="TOC2"/>
        <w:tabs>
          <w:tab w:val="right" w:leader="dot" w:pos="9016"/>
        </w:tabs>
        <w:spacing w:before="0" w:after="0" w:line="360" w:lineRule="auto"/>
        <w:rPr>
          <w:rFonts w:asciiTheme="minorHAnsi" w:hAnsiTheme="minorHAnsi"/>
          <w:noProof/>
          <w:sz w:val="22"/>
        </w:rPr>
      </w:pPr>
      <w:hyperlink w:anchor="_Toc256000038" w:history="1">
        <w:r>
          <w:rPr>
            <w:rStyle w:val="Hyperlink"/>
            <w:rFonts w:ascii="仿宋_GB2312" w:eastAsia="仿宋_GB2312" w:hAnsi="仿宋_GB2312" w:cs="仿宋_GB2312"/>
          </w:rPr>
          <w:t>8.3其他要求</w:t>
        </w:r>
        <w:r>
          <w:tab/>
        </w:r>
        <w:r>
          <w:fldChar w:fldCharType="begin"/>
        </w:r>
        <w:r>
          <w:instrText xml:space="preserve"> PAGEREF _Toc256000038 \h </w:instrText>
        </w:r>
        <w:r>
          <w:fldChar w:fldCharType="separate"/>
        </w:r>
        <w:r>
          <w:t>15</w:t>
        </w:r>
        <w:r>
          <w:fldChar w:fldCharType="end"/>
        </w:r>
      </w:hyperlink>
    </w:p>
    <w:p>
      <w:pPr>
        <w:pStyle w:val="TOC3"/>
        <w:tabs>
          <w:tab w:val="right" w:leader="dot" w:pos="9016"/>
        </w:tabs>
        <w:spacing w:before="0" w:after="0" w:line="360" w:lineRule="auto"/>
        <w:rPr>
          <w:rFonts w:asciiTheme="minorHAnsi" w:hAnsiTheme="minorHAnsi"/>
          <w:noProof/>
          <w:sz w:val="22"/>
        </w:rPr>
      </w:pPr>
      <w:hyperlink w:anchor="_Toc256000039" w:history="1">
        <w:r>
          <w:rPr>
            <w:rStyle w:val="Hyperlink"/>
            <w:rFonts w:ascii="仿宋_GB2312" w:eastAsia="仿宋_GB2312" w:hAnsi="仿宋_GB2312" w:cs="仿宋_GB2312"/>
          </w:rPr>
          <w:t>8.3.1保密要求</w:t>
        </w:r>
        <w:r>
          <w:tab/>
        </w:r>
        <w:r>
          <w:fldChar w:fldCharType="begin"/>
        </w:r>
        <w:r>
          <w:instrText xml:space="preserve"> PAGEREF _Toc256000039 \h </w:instrText>
        </w:r>
        <w:r>
          <w:fldChar w:fldCharType="separate"/>
        </w:r>
        <w:r>
          <w:t>15</w:t>
        </w:r>
        <w:r>
          <w:fldChar w:fldCharType="end"/>
        </w:r>
      </w:hyperlink>
    </w:p>
    <w:p>
      <w:pPr>
        <w:pStyle w:val="TOC3"/>
        <w:tabs>
          <w:tab w:val="right" w:leader="dot" w:pos="9016"/>
        </w:tabs>
        <w:spacing w:before="0" w:after="0" w:line="360" w:lineRule="auto"/>
        <w:rPr>
          <w:rFonts w:asciiTheme="minorHAnsi" w:hAnsiTheme="minorHAnsi"/>
          <w:noProof/>
          <w:sz w:val="22"/>
        </w:rPr>
      </w:pPr>
      <w:hyperlink w:anchor="_Toc256000040" w:history="1">
        <w:r>
          <w:rPr>
            <w:rStyle w:val="Hyperlink"/>
            <w:rFonts w:ascii="仿宋_GB2312" w:eastAsia="仿宋_GB2312" w:hAnsi="仿宋_GB2312" w:cs="仿宋_GB2312"/>
          </w:rPr>
          <w:t>8.3.2知识产权要求</w:t>
        </w:r>
        <w:r>
          <w:tab/>
        </w:r>
        <w:r>
          <w:fldChar w:fldCharType="begin"/>
        </w:r>
        <w:r>
          <w:instrText xml:space="preserve"> PAGEREF _Toc256000040 \h </w:instrText>
        </w:r>
        <w:r>
          <w:fldChar w:fldCharType="separate"/>
        </w:r>
        <w:r>
          <w:t>15</w:t>
        </w:r>
        <w:r>
          <w:fldChar w:fldCharType="end"/>
        </w:r>
      </w:hyperlink>
    </w:p>
    <w:p>
      <w:pPr>
        <w:spacing w:before="0" w:after="0" w:line="360" w:lineRule="auto"/>
        <w:jc w:val="left"/>
      </w:pPr>
      <w:r w:rsidR="00A77B3E">
        <w:rPr>
          <w:rFonts w:ascii="SimSun" w:eastAsia="SimSun" w:hAnsi="SimSun" w:cs="SimSun"/>
          <w:sz w:val="32"/>
        </w:rPr>
        <w:fldChar w:fldCharType="end"/>
      </w:r>
      <w:r>
        <w:br w:type="page"/>
      </w:r>
    </w:p>
    <w:p>
      <w:pPr>
        <w:pStyle w:val="Heading1"/>
        <w:keepNext w:val="0"/>
        <w:spacing w:before="0" w:after="0" w:line="360" w:lineRule="auto"/>
        <w:jc w:val="center"/>
        <w:rPr>
          <w:rFonts w:ascii="仿宋_GB2312" w:eastAsia="仿宋_GB2312" w:hAnsi="仿宋_GB2312" w:cs="仿宋_GB2312"/>
          <w:b/>
          <w:bCs/>
          <w:sz w:val="32"/>
          <w:szCs w:val="32"/>
        </w:rPr>
      </w:pPr>
      <w:r>
        <w:rPr>
          <w:rFonts w:ascii="仿宋_GB2312" w:eastAsia="仿宋_GB2312" w:hAnsi="仿宋_GB2312" w:cs="仿宋_GB2312"/>
          <w:kern w:val="36"/>
        </w:rPr>
        <w:t>1项目概述</w:t>
      </w:r>
    </w:p>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1.1项目背景</w:t>
      </w:r>
    </w:p>
    <w:p>
      <w:pPr>
        <w:pStyle w:val="Heading3"/>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sz w:val="28"/>
          <w:szCs w:val="28"/>
        </w:rPr>
        <w:t>1.1.1项目目的、意义及背景</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为规范采购，降低采购成本，提高采购效益，根据《中华人民共和国政府采购法》及其他有关规定，国家税务总局</w:t>
      </w:r>
      <w:r>
        <w:rPr>
          <w:rFonts w:ascii="SimSun" w:eastAsia="SimSun" w:hAnsi="SimSun" w:cs="SimSun"/>
          <w:sz w:val="21"/>
          <w:szCs w:val="21"/>
        </w:rPr>
        <w:t>南宁市青秀区税务局</w:t>
      </w:r>
      <w:r>
        <w:rPr>
          <w:rFonts w:ascii="SimSun" w:eastAsia="SimSun" w:hAnsi="SimSun" w:cs="SimSun"/>
          <w:sz w:val="21"/>
          <w:szCs w:val="21"/>
        </w:rPr>
        <w:t>现通过政府采购程序确定食堂食材，及其采购内容、价格优惠率、合同期限及服务承诺等内容，并以合同条款协议书形成的形式固定下来，由中标人在合同有效期内为采购人提供规定范围内的食材，具体配送数量以实际发生数量为准，不承诺在合同有效期内授予中标人实际采购品类，也不承诺实际采购数量。</w:t>
      </w:r>
    </w:p>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1.2项目内容</w:t>
      </w:r>
    </w:p>
    <w:p>
      <w:pPr>
        <w:pStyle w:val="Heading3"/>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sz w:val="28"/>
          <w:szCs w:val="28"/>
        </w:rPr>
        <w:t>1.2.1项目建设思路</w:t>
      </w:r>
    </w:p>
    <w:p>
      <w:pPr>
        <w:spacing w:before="0" w:after="0" w:line="360" w:lineRule="auto"/>
        <w:rPr>
          <w:rFonts w:ascii="FangSong_GB2312" w:eastAsia="FangSong_GB2312" w:hAnsi="FangSong_GB2312" w:cs="FangSong_GB2312"/>
          <w:sz w:val="28"/>
          <w:szCs w:val="28"/>
        </w:rPr>
      </w:pPr>
      <w:r>
        <w:rPr>
          <w:rFonts w:ascii="FangSong_GB2312" w:eastAsia="FangSong_GB2312" w:hAnsi="FangSong_GB2312" w:cs="FangSong_GB2312"/>
          <w:sz w:val="28"/>
          <w:szCs w:val="28"/>
        </w:rPr>
        <w:t>无</w:t>
      </w:r>
    </w:p>
    <w:p>
      <w:pPr>
        <w:pStyle w:val="Heading3"/>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sz w:val="28"/>
          <w:szCs w:val="28"/>
        </w:rPr>
        <w:t>1.2.2采购内容</w:t>
      </w:r>
    </w:p>
    <w:p>
      <w:pPr>
        <w:pStyle w:val="15"/>
        <w:spacing w:before="0" w:after="0" w:line="360" w:lineRule="auto"/>
        <w:ind w:firstLine="640"/>
        <w:jc w:val="both"/>
        <w:rPr>
          <w:rFonts w:ascii="Times New Roman" w:eastAsia="Times New Roman" w:hAnsi="Times New Roman" w:cs="Times New Roman"/>
        </w:rPr>
      </w:pPr>
      <w:r>
        <w:rPr>
          <w:rFonts w:ascii="仿宋_GB2312" w:eastAsia="仿宋_GB2312" w:hAnsi="仿宋_GB2312" w:cs="仿宋_GB2312"/>
          <w:color w:val="000000"/>
          <w:sz w:val="28"/>
          <w:szCs w:val="28"/>
        </w:rPr>
        <w:t>两个职工食堂的食材采购与配送，包括：</w:t>
      </w:r>
    </w:p>
    <w:p>
      <w:pPr>
        <w:pStyle w:val="15"/>
        <w:spacing w:before="0" w:after="0" w:line="360" w:lineRule="auto"/>
        <w:ind w:firstLine="640"/>
        <w:jc w:val="both"/>
        <w:rPr>
          <w:rFonts w:ascii="Times New Roman" w:eastAsia="Times New Roman" w:hAnsi="Times New Roman" w:cs="Times New Roman"/>
        </w:rPr>
      </w:pPr>
      <w:r>
        <w:rPr>
          <w:rFonts w:ascii="仿宋_GB2312" w:eastAsia="仿宋_GB2312" w:hAnsi="仿宋_GB2312" w:cs="仿宋_GB2312"/>
          <w:color w:val="000000"/>
          <w:sz w:val="28"/>
          <w:szCs w:val="28"/>
        </w:rPr>
        <w:t>1.生鲜类食材：禽畜类（含鸡、鸭、鹅、猪、牛、羊等肉类）、海鲜鱼类、蔬菜类；</w:t>
      </w:r>
    </w:p>
    <w:p>
      <w:pPr>
        <w:pStyle w:val="15"/>
        <w:spacing w:before="0" w:after="0" w:line="360" w:lineRule="auto"/>
        <w:ind w:firstLine="640"/>
        <w:jc w:val="both"/>
        <w:rPr>
          <w:rFonts w:ascii="Times New Roman" w:eastAsia="Times New Roman" w:hAnsi="Times New Roman" w:cs="Times New Roman"/>
        </w:rPr>
      </w:pPr>
      <w:r>
        <w:rPr>
          <w:rFonts w:ascii="仿宋_GB2312" w:eastAsia="仿宋_GB2312" w:hAnsi="仿宋_GB2312" w:cs="仿宋_GB2312"/>
          <w:color w:val="000000"/>
          <w:sz w:val="28"/>
          <w:szCs w:val="28"/>
        </w:rPr>
        <w:t>2.</w:t>
      </w:r>
      <w:r>
        <w:rPr>
          <w:rFonts w:ascii="SimSun" w:eastAsia="SimSun" w:hAnsi="SimSun" w:cs="SimSun"/>
          <w:sz w:val="28"/>
          <w:szCs w:val="28"/>
        </w:rPr>
        <w:t>非生鲜类食材：包括但不限于：粮食类（米、面、粉、豆类）、干杂类、调味品类、油类（调和油、花生油）、奶制品类等。</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 </w:t>
      </w:r>
    </w:p>
    <w:p>
      <w:pPr>
        <w:pStyle w:val="Heading3"/>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sz w:val="28"/>
          <w:szCs w:val="28"/>
        </w:rPr>
        <w:t>1.2.3项目实施要求</w:t>
      </w:r>
    </w:p>
    <w:p>
      <w:pPr>
        <w:pStyle w:val="Heading4"/>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rPr>
        <w:t>1.2.3.1实施范围要求</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1</w:t>
      </w:r>
      <w:r>
        <w:rPr>
          <w:rFonts w:ascii="Calibri" w:eastAsia="Calibri" w:hAnsi="Calibri" w:cs="Calibri"/>
        </w:rPr>
        <w:t>.</w:t>
      </w:r>
      <w:r>
        <w:rPr>
          <w:rFonts w:ascii="SimSun" w:eastAsia="SimSun" w:hAnsi="SimSun" w:cs="SimSun"/>
        </w:rPr>
        <w:t>中标人应</w:t>
      </w:r>
      <w:r>
        <w:rPr>
          <w:rFonts w:ascii="SimSun" w:eastAsia="SimSun" w:hAnsi="SimSun" w:cs="SimSun"/>
        </w:rPr>
        <w:t>自有或租赁种、养殖基地，保障供货能力。</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2</w:t>
      </w:r>
      <w:r>
        <w:rPr>
          <w:rFonts w:ascii="Calibri" w:eastAsia="Calibri" w:hAnsi="Calibri" w:cs="Calibri"/>
        </w:rPr>
        <w:t>.</w:t>
      </w:r>
      <w:r>
        <w:rPr>
          <w:rFonts w:ascii="SimSun" w:eastAsia="SimSun" w:hAnsi="SimSun" w:cs="SimSun"/>
        </w:rPr>
        <w:t>中标人建立食品进货检查记录制度，如实记录食品的名称、规格、数量、生产批号、保质期、供货者名称及联系方式、进货日期等内容。</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3</w:t>
      </w:r>
      <w:r>
        <w:rPr>
          <w:rFonts w:ascii="Calibri" w:eastAsia="Calibri" w:hAnsi="Calibri" w:cs="Calibri"/>
        </w:rPr>
        <w:t>.</w:t>
      </w:r>
      <w:r>
        <w:rPr>
          <w:rFonts w:ascii="SimSun" w:eastAsia="SimSun" w:hAnsi="SimSun" w:cs="SimSun"/>
        </w:rPr>
        <w:t>中标人配送食材符合国家对食品、食品相关产品中的致病性微生物、农药残留、兽药残留、重金属、污染物质以及其他危害人体健康物质的限量规定。</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4</w:t>
      </w:r>
      <w:r>
        <w:rPr>
          <w:rFonts w:ascii="Calibri" w:eastAsia="Calibri" w:hAnsi="Calibri" w:cs="Calibri"/>
        </w:rPr>
        <w:t>.</w:t>
      </w:r>
      <w:r>
        <w:rPr>
          <w:rFonts w:ascii="SimSun" w:eastAsia="SimSun" w:hAnsi="SimSun" w:cs="SimSun"/>
        </w:rPr>
        <w:t>采购人根据实际要求，列出一份次日需要采购的食材采购清单，中标人应在收到采购人发出供货通知后，最迟在次日上午</w:t>
      </w:r>
      <w:r>
        <w:rPr>
          <w:rFonts w:ascii="Calibri" w:eastAsia="Calibri" w:hAnsi="Calibri" w:cs="Calibri"/>
        </w:rPr>
        <w:t>8:20</w:t>
      </w:r>
      <w:r>
        <w:rPr>
          <w:rFonts w:ascii="SimSun" w:eastAsia="SimSun" w:hAnsi="SimSun" w:cs="SimSun"/>
        </w:rPr>
        <w:t>提供当次现场供货。</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5</w:t>
      </w:r>
      <w:r>
        <w:rPr>
          <w:rFonts w:ascii="Calibri" w:eastAsia="Calibri" w:hAnsi="Calibri" w:cs="Calibri"/>
        </w:rPr>
        <w:t>.</w:t>
      </w:r>
      <w:r>
        <w:rPr>
          <w:rFonts w:ascii="SimSun" w:eastAsia="SimSun" w:hAnsi="SimSun" w:cs="SimSun"/>
        </w:rPr>
        <w:t>紧急供货要求：中标人在收到采购人发出紧急供货通知后，最迟</w:t>
      </w:r>
      <w:r>
        <w:rPr>
          <w:rFonts w:ascii="Calibri" w:eastAsia="Calibri" w:hAnsi="Calibri" w:cs="Calibri"/>
        </w:rPr>
        <w:t>2</w:t>
      </w:r>
      <w:r>
        <w:rPr>
          <w:rFonts w:ascii="SimSun" w:eastAsia="SimSun" w:hAnsi="SimSun" w:cs="SimSun"/>
        </w:rPr>
        <w:t>小时内完成当次现场供货。</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6</w:t>
      </w:r>
      <w:r>
        <w:rPr>
          <w:rFonts w:ascii="Calibri" w:eastAsia="Calibri" w:hAnsi="Calibri" w:cs="Calibri"/>
        </w:rPr>
        <w:t>.</w:t>
      </w:r>
      <w:r>
        <w:rPr>
          <w:rFonts w:ascii="SimSun" w:eastAsia="SimSun" w:hAnsi="SimSun" w:cs="SimSun"/>
        </w:rPr>
        <w:t>中标人</w:t>
      </w:r>
      <w:r>
        <w:rPr>
          <w:rFonts w:ascii="SimSun" w:eastAsia="SimSun" w:hAnsi="SimSun" w:cs="SimSun"/>
        </w:rPr>
        <w:t>应具有集体用餐配送能力，如遇停水、停电、停气及其他突发情况导致食堂无法及时配餐的情况下，</w:t>
      </w:r>
      <w:r>
        <w:rPr>
          <w:rFonts w:ascii="SimSun" w:eastAsia="SimSun" w:hAnsi="SimSun" w:cs="SimSun"/>
        </w:rPr>
        <w:t>中标人</w:t>
      </w:r>
      <w:r>
        <w:rPr>
          <w:rFonts w:ascii="SimSun" w:eastAsia="SimSun" w:hAnsi="SimSun" w:cs="SimSun"/>
        </w:rPr>
        <w:t>能够及时为食堂配餐。</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7</w:t>
      </w:r>
      <w:r>
        <w:rPr>
          <w:rFonts w:ascii="Calibri" w:eastAsia="Calibri" w:hAnsi="Calibri" w:cs="Calibri"/>
        </w:rPr>
        <w:t>.</w:t>
      </w:r>
      <w:r>
        <w:rPr>
          <w:rFonts w:ascii="SimSun" w:eastAsia="SimSun" w:hAnsi="SimSun" w:cs="SimSun"/>
        </w:rPr>
        <w:t>中标人必须按照采购人食堂采购人员通知的时间、数量、品种、品质要求及协定的价格准时送货，经验收合格后签字确认，不能以任何理由推脱，一旦影响到采购人食堂的正常运转，中标人承担相应的经济赔偿。</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8</w:t>
      </w:r>
      <w:r>
        <w:rPr>
          <w:rFonts w:ascii="Calibri" w:eastAsia="Calibri" w:hAnsi="Calibri" w:cs="Calibri"/>
        </w:rPr>
        <w:t>.</w:t>
      </w:r>
      <w:r>
        <w:rPr>
          <w:rFonts w:ascii="SimSun" w:eastAsia="SimSun" w:hAnsi="SimSun" w:cs="SimSun"/>
        </w:rPr>
        <w:t>中标人不能满足供货要求时，应提前一个月通知采购人，采购人同意后方可终止合同。</w:t>
      </w:r>
    </w:p>
    <w:p>
      <w:pPr>
        <w:pStyle w:val="Heading4"/>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rPr>
        <w:t>1.2.3.2实施时间要求</w:t>
      </w:r>
    </w:p>
    <w:p>
      <w:pPr>
        <w:spacing w:before="0" w:after="0" w:line="360" w:lineRule="auto"/>
        <w:rPr>
          <w:rFonts w:ascii="FangSong_GB2312" w:eastAsia="FangSong_GB2312" w:hAnsi="FangSong_GB2312" w:cs="FangSong_GB2312"/>
          <w:sz w:val="28"/>
          <w:szCs w:val="28"/>
        </w:rPr>
      </w:pPr>
      <w:r>
        <w:rPr>
          <w:rFonts w:ascii="FangSong_GB2312" w:eastAsia="FangSong_GB2312" w:hAnsi="FangSong_GB2312" w:cs="FangSong_GB2312"/>
          <w:sz w:val="28"/>
          <w:szCs w:val="28"/>
        </w:rPr>
        <w:t>供货期限为：一年。</w:t>
      </w:r>
    </w:p>
    <w:p>
      <w:pPr>
        <w:pStyle w:val="Heading4"/>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rPr>
        <w:t>1.2.3.3实施地点要求</w:t>
      </w:r>
    </w:p>
    <w:p>
      <w:pPr>
        <w:pStyle w:val="MsoNormal"/>
        <w:spacing w:before="0" w:after="0" w:line="360" w:lineRule="auto"/>
        <w:ind w:firstLine="640"/>
        <w:rPr>
          <w:rFonts w:ascii="Times New Roman" w:eastAsia="Times New Roman" w:hAnsi="Times New Roman" w:cs="Times New Roman"/>
        </w:rPr>
      </w:pPr>
      <w:r>
        <w:rPr>
          <w:rFonts w:ascii="SimSun" w:eastAsia="SimSun" w:hAnsi="SimSun" w:cs="SimSun"/>
          <w:sz w:val="28"/>
          <w:szCs w:val="28"/>
        </w:rPr>
        <w:t>1.南宁市青秀区民族大道108号青秀区税务局凤岭职工食堂。</w:t>
      </w:r>
    </w:p>
    <w:p>
      <w:pPr>
        <w:pStyle w:val="MsoNormal"/>
        <w:spacing w:before="0" w:after="0" w:line="360" w:lineRule="auto"/>
        <w:ind w:firstLine="640"/>
        <w:rPr>
          <w:rFonts w:ascii="Times New Roman" w:eastAsia="Times New Roman" w:hAnsi="Times New Roman" w:cs="Times New Roman"/>
        </w:rPr>
      </w:pPr>
      <w:r>
        <w:rPr>
          <w:rFonts w:ascii="SimSun" w:eastAsia="SimSun" w:hAnsi="SimSun" w:cs="SimSun"/>
          <w:sz w:val="28"/>
          <w:szCs w:val="28"/>
        </w:rPr>
        <w:t>2.南宁市青秀区平湖路2号4楼青秀区税务局望园职工食堂。</w:t>
      </w:r>
    </w:p>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1.3其他要求</w:t>
      </w:r>
    </w:p>
    <w:p>
      <w:pPr>
        <w:pStyle w:val="Heading3"/>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sz w:val="28"/>
          <w:szCs w:val="28"/>
        </w:rPr>
        <w:t>1.3.1采购标的需执行的相关标准规范</w:t>
      </w:r>
    </w:p>
    <w:p>
      <w:pPr>
        <w:pStyle w:val="MsoNormal"/>
        <w:spacing w:before="0" w:after="0" w:line="360" w:lineRule="auto"/>
        <w:rPr>
          <w:rFonts w:ascii="Times New Roman" w:eastAsia="Times New Roman" w:hAnsi="Times New Roman" w:cs="Times New Roman"/>
        </w:rPr>
      </w:pPr>
      <w:r>
        <w:rPr>
          <w:rFonts w:ascii="Calibri" w:eastAsia="Calibri" w:hAnsi="Calibri" w:cs="Calibri"/>
          <w:color w:val="000000"/>
          <w:sz w:val="28"/>
          <w:szCs w:val="28"/>
        </w:rPr>
        <w:t>1.</w:t>
      </w:r>
      <w:r>
        <w:rPr>
          <w:rFonts w:ascii="SimSun" w:eastAsia="SimSun" w:hAnsi="SimSun" w:cs="SimSun"/>
          <w:color w:val="000000"/>
          <w:sz w:val="28"/>
          <w:szCs w:val="28"/>
        </w:rPr>
        <w:t>本项目中如涉及商品包装和快递包装的，其包装需求标准应不低于《关于印发</w:t>
      </w:r>
      <w:r>
        <w:rPr>
          <w:rFonts w:ascii="Calibri" w:eastAsia="Calibri" w:hAnsi="Calibri" w:cs="Calibri"/>
          <w:color w:val="000000"/>
          <w:sz w:val="28"/>
          <w:szCs w:val="28"/>
        </w:rPr>
        <w:t>&lt;</w:t>
      </w:r>
      <w:r>
        <w:rPr>
          <w:rFonts w:ascii="SimSun" w:eastAsia="SimSun" w:hAnsi="SimSun" w:cs="SimSun"/>
          <w:color w:val="000000"/>
          <w:sz w:val="28"/>
          <w:szCs w:val="28"/>
        </w:rPr>
        <w:t>商品包装政府采购需求标准（试行）</w:t>
      </w:r>
      <w:r>
        <w:rPr>
          <w:rFonts w:ascii="Calibri" w:eastAsia="Calibri" w:hAnsi="Calibri" w:cs="Calibri"/>
          <w:color w:val="000000"/>
          <w:sz w:val="28"/>
          <w:szCs w:val="28"/>
        </w:rPr>
        <w:t>&gt;</w:t>
      </w:r>
      <w:r>
        <w:rPr>
          <w:rFonts w:ascii="SimSun" w:eastAsia="SimSun" w:hAnsi="SimSun" w:cs="SimSun"/>
          <w:color w:val="000000"/>
          <w:sz w:val="28"/>
          <w:szCs w:val="28"/>
        </w:rPr>
        <w:t>、</w:t>
      </w:r>
      <w:r>
        <w:rPr>
          <w:rFonts w:ascii="Calibri" w:eastAsia="Calibri" w:hAnsi="Calibri" w:cs="Calibri"/>
          <w:color w:val="000000"/>
          <w:sz w:val="28"/>
          <w:szCs w:val="28"/>
        </w:rPr>
        <w:t>&lt;</w:t>
      </w:r>
      <w:r>
        <w:rPr>
          <w:rFonts w:ascii="SimSun" w:eastAsia="SimSun" w:hAnsi="SimSun" w:cs="SimSun"/>
          <w:color w:val="000000"/>
          <w:sz w:val="28"/>
          <w:szCs w:val="28"/>
        </w:rPr>
        <w:t>快递包装政府采购需求标准（试行）</w:t>
      </w:r>
      <w:r>
        <w:rPr>
          <w:rFonts w:ascii="Calibri" w:eastAsia="Calibri" w:hAnsi="Calibri" w:cs="Calibri"/>
          <w:color w:val="000000"/>
          <w:sz w:val="28"/>
          <w:szCs w:val="28"/>
        </w:rPr>
        <w:t>&gt;</w:t>
      </w:r>
      <w:r>
        <w:rPr>
          <w:rFonts w:ascii="SimSun" w:eastAsia="SimSun" w:hAnsi="SimSun" w:cs="SimSun"/>
          <w:color w:val="000000"/>
          <w:sz w:val="28"/>
          <w:szCs w:val="28"/>
        </w:rPr>
        <w:t>的通知》（财办库〔</w:t>
      </w:r>
      <w:r>
        <w:rPr>
          <w:rFonts w:ascii="Calibri" w:eastAsia="Calibri" w:hAnsi="Calibri" w:cs="Calibri"/>
          <w:color w:val="000000"/>
          <w:sz w:val="28"/>
          <w:szCs w:val="28"/>
        </w:rPr>
        <w:t>2020</w:t>
      </w:r>
      <w:r>
        <w:rPr>
          <w:rFonts w:ascii="SimSun" w:eastAsia="SimSun" w:hAnsi="SimSun" w:cs="SimSun"/>
          <w:color w:val="000000"/>
          <w:sz w:val="28"/>
          <w:szCs w:val="28"/>
        </w:rPr>
        <w:t>〕</w:t>
      </w:r>
      <w:r>
        <w:rPr>
          <w:rFonts w:ascii="Calibri" w:eastAsia="Calibri" w:hAnsi="Calibri" w:cs="Calibri"/>
          <w:color w:val="000000"/>
          <w:sz w:val="28"/>
          <w:szCs w:val="28"/>
        </w:rPr>
        <w:t xml:space="preserve">123 </w:t>
      </w:r>
      <w:r>
        <w:rPr>
          <w:rFonts w:ascii="SimSun" w:eastAsia="SimSun" w:hAnsi="SimSun" w:cs="SimSun"/>
          <w:color w:val="000000"/>
          <w:sz w:val="28"/>
          <w:szCs w:val="28"/>
        </w:rPr>
        <w:t>号）规定的包装要求，如有其他包装需求，详见采购文件技术部分相关章节。</w:t>
      </w:r>
    </w:p>
    <w:p>
      <w:pPr>
        <w:pStyle w:val="MsoNormal"/>
        <w:spacing w:before="0" w:after="0" w:line="360" w:lineRule="auto"/>
        <w:rPr>
          <w:rFonts w:ascii="Times New Roman" w:eastAsia="Times New Roman" w:hAnsi="Times New Roman" w:cs="Times New Roman"/>
        </w:rPr>
      </w:pPr>
      <w:r>
        <w:rPr>
          <w:rFonts w:ascii="Calibri" w:eastAsia="Calibri" w:hAnsi="Calibri" w:cs="Calibri"/>
          <w:color w:val="000000"/>
          <w:sz w:val="28"/>
          <w:szCs w:val="28"/>
        </w:rPr>
        <w:t>2.</w:t>
      </w:r>
      <w:r>
        <w:rPr>
          <w:rFonts w:ascii="SimSun" w:eastAsia="SimSun" w:hAnsi="SimSun" w:cs="SimSun"/>
          <w:color w:val="000000"/>
          <w:sz w:val="28"/>
          <w:szCs w:val="28"/>
        </w:rPr>
        <w:t xml:space="preserve">本项目中如涉及网络关键设备或网络安全专用产品的，应严格执行国家互联网信息办公室、工业和信息化部、公安部、财政部和国家认证认可监督管理委员会 </w:t>
      </w:r>
      <w:r>
        <w:rPr>
          <w:rFonts w:ascii="Calibri" w:eastAsia="Calibri" w:hAnsi="Calibri" w:cs="Calibri"/>
          <w:color w:val="000000"/>
          <w:sz w:val="28"/>
          <w:szCs w:val="28"/>
        </w:rPr>
        <w:t>2023</w:t>
      </w:r>
      <w:r>
        <w:rPr>
          <w:rFonts w:ascii="SimSun" w:eastAsia="SimSun" w:hAnsi="SimSun" w:cs="SimSun"/>
          <w:color w:val="000000"/>
          <w:sz w:val="28"/>
          <w:szCs w:val="28"/>
        </w:rPr>
        <w:t xml:space="preserve">年第 </w:t>
      </w:r>
      <w:r>
        <w:rPr>
          <w:rFonts w:ascii="Calibri" w:eastAsia="Calibri" w:hAnsi="Calibri" w:cs="Calibri"/>
          <w:color w:val="000000"/>
          <w:sz w:val="28"/>
          <w:szCs w:val="28"/>
        </w:rPr>
        <w:t xml:space="preserve">1 </w:t>
      </w:r>
      <w:r>
        <w:rPr>
          <w:rFonts w:ascii="SimSun" w:eastAsia="SimSun" w:hAnsi="SimSun" w:cs="SimSun"/>
          <w:color w:val="000000"/>
          <w:sz w:val="28"/>
          <w:szCs w:val="28"/>
        </w:rPr>
        <w:t xml:space="preserve">号《关于调整网络安全专用产品安全管理有关事项的公告》及国家互联网信息办公室、工业和信息化部、公安部和国家认证认可监督管理委员会 </w:t>
      </w:r>
      <w:r>
        <w:rPr>
          <w:rFonts w:ascii="Calibri" w:eastAsia="Calibri" w:hAnsi="Calibri" w:cs="Calibri"/>
          <w:color w:val="000000"/>
          <w:sz w:val="28"/>
          <w:szCs w:val="28"/>
        </w:rPr>
        <w:t xml:space="preserve">2023 </w:t>
      </w:r>
      <w:r>
        <w:rPr>
          <w:rFonts w:ascii="SimSun" w:eastAsia="SimSun" w:hAnsi="SimSun" w:cs="SimSun"/>
          <w:color w:val="000000"/>
          <w:sz w:val="28"/>
          <w:szCs w:val="28"/>
        </w:rPr>
        <w:t xml:space="preserve">年第 </w:t>
      </w:r>
      <w:r>
        <w:rPr>
          <w:rFonts w:ascii="Calibri" w:eastAsia="Calibri" w:hAnsi="Calibri" w:cs="Calibri"/>
          <w:color w:val="000000"/>
          <w:sz w:val="28"/>
          <w:szCs w:val="28"/>
        </w:rPr>
        <w:t>2</w:t>
      </w:r>
      <w:r>
        <w:rPr>
          <w:rFonts w:ascii="SimSun" w:eastAsia="SimSun" w:hAnsi="SimSun" w:cs="SimSun"/>
          <w:color w:val="000000"/>
          <w:sz w:val="28"/>
          <w:szCs w:val="28"/>
        </w:rPr>
        <w:t>号《关于调整</w:t>
      </w:r>
      <w:r>
        <w:rPr>
          <w:rFonts w:ascii="Calibri" w:eastAsia="Calibri" w:hAnsi="Calibri" w:cs="Calibri"/>
          <w:color w:val="000000"/>
          <w:sz w:val="28"/>
          <w:szCs w:val="28"/>
        </w:rPr>
        <w:t>&lt;</w:t>
      </w:r>
      <w:r>
        <w:rPr>
          <w:rFonts w:ascii="SimSun" w:eastAsia="SimSun" w:hAnsi="SimSun" w:cs="SimSun"/>
          <w:color w:val="000000"/>
          <w:sz w:val="28"/>
          <w:szCs w:val="28"/>
        </w:rPr>
        <w:t>网络关键设备和网络安全专用产品目录</w:t>
      </w:r>
      <w:r>
        <w:rPr>
          <w:rFonts w:ascii="Calibri" w:eastAsia="Calibri" w:hAnsi="Calibri" w:cs="Calibri"/>
          <w:color w:val="000000"/>
          <w:sz w:val="28"/>
          <w:szCs w:val="28"/>
        </w:rPr>
        <w:t>&gt;</w:t>
      </w:r>
      <w:r>
        <w:rPr>
          <w:rFonts w:ascii="SimSun" w:eastAsia="SimSun" w:hAnsi="SimSun" w:cs="SimSun"/>
          <w:color w:val="000000"/>
          <w:sz w:val="28"/>
          <w:szCs w:val="28"/>
        </w:rPr>
        <w:t>的公告》等相关文件要求，所投标（响应）设备或产品至少符合以下条件之一：一是已由具备资格的机构安全认证合格或安全检测符合要求；二是已获得《计算机信息系统安全专用产品销售许可证》，且在有效期内。</w:t>
      </w:r>
    </w:p>
    <w:p>
      <w:pPr>
        <w:pStyle w:val="MsoNormal"/>
        <w:spacing w:before="0" w:after="0" w:line="360" w:lineRule="auto"/>
        <w:rPr>
          <w:rFonts w:ascii="Times New Roman" w:eastAsia="Times New Roman" w:hAnsi="Times New Roman" w:cs="Times New Roman"/>
        </w:rPr>
      </w:pPr>
      <w:r>
        <w:rPr>
          <w:rFonts w:ascii="Calibri" w:eastAsia="Calibri" w:hAnsi="Calibri" w:cs="Calibri"/>
          <w:color w:val="000000"/>
          <w:sz w:val="28"/>
          <w:szCs w:val="28"/>
        </w:rPr>
        <w:t>3.</w:t>
      </w:r>
      <w:r>
        <w:rPr>
          <w:rFonts w:ascii="SimSun" w:eastAsia="SimSun" w:hAnsi="SimSun" w:cs="SimSun"/>
          <w:color w:val="000000"/>
          <w:sz w:val="28"/>
          <w:szCs w:val="28"/>
        </w:rPr>
        <w:t>本项目中如涉及国家强制性产品认证证书（</w:t>
      </w:r>
      <w:r>
        <w:rPr>
          <w:rFonts w:ascii="Calibri" w:eastAsia="Calibri" w:hAnsi="Calibri" w:cs="Calibri"/>
          <w:color w:val="000000"/>
          <w:sz w:val="28"/>
          <w:szCs w:val="28"/>
        </w:rPr>
        <w:t xml:space="preserve">CCC </w:t>
      </w:r>
      <w:r>
        <w:rPr>
          <w:rFonts w:ascii="SimSun" w:eastAsia="SimSun" w:hAnsi="SimSun" w:cs="SimSun"/>
          <w:color w:val="000000"/>
          <w:sz w:val="28"/>
          <w:szCs w:val="28"/>
        </w:rPr>
        <w:t>认证证书）、电信设备进网许可证、无线电发射设备核准证等市场准入类资质的，应严格执行国家相关法律法规的要求。</w:t>
      </w:r>
    </w:p>
    <w:p>
      <w:pPr>
        <w:pStyle w:val="Heading1"/>
        <w:keepNext w:val="0"/>
        <w:spacing w:before="0" w:after="0" w:line="360" w:lineRule="auto"/>
        <w:jc w:val="center"/>
        <w:rPr>
          <w:rFonts w:ascii="仿宋_GB2312" w:eastAsia="仿宋_GB2312" w:hAnsi="仿宋_GB2312" w:cs="仿宋_GB2312"/>
          <w:b/>
          <w:bCs/>
          <w:sz w:val="32"/>
          <w:szCs w:val="32"/>
        </w:rPr>
      </w:pPr>
      <w:r>
        <w:rPr>
          <w:rFonts w:ascii="仿宋_GB2312" w:eastAsia="仿宋_GB2312" w:hAnsi="仿宋_GB2312" w:cs="仿宋_GB2312"/>
          <w:kern w:val="36"/>
        </w:rPr>
        <w:t>2投标/响应要求</w:t>
      </w:r>
    </w:p>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2.1对供应商的要求</w:t>
      </w:r>
    </w:p>
    <w:p>
      <w:pPr>
        <w:pStyle w:val="Heading3"/>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sz w:val="28"/>
          <w:szCs w:val="28"/>
        </w:rPr>
        <w:t>2.1.1必备资质</w:t>
      </w:r>
    </w:p>
    <w:p>
      <w:pPr>
        <w:pStyle w:val="Heading4"/>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rPr>
        <w:t>2.1.1.1投标人应遵守有关国家法律、法规和条例,具备《中华人民共和国政府采购法》第二十二条的规定和本文件中规定的条件。</w:t>
      </w:r>
    </w:p>
    <w:p>
      <w:pPr>
        <w:pStyle w:val="Heading4"/>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rPr>
        <w:t>2.1.1.2本项目的特定资格要求</w:t>
      </w:r>
    </w:p>
    <w:p>
      <w:pPr>
        <w:spacing w:before="0" w:after="0" w:line="360" w:lineRule="auto"/>
        <w:ind w:firstLine="480"/>
        <w:rPr>
          <w:rFonts w:ascii="Times New Roman" w:eastAsia="Times New Roman" w:hAnsi="Times New Roman" w:cs="Times New Roman"/>
        </w:rPr>
      </w:pPr>
      <w:r>
        <w:rPr>
          <w:rFonts w:ascii="SimSun" w:eastAsia="SimSun" w:hAnsi="SimSun" w:cs="SimSun"/>
          <w:sz w:val="28"/>
          <w:szCs w:val="28"/>
        </w:rPr>
        <w:t>投标人应当具有相应有效的《食品经营许可证》。</w:t>
      </w:r>
    </w:p>
    <w:p>
      <w:pPr>
        <w:pStyle w:val="Heading3"/>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sz w:val="28"/>
          <w:szCs w:val="28"/>
        </w:rPr>
        <w:t>2.1.2优选资质/优选指标</w:t>
      </w:r>
    </w:p>
    <w:p>
      <w:pPr>
        <w:pStyle w:val="Heading4"/>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rPr>
        <w:t>2.1.2.1相关证书</w:t>
      </w:r>
    </w:p>
    <w:p>
      <w:pPr>
        <w:pStyle w:val="Heading4"/>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rPr>
        <w:t>2.1.2.2成功案例</w:t>
      </w:r>
    </w:p>
    <w:p>
      <w:pPr>
        <w:pStyle w:val="MsoNormal"/>
        <w:spacing w:before="0" w:after="0" w:line="360" w:lineRule="auto"/>
        <w:ind w:firstLine="420"/>
        <w:rPr>
          <w:rFonts w:ascii="Times New Roman" w:eastAsia="Times New Roman" w:hAnsi="Times New Roman" w:cs="Times New Roman"/>
        </w:rPr>
      </w:pPr>
      <w:r>
        <w:rPr>
          <w:rFonts w:ascii="SimSun" w:eastAsia="SimSun" w:hAnsi="SimSun" w:cs="SimSun"/>
        </w:rPr>
        <w:t>投标人2023年11月1日至投标文件提交截止时间止，具有类似项目业绩（投标文件提供合同复印件，复印件内容须体现为类似项目。同一个项目签订多份合同的只能计算一次，不重复计分）。类似项目是食堂生鲜食材或食堂非生鲜食材采购类项目。</w:t>
      </w:r>
    </w:p>
    <w:p>
      <w:pPr>
        <w:pStyle w:val="Heading3"/>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sz w:val="28"/>
          <w:szCs w:val="28"/>
        </w:rPr>
        <w:t>2.1.3是否允许联合体</w:t>
      </w:r>
    </w:p>
    <w:p>
      <w:pPr>
        <w:spacing w:before="0" w:after="0" w:line="360" w:lineRule="auto"/>
        <w:ind w:firstLine="561"/>
        <w:rPr>
          <w:rFonts w:ascii="仿宋_GB2312" w:eastAsia="仿宋_GB2312" w:hAnsi="仿宋_GB2312" w:cs="仿宋_GB2312"/>
          <w:sz w:val="28"/>
          <w:szCs w:val="28"/>
        </w:rPr>
      </w:pPr>
      <w:r>
        <w:rPr>
          <w:rFonts w:ascii="仿宋_GB2312" w:eastAsia="仿宋_GB2312" w:hAnsi="仿宋_GB2312" w:cs="仿宋_GB2312"/>
          <w:sz w:val="28"/>
          <w:szCs w:val="28"/>
        </w:rPr>
        <w:t>否</w:t>
      </w:r>
    </w:p>
    <w:p>
      <w:pPr>
        <w:pStyle w:val="Heading3"/>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sz w:val="28"/>
          <w:szCs w:val="28"/>
        </w:rPr>
        <w:t>2.1.4是否专门面向中小企业</w:t>
      </w:r>
    </w:p>
    <w:p>
      <w:pPr>
        <w:spacing w:before="0" w:after="0" w:line="360" w:lineRule="auto"/>
        <w:ind w:firstLine="561"/>
        <w:rPr>
          <w:rFonts w:ascii="仿宋_GB2312" w:eastAsia="仿宋_GB2312" w:hAnsi="仿宋_GB2312" w:cs="仿宋_GB2312"/>
          <w:sz w:val="28"/>
          <w:szCs w:val="28"/>
        </w:rPr>
      </w:pPr>
      <w:r>
        <w:rPr>
          <w:rFonts w:ascii="仿宋_GB2312" w:eastAsia="仿宋_GB2312" w:hAnsi="仿宋_GB2312" w:cs="仿宋_GB2312"/>
          <w:sz w:val="28"/>
          <w:szCs w:val="28"/>
        </w:rPr>
        <w:t>本项目不专门面向中小企业采购项目</w:t>
      </w:r>
    </w:p>
    <w:p>
      <w:pPr>
        <w:pStyle w:val="Heading3"/>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sz w:val="28"/>
          <w:szCs w:val="28"/>
        </w:rPr>
        <w:t>2.1.5其他要求</w:t>
      </w:r>
    </w:p>
    <w:p>
      <w:pPr>
        <w:pStyle w:val="MsoNormal"/>
        <w:spacing w:before="0" w:after="0" w:line="360" w:lineRule="auto"/>
        <w:ind w:firstLine="420"/>
        <w:rPr>
          <w:rFonts w:ascii="Times New Roman" w:eastAsia="Times New Roman" w:hAnsi="Times New Roman" w:cs="Times New Roman"/>
        </w:rPr>
      </w:pPr>
      <w:r>
        <w:rPr>
          <w:rFonts w:ascii="SimSun" w:eastAsia="SimSun" w:hAnsi="SimSun" w:cs="SimSun"/>
          <w:sz w:val="28"/>
          <w:szCs w:val="28"/>
        </w:rPr>
        <w:t>1.合同履约过程中，中标人破产或被市场监督管理部门撤销食品经营许可证的，采购人有权解除合同，造成损失的由中标人赔偿。</w:t>
      </w:r>
    </w:p>
    <w:p>
      <w:pPr>
        <w:pStyle w:val="MsoNormal"/>
        <w:spacing w:before="0" w:after="0" w:line="360" w:lineRule="auto"/>
        <w:ind w:firstLine="420"/>
        <w:rPr>
          <w:rFonts w:ascii="Times New Roman" w:eastAsia="Times New Roman" w:hAnsi="Times New Roman" w:cs="Times New Roman"/>
        </w:rPr>
      </w:pPr>
      <w:r>
        <w:rPr>
          <w:rFonts w:ascii="SimSun" w:eastAsia="SimSun" w:hAnsi="SimSun" w:cs="SimSun"/>
          <w:sz w:val="28"/>
          <w:szCs w:val="28"/>
        </w:rPr>
        <w:t>2.因政策变化或执行上级文件要求，导致食堂无法运转，合同无法履行的，采购人有权解除合同且不承担违约责任。</w:t>
      </w:r>
    </w:p>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2.2技术部分投标/响应内容</w:t>
      </w:r>
    </w:p>
    <w:p>
      <w:pPr>
        <w:pStyle w:val="Heading3"/>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sz w:val="28"/>
          <w:szCs w:val="28"/>
        </w:rPr>
        <w:t>2.2.1技术投标/响应总要求</w:t>
      </w:r>
    </w:p>
    <w:p>
      <w:pPr>
        <w:pStyle w:val="MsoNormal"/>
        <w:spacing w:before="0" w:after="0" w:line="360" w:lineRule="auto"/>
        <w:rPr>
          <w:rFonts w:ascii="Times New Roman" w:eastAsia="Times New Roman" w:hAnsi="Times New Roman" w:cs="Times New Roman"/>
        </w:rPr>
      </w:pPr>
      <w:r>
        <w:rPr>
          <w:rFonts w:ascii="SimSun" w:eastAsia="SimSun" w:hAnsi="SimSun" w:cs="SimSun"/>
          <w:b/>
          <w:bCs/>
          <w:sz w:val="30"/>
          <w:szCs w:val="30"/>
        </w:rPr>
        <w:t>生鲜类食材:</w:t>
      </w:r>
    </w:p>
    <w:p>
      <w:pPr>
        <w:pStyle w:val="MsoNormal"/>
        <w:spacing w:before="0" w:after="0" w:line="360" w:lineRule="auto"/>
        <w:rPr>
          <w:rFonts w:ascii="Times New Roman" w:eastAsia="Times New Roman" w:hAnsi="Times New Roman" w:cs="Times New Roman"/>
        </w:rPr>
      </w:pPr>
      <w:r>
        <w:rPr>
          <w:rFonts w:ascii="SimSun" w:eastAsia="SimSun" w:hAnsi="SimSun" w:cs="SimSun"/>
        </w:rPr>
        <w:t>一、</w:t>
      </w:r>
      <w:r>
        <w:rPr>
          <w:rFonts w:ascii="SimSun" w:eastAsia="SimSun" w:hAnsi="SimSun" w:cs="SimSun"/>
          <w:b/>
          <w:bCs/>
        </w:rPr>
        <w:t>产品质量要求</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（一）肉类、禽类（含鸡、鸭、鹅、猪、牛、羊等）：</w:t>
      </w:r>
    </w:p>
    <w:p>
      <w:pPr>
        <w:pStyle w:val="MsoNormal"/>
        <w:spacing w:before="0" w:after="0" w:line="360" w:lineRule="auto"/>
        <w:ind w:left="0" w:right="0" w:firstLine="420"/>
        <w:jc w:val="both"/>
        <w:rPr>
          <w:rFonts w:ascii="Calibri" w:eastAsia="Calibri" w:hAnsi="Calibri" w:cs="Calibri"/>
          <w:sz w:val="21"/>
          <w:szCs w:val="21"/>
        </w:rPr>
      </w:pPr>
      <w:r>
        <w:rPr>
          <w:sz w:val="21"/>
          <w:szCs w:val="21"/>
        </w:rPr>
        <w:t>1.</w:t>
      </w:r>
      <w:r>
        <w:rPr>
          <w:rFonts w:ascii="SimSun" w:eastAsia="SimSun" w:hAnsi="SimSun" w:cs="SimSun"/>
          <w:sz w:val="21"/>
          <w:szCs w:val="21"/>
        </w:rPr>
        <w:t>所供货物应保持较好的外观和质量等级，符合国家食品部门的有关标准，保证无异味、无霉烂变质，供货时须提交验收单及当批次有效的动物检疫合格证复印件，鲜肉确保每日新鲜，冷冻肉要求肉体冻实而坚硬，无化冻现象，肉质紧密而有弹性，色泽均匀，不粘手，交货时干净、新鲜、无异味。</w:t>
      </w:r>
    </w:p>
    <w:p>
      <w:pPr>
        <w:pStyle w:val="MsoNormal"/>
        <w:spacing w:before="0" w:after="0" w:line="360" w:lineRule="auto"/>
        <w:ind w:left="0" w:right="0" w:firstLine="420"/>
        <w:jc w:val="both"/>
        <w:rPr>
          <w:rFonts w:ascii="Calibri" w:eastAsia="Calibri" w:hAnsi="Calibri" w:cs="Calibri"/>
          <w:sz w:val="21"/>
          <w:szCs w:val="21"/>
        </w:rPr>
      </w:pPr>
      <w:r>
        <w:rPr>
          <w:sz w:val="21"/>
          <w:szCs w:val="21"/>
        </w:rPr>
        <w:t>2.</w:t>
      </w:r>
      <w:r>
        <w:rPr>
          <w:rFonts w:ascii="SimSun" w:eastAsia="SimSun" w:hAnsi="SimSun" w:cs="SimSun"/>
          <w:sz w:val="21"/>
          <w:szCs w:val="21"/>
        </w:rPr>
        <w:t>所有货物规格符合采购人提交的日采购计划中明确的具体需求。</w:t>
      </w:r>
    </w:p>
    <w:p>
      <w:pPr>
        <w:pStyle w:val="MsoNormal"/>
        <w:spacing w:before="0" w:after="0" w:line="360" w:lineRule="auto"/>
        <w:ind w:left="0" w:right="0" w:firstLine="420"/>
        <w:jc w:val="both"/>
        <w:rPr>
          <w:rFonts w:ascii="Calibri" w:eastAsia="Calibri" w:hAnsi="Calibri" w:cs="Calibri"/>
          <w:sz w:val="21"/>
          <w:szCs w:val="21"/>
        </w:rPr>
      </w:pPr>
      <w:r>
        <w:rPr>
          <w:sz w:val="21"/>
          <w:szCs w:val="21"/>
        </w:rPr>
        <w:t>3.</w:t>
      </w:r>
      <w:r>
        <w:rPr>
          <w:rFonts w:ascii="SimSun" w:eastAsia="SimSun" w:hAnsi="SimSun" w:cs="SimSun"/>
          <w:sz w:val="21"/>
          <w:szCs w:val="21"/>
        </w:rPr>
        <w:t xml:space="preserve">冷冻禽类解冻后净重量不少于 </w:t>
      </w:r>
      <w:r>
        <w:rPr>
          <w:sz w:val="21"/>
          <w:szCs w:val="21"/>
        </w:rPr>
        <w:t>90</w:t>
      </w:r>
      <w:r>
        <w:rPr>
          <w:rFonts w:ascii="SimSun" w:eastAsia="SimSun" w:hAnsi="SimSun" w:cs="SimSun"/>
          <w:sz w:val="21"/>
          <w:szCs w:val="21"/>
        </w:rPr>
        <w:t xml:space="preserve">％，冷冻肉类解冻后净重量不少于 </w:t>
      </w:r>
      <w:r>
        <w:rPr>
          <w:sz w:val="21"/>
          <w:szCs w:val="21"/>
        </w:rPr>
        <w:t>92%</w:t>
      </w:r>
      <w:r>
        <w:rPr>
          <w:rFonts w:ascii="SimSun" w:eastAsia="SimSun" w:hAnsi="SimSun" w:cs="SimSun"/>
          <w:sz w:val="21"/>
          <w:szCs w:val="21"/>
        </w:rPr>
        <w:t xml:space="preserve">，解冻时间为 </w:t>
      </w:r>
      <w:r>
        <w:rPr>
          <w:sz w:val="21"/>
          <w:szCs w:val="21"/>
        </w:rPr>
        <w:t xml:space="preserve">4 </w:t>
      </w:r>
      <w:r>
        <w:rPr>
          <w:rFonts w:ascii="SimSun" w:eastAsia="SimSun" w:hAnsi="SimSun" w:cs="SimSun"/>
          <w:sz w:val="21"/>
          <w:szCs w:val="21"/>
        </w:rPr>
        <w:t xml:space="preserve">小时以内（室温 </w:t>
      </w:r>
      <w:r>
        <w:rPr>
          <w:sz w:val="21"/>
          <w:szCs w:val="21"/>
        </w:rPr>
        <w:t>20</w:t>
      </w:r>
      <w:r>
        <w:rPr>
          <w:rFonts w:ascii="SimSun" w:eastAsia="SimSun" w:hAnsi="SimSun" w:cs="SimSun"/>
          <w:sz w:val="21"/>
          <w:szCs w:val="21"/>
        </w:rPr>
        <w:t>℃）。所有冷冻要求清晰列出产品品牌、规格、类型、包装方式、包装净重、含冰量等相关参数。</w:t>
      </w:r>
    </w:p>
    <w:p>
      <w:pPr>
        <w:pStyle w:val="MsoNormal"/>
        <w:spacing w:before="0" w:after="0" w:line="360" w:lineRule="auto"/>
        <w:ind w:left="0" w:right="0" w:firstLine="420"/>
        <w:jc w:val="both"/>
        <w:rPr>
          <w:rFonts w:ascii="Calibri" w:eastAsia="Calibri" w:hAnsi="Calibri" w:cs="Calibri"/>
          <w:sz w:val="21"/>
          <w:szCs w:val="21"/>
        </w:rPr>
      </w:pPr>
      <w:r>
        <w:rPr>
          <w:sz w:val="21"/>
          <w:szCs w:val="21"/>
        </w:rPr>
        <w:t>4.</w:t>
      </w:r>
      <w:r>
        <w:rPr>
          <w:rFonts w:ascii="SimSun" w:eastAsia="SimSun" w:hAnsi="SimSun" w:cs="SimSun"/>
          <w:sz w:val="21"/>
          <w:szCs w:val="21"/>
        </w:rPr>
        <w:t>熟食包括烧鸡、烧鸭、烧鹅等。熟食（特别是鲜制熟食）保质期较短，保鲜要求高，供应的熟食需保证产品的品质。</w:t>
      </w:r>
    </w:p>
    <w:p>
      <w:pPr>
        <w:pStyle w:val="MsoNormal"/>
        <w:spacing w:before="0" w:after="0" w:line="360" w:lineRule="auto"/>
        <w:ind w:left="0" w:right="0" w:firstLine="420"/>
        <w:jc w:val="both"/>
        <w:rPr>
          <w:rFonts w:ascii="Calibri" w:eastAsia="Calibri" w:hAnsi="Calibri" w:cs="Calibri"/>
          <w:sz w:val="21"/>
          <w:szCs w:val="21"/>
        </w:rPr>
      </w:pPr>
      <w:r>
        <w:rPr>
          <w:sz w:val="21"/>
          <w:szCs w:val="21"/>
        </w:rPr>
        <w:t>5.</w:t>
      </w:r>
      <w:r>
        <w:rPr>
          <w:rFonts w:ascii="SimSun" w:eastAsia="SimSun" w:hAnsi="SimSun" w:cs="SimSun"/>
          <w:sz w:val="21"/>
          <w:szCs w:val="21"/>
        </w:rPr>
        <w:t>禽类交货时提供本批次产品的出厂（库）检验合格证明，随车同行，供货时提供《产品合格证》；肉制品出具半年内有效的《卫生检疫报告》及《产品合格证》。</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（二）海鲜</w:t>
      </w:r>
      <w:r>
        <w:rPr>
          <w:rFonts w:ascii="SimSun" w:eastAsia="SimSun" w:hAnsi="SimSun" w:cs="SimSun"/>
          <w:sz w:val="21"/>
          <w:szCs w:val="21"/>
        </w:rPr>
        <w:t>鱼</w:t>
      </w:r>
      <w:r>
        <w:rPr>
          <w:rFonts w:ascii="SimSun" w:eastAsia="SimSun" w:hAnsi="SimSun" w:cs="SimSun"/>
          <w:sz w:val="21"/>
          <w:szCs w:val="21"/>
        </w:rPr>
        <w:t>类：</w:t>
      </w:r>
    </w:p>
    <w:p>
      <w:pPr>
        <w:pStyle w:val="MsoNormal"/>
        <w:spacing w:before="0" w:after="0" w:line="360" w:lineRule="auto"/>
        <w:ind w:left="0" w:right="0" w:firstLine="420"/>
        <w:jc w:val="both"/>
        <w:rPr>
          <w:rFonts w:ascii="Calibri" w:eastAsia="Calibri" w:hAnsi="Calibri" w:cs="Calibri"/>
          <w:sz w:val="21"/>
          <w:szCs w:val="21"/>
        </w:rPr>
      </w:pPr>
      <w:r>
        <w:rPr>
          <w:sz w:val="21"/>
          <w:szCs w:val="21"/>
        </w:rPr>
        <w:t>1.</w:t>
      </w:r>
      <w:r>
        <w:rPr>
          <w:rFonts w:ascii="SimSun" w:eastAsia="SimSun" w:hAnsi="SimSun" w:cs="SimSun"/>
          <w:sz w:val="21"/>
          <w:szCs w:val="21"/>
        </w:rPr>
        <w:t>冷冻鱼类要求鱼眼睛清亮，角膜透明，鳞片上覆盖有冻结的透明粘液层，皮肤天然色泽明显。鱼体完整无伤残，带鳞鱼应体表鳞片完整无损。去鳞鱼不应有残鳞片。另外鱼体富有弹性，手指轻按鱼体后，手指凹陷处可马上恢复。鱼应无异味有较温和的鱼腥味。</w:t>
      </w:r>
    </w:p>
    <w:p>
      <w:pPr>
        <w:pStyle w:val="MsoNormal"/>
        <w:spacing w:before="0" w:after="0" w:line="360" w:lineRule="auto"/>
        <w:ind w:left="0" w:right="0" w:firstLine="420"/>
        <w:jc w:val="both"/>
        <w:rPr>
          <w:rFonts w:ascii="Calibri" w:eastAsia="Calibri" w:hAnsi="Calibri" w:cs="Calibri"/>
          <w:sz w:val="21"/>
          <w:szCs w:val="21"/>
        </w:rPr>
      </w:pPr>
      <w:r>
        <w:rPr>
          <w:sz w:val="21"/>
          <w:szCs w:val="21"/>
        </w:rPr>
        <w:t>2.</w:t>
      </w:r>
      <w:r>
        <w:rPr>
          <w:rFonts w:ascii="SimSun" w:eastAsia="SimSun" w:hAnsi="SimSun" w:cs="SimSun"/>
          <w:sz w:val="21"/>
          <w:szCs w:val="21"/>
        </w:rPr>
        <w:t>虾的头胸甲与躯干连接紧密，无断头现象。虾身清洁无污染无异味，虾眼突起，虾身较挺，肉质坚实；虾壳发亮、发硬，呈青绿色或青白色。</w:t>
      </w:r>
    </w:p>
    <w:p>
      <w:pPr>
        <w:pStyle w:val="MsoNormal"/>
        <w:spacing w:before="0" w:after="0" w:line="360" w:lineRule="auto"/>
        <w:ind w:left="0" w:right="0" w:firstLine="420"/>
        <w:jc w:val="both"/>
        <w:rPr>
          <w:rFonts w:ascii="Calibri" w:eastAsia="Calibri" w:hAnsi="Calibri" w:cs="Calibri"/>
          <w:sz w:val="21"/>
          <w:szCs w:val="21"/>
        </w:rPr>
      </w:pPr>
      <w:r>
        <w:rPr>
          <w:sz w:val="21"/>
          <w:szCs w:val="21"/>
        </w:rPr>
        <w:t>3.</w:t>
      </w:r>
      <w:r>
        <w:rPr>
          <w:rFonts w:ascii="SimSun" w:eastAsia="SimSun" w:hAnsi="SimSun" w:cs="SimSun"/>
          <w:sz w:val="21"/>
          <w:szCs w:val="21"/>
        </w:rPr>
        <w:t>黄鳝要体态完整，体色正常，在水中朝上直立，捞离水后，挣扎有力，身上粘度较多，个体较大。</w:t>
      </w:r>
    </w:p>
    <w:p>
      <w:pPr>
        <w:pStyle w:val="MsoNormal"/>
        <w:spacing w:before="0" w:after="0" w:line="360" w:lineRule="auto"/>
        <w:ind w:left="0" w:right="0" w:firstLine="420"/>
        <w:jc w:val="both"/>
        <w:rPr>
          <w:rFonts w:ascii="Calibri" w:eastAsia="Calibri" w:hAnsi="Calibri" w:cs="Calibri"/>
          <w:sz w:val="21"/>
          <w:szCs w:val="21"/>
        </w:rPr>
      </w:pPr>
      <w:r>
        <w:rPr>
          <w:sz w:val="21"/>
          <w:szCs w:val="21"/>
        </w:rPr>
        <w:t>4.</w:t>
      </w:r>
      <w:r>
        <w:rPr>
          <w:rFonts w:ascii="SimSun" w:eastAsia="SimSun" w:hAnsi="SimSun" w:cs="SimSun"/>
          <w:sz w:val="21"/>
          <w:szCs w:val="21"/>
        </w:rPr>
        <w:t>贝壳类要求肉质新鲜，无臭味，两贝壳相碰发出实响，且响声均匀，在静水中会伸出触角；表面清洁完整，无寄生物，外观完美，有光泽。</w:t>
      </w:r>
    </w:p>
    <w:p>
      <w:pPr>
        <w:pStyle w:val="MsoNormal"/>
        <w:spacing w:before="0" w:after="0" w:line="360" w:lineRule="auto"/>
        <w:ind w:left="0" w:right="0" w:firstLine="420"/>
        <w:jc w:val="both"/>
        <w:rPr>
          <w:rFonts w:ascii="Calibri" w:eastAsia="Calibri" w:hAnsi="Calibri" w:cs="Calibri"/>
          <w:sz w:val="21"/>
          <w:szCs w:val="21"/>
        </w:rPr>
      </w:pPr>
      <w:r>
        <w:rPr>
          <w:sz w:val="21"/>
          <w:szCs w:val="21"/>
        </w:rPr>
        <w:t>5.</w:t>
      </w:r>
      <w:r>
        <w:rPr>
          <w:rFonts w:ascii="SimSun" w:eastAsia="SimSun" w:hAnsi="SimSun" w:cs="SimSun"/>
          <w:sz w:val="21"/>
          <w:szCs w:val="21"/>
        </w:rPr>
        <w:t xml:space="preserve">冷冻水产类解冻后净重量不少于 </w:t>
      </w:r>
      <w:r>
        <w:rPr>
          <w:sz w:val="21"/>
          <w:szCs w:val="21"/>
        </w:rPr>
        <w:t>82%</w:t>
      </w:r>
      <w:r>
        <w:rPr>
          <w:rFonts w:ascii="SimSun" w:eastAsia="SimSun" w:hAnsi="SimSun" w:cs="SimSun"/>
          <w:sz w:val="21"/>
          <w:szCs w:val="21"/>
        </w:rPr>
        <w:t xml:space="preserve">，解冻时间为 </w:t>
      </w:r>
      <w:r>
        <w:rPr>
          <w:sz w:val="21"/>
          <w:szCs w:val="21"/>
        </w:rPr>
        <w:t xml:space="preserve">4 </w:t>
      </w:r>
      <w:r>
        <w:rPr>
          <w:rFonts w:ascii="SimSun" w:eastAsia="SimSun" w:hAnsi="SimSun" w:cs="SimSun"/>
          <w:sz w:val="21"/>
          <w:szCs w:val="21"/>
        </w:rPr>
        <w:t xml:space="preserve">小时以内（室温 </w:t>
      </w:r>
      <w:r>
        <w:rPr>
          <w:sz w:val="21"/>
          <w:szCs w:val="21"/>
        </w:rPr>
        <w:t>20</w:t>
      </w:r>
      <w:r>
        <w:rPr>
          <w:rFonts w:ascii="SimSun" w:eastAsia="SimSun" w:hAnsi="SimSun" w:cs="SimSun"/>
          <w:sz w:val="21"/>
          <w:szCs w:val="21"/>
        </w:rPr>
        <w:t>℃）。所有冷冻要求清晰列出产品品牌、规格、类型、包装方式、包装净重、含冰量等相关参数。</w:t>
      </w:r>
    </w:p>
    <w:p>
      <w:pPr>
        <w:pStyle w:val="MsoNormal"/>
        <w:spacing w:before="0" w:after="0" w:line="360" w:lineRule="auto"/>
        <w:ind w:left="0" w:right="0" w:firstLine="420"/>
        <w:jc w:val="both"/>
        <w:rPr>
          <w:rFonts w:ascii="Calibri" w:eastAsia="Calibri" w:hAnsi="Calibri" w:cs="Calibri"/>
          <w:sz w:val="21"/>
          <w:szCs w:val="21"/>
        </w:rPr>
      </w:pPr>
      <w:r>
        <w:rPr>
          <w:sz w:val="21"/>
          <w:szCs w:val="21"/>
        </w:rPr>
        <w:t>6.</w:t>
      </w:r>
      <w:r>
        <w:rPr>
          <w:rFonts w:ascii="SimSun" w:eastAsia="SimSun" w:hAnsi="SimSun" w:cs="SimSun"/>
          <w:sz w:val="21"/>
          <w:szCs w:val="21"/>
        </w:rPr>
        <w:t>水产品供货时须出具贮存地的出入库检疫证明。</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（三）蔬菜类</w:t>
      </w:r>
      <w:r>
        <w:rPr>
          <w:rFonts w:ascii="SimSun" w:eastAsia="SimSun" w:hAnsi="SimSun" w:cs="SimSun"/>
          <w:sz w:val="21"/>
          <w:szCs w:val="21"/>
        </w:rPr>
        <w:t xml:space="preserve"> </w:t>
      </w:r>
      <w:r>
        <w:rPr>
          <w:rFonts w:ascii="SimSun" w:eastAsia="SimSun" w:hAnsi="SimSun" w:cs="SimSun"/>
          <w:sz w:val="21"/>
          <w:szCs w:val="21"/>
        </w:rPr>
        <w:t>：</w:t>
      </w:r>
    </w:p>
    <w:p>
      <w:pPr>
        <w:pStyle w:val="MsoNormal"/>
        <w:spacing w:before="0" w:after="0" w:line="360" w:lineRule="auto"/>
        <w:ind w:left="0" w:right="0" w:firstLine="420"/>
        <w:jc w:val="both"/>
        <w:rPr>
          <w:rFonts w:ascii="Calibri" w:eastAsia="Calibri" w:hAnsi="Calibri" w:cs="Calibri"/>
          <w:sz w:val="21"/>
          <w:szCs w:val="21"/>
        </w:rPr>
      </w:pPr>
      <w:r>
        <w:rPr>
          <w:sz w:val="21"/>
          <w:szCs w:val="21"/>
        </w:rPr>
        <w:t>1.</w:t>
      </w:r>
      <w:r>
        <w:rPr>
          <w:rFonts w:ascii="SimSun" w:eastAsia="SimSun" w:hAnsi="SimSun" w:cs="SimSun"/>
          <w:sz w:val="21"/>
          <w:szCs w:val="21"/>
        </w:rPr>
        <w:t>中标人每天的供应按采购人提出的品种要求和计划数量进行供应。</w:t>
      </w:r>
    </w:p>
    <w:p>
      <w:pPr>
        <w:pStyle w:val="MsoNormal"/>
        <w:spacing w:before="0" w:after="0" w:line="360" w:lineRule="auto"/>
        <w:ind w:left="0" w:right="0" w:firstLine="420"/>
        <w:jc w:val="both"/>
        <w:rPr>
          <w:rFonts w:ascii="Calibri" w:eastAsia="Calibri" w:hAnsi="Calibri" w:cs="Calibri"/>
          <w:sz w:val="21"/>
          <w:szCs w:val="21"/>
        </w:rPr>
      </w:pPr>
      <w:r>
        <w:rPr>
          <w:sz w:val="21"/>
          <w:szCs w:val="21"/>
        </w:rPr>
        <w:t>2.</w:t>
      </w:r>
      <w:r>
        <w:rPr>
          <w:rFonts w:ascii="SimSun" w:eastAsia="SimSun" w:hAnsi="SimSun" w:cs="SimSun"/>
          <w:sz w:val="21"/>
          <w:szCs w:val="21"/>
        </w:rPr>
        <w:t>属季节问题，若出现品种不能满足采购人需求的情况，可与采购人协商调换相应类别的品种（按叶菜、瓜菜等进行分类）。</w:t>
      </w:r>
    </w:p>
    <w:p>
      <w:pPr>
        <w:pStyle w:val="MsoNormal"/>
        <w:spacing w:before="0" w:after="0" w:line="360" w:lineRule="auto"/>
        <w:ind w:left="0" w:right="0" w:firstLine="420"/>
        <w:jc w:val="both"/>
        <w:rPr>
          <w:rFonts w:ascii="Calibri" w:eastAsia="Calibri" w:hAnsi="Calibri" w:cs="Calibri"/>
          <w:sz w:val="21"/>
          <w:szCs w:val="21"/>
        </w:rPr>
      </w:pPr>
      <w:r>
        <w:rPr>
          <w:sz w:val="21"/>
          <w:szCs w:val="21"/>
        </w:rPr>
        <w:t>3.</w:t>
      </w:r>
      <w:r>
        <w:rPr>
          <w:rFonts w:ascii="SimSun" w:eastAsia="SimSun" w:hAnsi="SimSun" w:cs="SimSun"/>
          <w:sz w:val="21"/>
          <w:szCs w:val="21"/>
        </w:rPr>
        <w:t>蔬菜类应保持较好的色泽和新鲜度</w:t>
      </w:r>
      <w:r>
        <w:rPr>
          <w:sz w:val="21"/>
          <w:szCs w:val="21"/>
        </w:rPr>
        <w:t>,</w:t>
      </w:r>
      <w:r>
        <w:rPr>
          <w:rFonts w:ascii="SimSun" w:eastAsia="SimSun" w:hAnsi="SimSun" w:cs="SimSun"/>
          <w:sz w:val="21"/>
          <w:szCs w:val="21"/>
        </w:rPr>
        <w:t xml:space="preserve">利用率达到 </w:t>
      </w:r>
      <w:r>
        <w:rPr>
          <w:sz w:val="21"/>
          <w:szCs w:val="21"/>
        </w:rPr>
        <w:t>95%</w:t>
      </w:r>
      <w:r>
        <w:rPr>
          <w:rFonts w:ascii="SimSun" w:eastAsia="SimSun" w:hAnsi="SimSun" w:cs="SimSun"/>
          <w:sz w:val="21"/>
          <w:szCs w:val="21"/>
        </w:rPr>
        <w:t>。严禁采购有害、有毒、腐烂变质、酸败、霉变、生虫、污垢不洁、混有异物或其他感官性状异常的。蔬菜应无损伤、腐烂现象，无寄生虫或已受虫害现象。禁止采购超过保质期限的。</w:t>
      </w:r>
    </w:p>
    <w:p>
      <w:pPr>
        <w:pStyle w:val="MsoNormal"/>
        <w:spacing w:before="0" w:after="0" w:line="360" w:lineRule="auto"/>
        <w:ind w:left="0" w:right="0" w:firstLine="420"/>
        <w:jc w:val="both"/>
        <w:rPr>
          <w:rFonts w:ascii="Calibri" w:eastAsia="Calibri" w:hAnsi="Calibri" w:cs="Calibri"/>
          <w:sz w:val="21"/>
          <w:szCs w:val="21"/>
        </w:rPr>
      </w:pPr>
      <w:r>
        <w:rPr>
          <w:sz w:val="21"/>
          <w:szCs w:val="21"/>
        </w:rPr>
        <w:t>4.</w:t>
      </w:r>
      <w:r>
        <w:rPr>
          <w:rFonts w:ascii="SimSun" w:eastAsia="SimSun" w:hAnsi="SimSun" w:cs="SimSun"/>
          <w:sz w:val="21"/>
          <w:szCs w:val="21"/>
        </w:rPr>
        <w:t>供应链要求：所有的来源须清晰。蔬菜来源应当在受到地方政府部门监管的自有基地、商品菜基地或蔬菜专业流通市场，严禁收购散户农民的蔬菜供应。</w:t>
      </w:r>
    </w:p>
    <w:p>
      <w:pPr>
        <w:pStyle w:val="MsoNormal"/>
        <w:spacing w:before="0" w:after="0" w:line="360" w:lineRule="auto"/>
        <w:ind w:left="0" w:right="0" w:firstLine="420"/>
        <w:jc w:val="both"/>
        <w:rPr>
          <w:rFonts w:ascii="Calibri" w:eastAsia="Calibri" w:hAnsi="Calibri" w:cs="Calibri"/>
          <w:sz w:val="21"/>
          <w:szCs w:val="21"/>
        </w:rPr>
      </w:pPr>
      <w:r>
        <w:rPr>
          <w:sz w:val="21"/>
          <w:szCs w:val="21"/>
        </w:rPr>
        <w:t>5</w:t>
      </w:r>
      <w:r>
        <w:rPr>
          <w:sz w:val="21"/>
          <w:szCs w:val="21"/>
        </w:rPr>
        <w:t>.</w:t>
      </w:r>
      <w:r>
        <w:rPr>
          <w:rFonts w:ascii="SimSun" w:eastAsia="SimSun" w:hAnsi="SimSun" w:cs="SimSun"/>
          <w:sz w:val="21"/>
          <w:szCs w:val="21"/>
        </w:rPr>
        <w:t>蔬菜卫生质量要求：卫生质量指标应符合我国无公害蔬菜上的卫生指标规定。</w:t>
      </w:r>
    </w:p>
    <w:p>
      <w:pPr>
        <w:pStyle w:val="MsoNormal"/>
        <w:spacing w:before="0" w:after="0" w:line="360" w:lineRule="auto"/>
        <w:ind w:left="0" w:right="0" w:firstLine="420"/>
        <w:jc w:val="both"/>
        <w:rPr>
          <w:rFonts w:ascii="Calibri" w:eastAsia="Calibri" w:hAnsi="Calibri" w:cs="Calibri"/>
          <w:sz w:val="21"/>
          <w:szCs w:val="21"/>
        </w:rPr>
      </w:pPr>
      <w:r>
        <w:rPr>
          <w:sz w:val="21"/>
          <w:szCs w:val="21"/>
        </w:rPr>
        <w:t>6</w:t>
      </w:r>
      <w:r>
        <w:rPr>
          <w:sz w:val="21"/>
          <w:szCs w:val="21"/>
        </w:rPr>
        <w:t>.</w:t>
      </w:r>
      <w:r>
        <w:rPr>
          <w:rFonts w:ascii="SimSun" w:eastAsia="SimSun" w:hAnsi="SimSun" w:cs="SimSun"/>
          <w:sz w:val="21"/>
          <w:szCs w:val="21"/>
        </w:rPr>
        <w:t>对蔬菜生产商的管理要求：菜地配有专用的农药喷洒用具及其他农用器具；蔬菜采收后需用清洁、无污染的运输工具运抵加工地点。</w:t>
      </w:r>
    </w:p>
    <w:p>
      <w:pPr>
        <w:pStyle w:val="MsoNormal"/>
        <w:spacing w:before="0" w:after="0" w:line="360" w:lineRule="auto"/>
        <w:ind w:left="0" w:right="0" w:firstLine="420"/>
        <w:jc w:val="both"/>
        <w:rPr>
          <w:rFonts w:ascii="Calibri" w:eastAsia="Calibri" w:hAnsi="Calibri" w:cs="Calibri"/>
          <w:sz w:val="21"/>
          <w:szCs w:val="21"/>
        </w:rPr>
      </w:pPr>
      <w:r>
        <w:rPr>
          <w:sz w:val="21"/>
          <w:szCs w:val="21"/>
        </w:rPr>
        <w:t>7</w:t>
      </w:r>
      <w:r>
        <w:rPr>
          <w:sz w:val="21"/>
          <w:szCs w:val="21"/>
        </w:rPr>
        <w:t>.</w:t>
      </w:r>
      <w:r>
        <w:rPr>
          <w:rFonts w:ascii="SimSun" w:eastAsia="SimSun" w:hAnsi="SimSun" w:cs="SimSun"/>
          <w:sz w:val="21"/>
          <w:szCs w:val="21"/>
        </w:rPr>
        <w:t>对蔬菜生产商环境要求：菜地周围需设有隔离网、隔离带或其他有效的隔离措施，确保不受临近农田施肥和用药污染；菜地周围无养殖场、化工厂、垃圾处理场、医院以及污水排放管道等污染源。</w:t>
      </w:r>
    </w:p>
    <w:p>
      <w:pPr>
        <w:pStyle w:val="MsoNormal"/>
        <w:spacing w:before="0" w:after="0" w:line="360" w:lineRule="auto"/>
        <w:ind w:left="0" w:right="0" w:firstLine="420"/>
        <w:jc w:val="both"/>
        <w:rPr>
          <w:rFonts w:ascii="Calibri" w:eastAsia="Calibri" w:hAnsi="Calibri" w:cs="Calibri"/>
          <w:sz w:val="21"/>
          <w:szCs w:val="21"/>
        </w:rPr>
      </w:pPr>
      <w:r>
        <w:rPr>
          <w:sz w:val="21"/>
          <w:szCs w:val="21"/>
        </w:rPr>
        <w:t>8</w:t>
      </w:r>
      <w:r>
        <w:rPr>
          <w:sz w:val="21"/>
          <w:szCs w:val="21"/>
        </w:rPr>
        <w:t>.</w:t>
      </w:r>
      <w:r>
        <w:rPr>
          <w:rFonts w:ascii="SimSun" w:eastAsia="SimSun" w:hAnsi="SimSun" w:cs="SimSun"/>
          <w:sz w:val="21"/>
          <w:szCs w:val="21"/>
        </w:rPr>
        <w:t>对蔬菜生产商水源要求：菜地应有清洁无污染的灌溉水源；灌溉水井设有防护设施。灌溉水源需经检测验证符合规定要求，并一年内在蔬菜种植过程对水源进行</w:t>
      </w:r>
      <w:r>
        <w:rPr>
          <w:sz w:val="21"/>
          <w:szCs w:val="21"/>
        </w:rPr>
        <w:t>2</w:t>
      </w:r>
      <w:r>
        <w:rPr>
          <w:rFonts w:ascii="SimSun" w:eastAsia="SimSun" w:hAnsi="SimSun" w:cs="SimSun"/>
          <w:sz w:val="21"/>
          <w:szCs w:val="21"/>
        </w:rPr>
        <w:t>次监测。</w:t>
      </w:r>
    </w:p>
    <w:p>
      <w:pPr>
        <w:pStyle w:val="MsoNormal"/>
        <w:spacing w:before="0" w:after="0" w:line="360" w:lineRule="auto"/>
        <w:ind w:left="0" w:right="0" w:firstLine="420"/>
        <w:jc w:val="both"/>
        <w:rPr>
          <w:rFonts w:ascii="Calibri" w:eastAsia="Calibri" w:hAnsi="Calibri" w:cs="Calibri"/>
          <w:sz w:val="21"/>
          <w:szCs w:val="21"/>
        </w:rPr>
      </w:pPr>
      <w:r>
        <w:rPr>
          <w:sz w:val="21"/>
          <w:szCs w:val="21"/>
        </w:rPr>
        <w:t>9</w:t>
      </w:r>
      <w:r>
        <w:rPr>
          <w:sz w:val="21"/>
          <w:szCs w:val="21"/>
        </w:rPr>
        <w:t>.</w:t>
      </w:r>
      <w:r>
        <w:rPr>
          <w:rFonts w:ascii="SimSun" w:eastAsia="SimSun" w:hAnsi="SimSun" w:cs="SimSun"/>
          <w:sz w:val="21"/>
          <w:szCs w:val="21"/>
        </w:rPr>
        <w:t>农药要求：种植使用的农药须符合安全管理部门的规定，严禁使用违禁药物；农药的采购、保管、发放、使用须建立记录；</w:t>
      </w:r>
    </w:p>
    <w:p>
      <w:pPr>
        <w:pStyle w:val="MsoNormal"/>
        <w:spacing w:before="0" w:after="0" w:line="360" w:lineRule="auto"/>
        <w:ind w:left="0" w:right="0" w:firstLine="420"/>
        <w:jc w:val="both"/>
        <w:rPr>
          <w:rFonts w:ascii="Calibri" w:eastAsia="Calibri" w:hAnsi="Calibri" w:cs="Calibri"/>
          <w:sz w:val="21"/>
          <w:szCs w:val="21"/>
        </w:rPr>
      </w:pPr>
      <w:r>
        <w:rPr>
          <w:sz w:val="21"/>
          <w:szCs w:val="21"/>
        </w:rPr>
        <w:t>10</w:t>
      </w:r>
      <w:r>
        <w:rPr>
          <w:sz w:val="21"/>
          <w:szCs w:val="21"/>
        </w:rPr>
        <w:t>.</w:t>
      </w:r>
      <w:r>
        <w:rPr>
          <w:rFonts w:ascii="SimSun" w:eastAsia="SimSun" w:hAnsi="SimSun" w:cs="SimSun"/>
          <w:sz w:val="21"/>
          <w:szCs w:val="21"/>
        </w:rPr>
        <w:t>中标人的配送半径能够严格保证采购人在货物使用时间上的安排以及保证货物新鲜。</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（四）产品配送</w:t>
      </w:r>
    </w:p>
    <w:p>
      <w:pPr>
        <w:pStyle w:val="MsoNormal"/>
        <w:spacing w:before="0" w:after="0" w:line="360" w:lineRule="auto"/>
        <w:ind w:left="0" w:right="0" w:firstLine="420"/>
        <w:jc w:val="both"/>
        <w:rPr>
          <w:rFonts w:ascii="Calibri" w:eastAsia="Calibri" w:hAnsi="Calibri" w:cs="Calibri"/>
          <w:sz w:val="21"/>
          <w:szCs w:val="21"/>
        </w:rPr>
      </w:pPr>
      <w:r>
        <w:rPr>
          <w:sz w:val="21"/>
          <w:szCs w:val="21"/>
        </w:rPr>
        <w:t>1.</w:t>
      </w:r>
      <w:r>
        <w:rPr>
          <w:rFonts w:ascii="SimSun" w:eastAsia="SimSun" w:hAnsi="SimSun" w:cs="SimSun"/>
          <w:sz w:val="21"/>
          <w:szCs w:val="21"/>
        </w:rPr>
        <w:t>运输须采用符合卫生标准的外包装和运载工具，并且要保持清洁和定期消毒。运输车厢的内仓，包括地面、墙面和顶，应使用抗腐蚀、防潮，易清洁消毒的材料。车厢内无不良气味、异味。</w:t>
      </w:r>
    </w:p>
    <w:p>
      <w:pPr>
        <w:pStyle w:val="MsoNormal"/>
        <w:spacing w:before="0" w:after="0" w:line="360" w:lineRule="auto"/>
        <w:ind w:left="0" w:right="0" w:firstLine="420"/>
        <w:jc w:val="both"/>
        <w:rPr>
          <w:rFonts w:ascii="Calibri" w:eastAsia="Calibri" w:hAnsi="Calibri" w:cs="Calibri"/>
          <w:sz w:val="21"/>
          <w:szCs w:val="21"/>
        </w:rPr>
      </w:pPr>
      <w:r>
        <w:rPr>
          <w:sz w:val="21"/>
          <w:szCs w:val="21"/>
        </w:rPr>
        <w:t>2.</w:t>
      </w:r>
      <w:r>
        <w:rPr>
          <w:rFonts w:ascii="SimSun" w:eastAsia="SimSun" w:hAnsi="SimSun" w:cs="SimSun"/>
          <w:sz w:val="21"/>
          <w:szCs w:val="21"/>
        </w:rPr>
        <w:t>肉类、禽类</w:t>
      </w:r>
      <w:r>
        <w:rPr>
          <w:rFonts w:ascii="SimSun" w:eastAsia="SimSun" w:hAnsi="SimSun" w:cs="SimSun"/>
          <w:sz w:val="21"/>
          <w:szCs w:val="21"/>
        </w:rPr>
        <w:t>、海鲜鱼</w:t>
      </w:r>
      <w:r>
        <w:rPr>
          <w:rFonts w:ascii="SimSun" w:eastAsia="SimSun" w:hAnsi="SimSun" w:cs="SimSun"/>
          <w:sz w:val="21"/>
          <w:szCs w:val="21"/>
        </w:rPr>
        <w:t>类、蔬菜类食材必须用冷藏功能正常且干净、整洁、卫生、无异味的冷藏车配送。冷藏车在配送过程中保持安全的冷藏、冷冻温度。特别是对于长途运输的，保证在运输全过程处于合适的温度范围。整个运输过程应科学合理，运输车辆应定期清洁，保持性能稳定，符合规定的温度要求，使运输处于恒定的环境中。</w:t>
      </w:r>
    </w:p>
    <w:p>
      <w:pPr>
        <w:pStyle w:val="MsoNormal"/>
        <w:spacing w:before="0" w:after="0" w:line="360" w:lineRule="auto"/>
        <w:rPr>
          <w:rFonts w:ascii="Times New Roman" w:eastAsia="Times New Roman" w:hAnsi="Times New Roman" w:cs="Times New Roman"/>
        </w:rPr>
      </w:pPr>
      <w:r>
        <w:rPr>
          <w:sz w:val="21"/>
          <w:szCs w:val="21"/>
        </w:rPr>
        <w:t>3.</w:t>
      </w:r>
      <w:r>
        <w:rPr>
          <w:rFonts w:ascii="SimSun" w:eastAsia="SimSun" w:hAnsi="SimSun" w:cs="SimSun"/>
          <w:sz w:val="21"/>
          <w:szCs w:val="21"/>
        </w:rPr>
        <w:t>肉类、禽类</w:t>
      </w:r>
      <w:r>
        <w:rPr>
          <w:rFonts w:ascii="SimSun" w:eastAsia="SimSun" w:hAnsi="SimSun" w:cs="SimSun"/>
          <w:sz w:val="21"/>
          <w:szCs w:val="21"/>
        </w:rPr>
        <w:t>、海鲜鱼</w:t>
      </w:r>
      <w:r>
        <w:rPr>
          <w:rFonts w:ascii="SimSun" w:eastAsia="SimSun" w:hAnsi="SimSun" w:cs="SimSun"/>
          <w:sz w:val="21"/>
          <w:szCs w:val="21"/>
        </w:rPr>
        <w:t>类、蔬菜类食材用冷藏车配送，保证肉类中心温度控制在</w:t>
      </w:r>
      <w:r>
        <w:rPr>
          <w:sz w:val="21"/>
          <w:szCs w:val="21"/>
        </w:rPr>
        <w:t>-2</w:t>
      </w:r>
      <w:r>
        <w:rPr>
          <w:rFonts w:ascii="SimSun" w:eastAsia="SimSun" w:hAnsi="SimSun" w:cs="SimSun"/>
          <w:sz w:val="21"/>
          <w:szCs w:val="21"/>
        </w:rPr>
        <w:t>℃至</w:t>
      </w:r>
      <w:r>
        <w:rPr>
          <w:sz w:val="21"/>
          <w:szCs w:val="21"/>
        </w:rPr>
        <w:t>7</w:t>
      </w:r>
      <w:r>
        <w:rPr>
          <w:rFonts w:ascii="SimSun" w:eastAsia="SimSun" w:hAnsi="SimSun" w:cs="SimSun"/>
          <w:sz w:val="21"/>
          <w:szCs w:val="21"/>
        </w:rPr>
        <w:t>℃的范围之内，保证运输过程冷链不中断。商品到达目的地时外包装箱干爽，无软化现象。送货车辆应保持清洁；堆放科学合理，避免造成的交叉污染；如对温度有要求的食品应确定的温度，记录送货车辆温度，并记录存档。在本环节中应保证冷藏脱离冷链时间不得超过</w:t>
      </w:r>
      <w:r>
        <w:rPr>
          <w:sz w:val="21"/>
          <w:szCs w:val="21"/>
        </w:rPr>
        <w:t>20</w:t>
      </w:r>
      <w:r>
        <w:rPr>
          <w:rFonts w:ascii="SimSun" w:eastAsia="SimSun" w:hAnsi="SimSun" w:cs="SimSun"/>
          <w:sz w:val="21"/>
          <w:szCs w:val="21"/>
        </w:rPr>
        <w:t>分钟，冷冻脱离冷链时间不得超过</w:t>
      </w:r>
      <w:r>
        <w:rPr>
          <w:sz w:val="21"/>
          <w:szCs w:val="21"/>
        </w:rPr>
        <w:t>30</w:t>
      </w:r>
      <w:r>
        <w:rPr>
          <w:rFonts w:ascii="SimSun" w:eastAsia="SimSun" w:hAnsi="SimSun" w:cs="SimSun"/>
          <w:sz w:val="21"/>
          <w:szCs w:val="21"/>
        </w:rPr>
        <w:t>分钟。</w:t>
      </w:r>
    </w:p>
    <w:p>
      <w:pPr>
        <w:pStyle w:val="MsoNormal"/>
        <w:spacing w:before="0" w:after="0" w:line="360" w:lineRule="auto"/>
        <w:rPr>
          <w:rFonts w:ascii="Times New Roman" w:eastAsia="Times New Roman" w:hAnsi="Times New Roman" w:cs="Times New Roman"/>
        </w:rPr>
      </w:pPr>
      <w:r>
        <w:rPr>
          <w:rFonts w:ascii="SimSun" w:eastAsia="SimSun" w:hAnsi="SimSun" w:cs="SimSun"/>
          <w:b/>
          <w:bCs/>
          <w:sz w:val="30"/>
          <w:szCs w:val="30"/>
        </w:rPr>
        <w:t>非生鲜类食材:</w:t>
      </w:r>
    </w:p>
    <w:p>
      <w:pPr>
        <w:pStyle w:val="MsoNormal"/>
        <w:spacing w:before="0" w:after="0" w:line="360" w:lineRule="auto"/>
        <w:ind w:firstLine="420"/>
        <w:rPr>
          <w:rFonts w:ascii="Times New Roman" w:eastAsia="Times New Roman" w:hAnsi="Times New Roman" w:cs="Times New Roman"/>
        </w:rPr>
      </w:pPr>
      <w:r>
        <w:rPr>
          <w:rFonts w:ascii="SimSun" w:eastAsia="SimSun" w:hAnsi="SimSun" w:cs="SimSun"/>
        </w:rPr>
        <w:t>一、产品质量要求</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（一）粮食类（米、面、粉、豆类）</w:t>
      </w:r>
      <w:r>
        <w:rPr>
          <w:rFonts w:ascii="SimSun" w:eastAsia="SimSun" w:hAnsi="SimSun" w:cs="SimSun"/>
          <w:sz w:val="21"/>
          <w:szCs w:val="21"/>
        </w:rPr>
        <w:t>和</w:t>
      </w:r>
      <w:r>
        <w:rPr>
          <w:rFonts w:ascii="SimSun" w:eastAsia="SimSun" w:hAnsi="SimSun" w:cs="SimSun"/>
          <w:sz w:val="21"/>
          <w:szCs w:val="21"/>
        </w:rPr>
        <w:t>油类（调和油、花生油）</w:t>
      </w:r>
    </w:p>
    <w:p>
      <w:pPr>
        <w:pStyle w:val="MsoNormal"/>
        <w:spacing w:before="0" w:after="0" w:line="360" w:lineRule="auto"/>
        <w:ind w:left="0" w:right="0" w:firstLine="420"/>
        <w:jc w:val="both"/>
        <w:rPr>
          <w:rFonts w:ascii="Calibri" w:eastAsia="Calibri" w:hAnsi="Calibri" w:cs="Calibri"/>
          <w:sz w:val="21"/>
          <w:szCs w:val="21"/>
        </w:rPr>
      </w:pPr>
      <w:r>
        <w:rPr>
          <w:sz w:val="21"/>
          <w:szCs w:val="21"/>
        </w:rPr>
        <w:t>1.</w:t>
      </w:r>
      <w:r>
        <w:rPr>
          <w:rFonts w:ascii="SimSun" w:eastAsia="SimSun" w:hAnsi="SimSun" w:cs="SimSun"/>
          <w:sz w:val="21"/>
          <w:szCs w:val="21"/>
        </w:rPr>
        <w:t>总体要求：货物须符合卫生，不得有腐烂、变质、油脂酸败、霉变、生虫、污秽不洁、混有异物或者其他感官性状异常，并可能对人体健康有害的物质。散装粉、面需提供生产厂家营业执照、食品经营许可证、产品检验合格证书。</w:t>
      </w:r>
    </w:p>
    <w:p>
      <w:pPr>
        <w:pStyle w:val="MsoNormal"/>
        <w:spacing w:before="0" w:after="0" w:line="360" w:lineRule="auto"/>
        <w:ind w:left="0" w:right="0" w:firstLine="420"/>
        <w:jc w:val="both"/>
        <w:rPr>
          <w:rFonts w:ascii="Calibri" w:eastAsia="Calibri" w:hAnsi="Calibri" w:cs="Calibri"/>
          <w:sz w:val="21"/>
          <w:szCs w:val="21"/>
        </w:rPr>
      </w:pPr>
      <w:r>
        <w:rPr>
          <w:sz w:val="21"/>
          <w:szCs w:val="21"/>
        </w:rPr>
        <w:t>2.</w:t>
      </w:r>
      <w:r>
        <w:rPr>
          <w:rFonts w:ascii="SimSun" w:eastAsia="SimSun" w:hAnsi="SimSun" w:cs="SimSun"/>
          <w:sz w:val="21"/>
          <w:szCs w:val="21"/>
        </w:rPr>
        <w:t>米、油：供货时要提供产品检验合格证书。包装箱完整， 同时包装箱要印有注册商标、生产厂家名称、厂址、出厂日期、产品合格证、保质期限、产品成分、厂家电话号码。</w:t>
      </w:r>
    </w:p>
    <w:p>
      <w:pPr>
        <w:pStyle w:val="MsoNormal"/>
        <w:spacing w:before="0" w:after="0" w:line="360" w:lineRule="auto"/>
        <w:ind w:left="0" w:right="0" w:firstLine="420"/>
        <w:jc w:val="both"/>
        <w:rPr>
          <w:rFonts w:ascii="Calibri" w:eastAsia="Calibri" w:hAnsi="Calibri" w:cs="Calibri"/>
          <w:sz w:val="21"/>
          <w:szCs w:val="21"/>
        </w:rPr>
      </w:pPr>
      <w:r>
        <w:rPr>
          <w:sz w:val="21"/>
          <w:szCs w:val="21"/>
        </w:rPr>
        <w:t>3.</w:t>
      </w:r>
      <w:r>
        <w:rPr>
          <w:rFonts w:ascii="SimSun" w:eastAsia="SimSun" w:hAnsi="SimSun" w:cs="SimSun"/>
          <w:sz w:val="21"/>
          <w:szCs w:val="21"/>
        </w:rPr>
        <w:t>散装豆类：供货时提供生产厂家营业执照、食品经营许可证、产品检验合格证书。中标人所提供产品质量须要符合行业标准要求，不得有掺假、变质、变味、过期等现象出现，严禁伪劣、假冒、无证不合格物品进入仓库。</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（二）</w:t>
      </w:r>
      <w:r>
        <w:rPr>
          <w:rFonts w:ascii="SimSun" w:eastAsia="SimSun" w:hAnsi="SimSun" w:cs="SimSun"/>
          <w:sz w:val="21"/>
          <w:szCs w:val="21"/>
        </w:rPr>
        <w:t>干杂类</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干货制品的质量基本标准要求符合国家相关行业标准，干爽、不霉烂、整齐、均匀、完整、无虫蛀、无杂质，保持应有的色泽。确保产品质量稳定，保证营养丰富、绿色安全、海味浓郁、易存放、食用方便，保质期长。从加工、包装、运输、贮存到销售全部符合国家规定标准。尤其是二氧化硫残留量、总砷含量不超过国家卫生标准；木耳类的水分含量不能超过国家标准要求，采购人可根据实际情况对需要的干货制品进行品质抽检，对质量未达到国家标准的干货制品采购人有权拒绝接受。</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（三）奶制品</w:t>
      </w:r>
      <w:r>
        <w:rPr>
          <w:rFonts w:ascii="SimSun" w:eastAsia="SimSun" w:hAnsi="SimSun" w:cs="SimSun"/>
          <w:sz w:val="21"/>
          <w:szCs w:val="21"/>
        </w:rPr>
        <w:t>类</w:t>
      </w:r>
    </w:p>
    <w:p>
      <w:pPr>
        <w:pStyle w:val="MsoNormal"/>
        <w:spacing w:before="0" w:after="0" w:line="360" w:lineRule="auto"/>
        <w:ind w:left="0" w:right="0" w:firstLine="420"/>
        <w:jc w:val="both"/>
        <w:rPr>
          <w:rFonts w:ascii="Calibri" w:eastAsia="Calibri" w:hAnsi="Calibri" w:cs="Calibri"/>
          <w:sz w:val="21"/>
          <w:szCs w:val="21"/>
        </w:rPr>
      </w:pPr>
      <w:r>
        <w:rPr>
          <w:sz w:val="21"/>
          <w:szCs w:val="21"/>
        </w:rPr>
        <w:t>1.</w:t>
      </w:r>
      <w:r>
        <w:rPr>
          <w:rFonts w:ascii="SimSun" w:eastAsia="SimSun" w:hAnsi="SimSun" w:cs="SimSun"/>
          <w:sz w:val="21"/>
          <w:szCs w:val="21"/>
        </w:rPr>
        <w:t>质量符合国家《中华人民共和国食品安全法》等法律法规的规定和相关行业国家标准以及卫生质量要求，做到渠道合法、来源明晰、品质优良、新鲜卫生。不得有掺假、变质、变味、过期等现象出现，严禁伪劣、假冒、无证不合格物品进入仓库。</w:t>
      </w:r>
    </w:p>
    <w:p>
      <w:pPr>
        <w:pStyle w:val="MsoNormal"/>
        <w:spacing w:before="0" w:after="0" w:line="360" w:lineRule="auto"/>
        <w:ind w:left="0" w:right="0" w:firstLine="420"/>
        <w:jc w:val="both"/>
        <w:rPr>
          <w:rFonts w:ascii="Calibri" w:eastAsia="Calibri" w:hAnsi="Calibri" w:cs="Calibri"/>
          <w:sz w:val="21"/>
          <w:szCs w:val="21"/>
        </w:rPr>
      </w:pPr>
      <w:r>
        <w:rPr>
          <w:sz w:val="21"/>
          <w:szCs w:val="21"/>
        </w:rPr>
        <w:t>2.</w:t>
      </w:r>
      <w:r>
        <w:rPr>
          <w:rFonts w:ascii="SimSun" w:eastAsia="SimSun" w:hAnsi="SimSun" w:cs="SimSun"/>
          <w:sz w:val="21"/>
          <w:szCs w:val="21"/>
        </w:rPr>
        <w:t>包装箱完整，同时包装箱要印有注册商标、生产厂家名称、厂址、出厂日期、产品合格证、保质期限、产品成分、厂家电话号码。供货时提供生产厂家营业执照、食品经营许可证、产品检验合格证书。</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（四）产品配送</w:t>
      </w:r>
    </w:p>
    <w:p>
      <w:pPr>
        <w:pStyle w:val="MsoNormal"/>
        <w:spacing w:before="0" w:after="0" w:line="360" w:lineRule="auto"/>
        <w:ind w:left="0" w:right="0" w:firstLine="420"/>
        <w:jc w:val="both"/>
        <w:rPr>
          <w:rFonts w:ascii="Calibri" w:eastAsia="Calibri" w:hAnsi="Calibri" w:cs="Calibri"/>
          <w:sz w:val="21"/>
          <w:szCs w:val="21"/>
        </w:rPr>
      </w:pPr>
      <w:r>
        <w:rPr>
          <w:sz w:val="21"/>
          <w:szCs w:val="21"/>
        </w:rPr>
        <w:t>1.</w:t>
      </w:r>
      <w:r>
        <w:rPr>
          <w:rFonts w:ascii="SimSun" w:eastAsia="SimSun" w:hAnsi="SimSun" w:cs="SimSun"/>
          <w:sz w:val="21"/>
          <w:szCs w:val="21"/>
        </w:rPr>
        <w:t>运输须采用符合卫生标准的外包装和运载工具，并且要保持清洁和定期消毒。运输车厢的内仓，包括地面、墙面和顶，应使用抗腐蚀、防潮，易清洁消毒的材料。车厢内无不良气味、异味。</w:t>
      </w:r>
    </w:p>
    <w:p>
      <w:pPr>
        <w:pStyle w:val="MsoNormal"/>
        <w:spacing w:before="0" w:after="0" w:line="360" w:lineRule="auto"/>
        <w:ind w:left="0" w:right="0" w:firstLine="420"/>
        <w:jc w:val="both"/>
        <w:rPr>
          <w:rFonts w:ascii="Calibri" w:eastAsia="Calibri" w:hAnsi="Calibri" w:cs="Calibri"/>
          <w:sz w:val="21"/>
          <w:szCs w:val="21"/>
        </w:rPr>
      </w:pPr>
      <w:r>
        <w:rPr>
          <w:sz w:val="21"/>
          <w:szCs w:val="21"/>
        </w:rPr>
        <w:t>2.</w:t>
      </w:r>
      <w:r>
        <w:rPr>
          <w:rFonts w:ascii="SimSun" w:eastAsia="SimSun" w:hAnsi="SimSun" w:cs="SimSun"/>
          <w:sz w:val="21"/>
          <w:szCs w:val="21"/>
        </w:rPr>
        <w:t>干杂</w:t>
      </w:r>
      <w:r>
        <w:rPr>
          <w:rFonts w:ascii="SimSun" w:eastAsia="SimSun" w:hAnsi="SimSun" w:cs="SimSun"/>
          <w:sz w:val="21"/>
          <w:szCs w:val="21"/>
        </w:rPr>
        <w:t>类食材需用干净、整洁、卫生、无异味的货车运送。</w:t>
      </w:r>
    </w:p>
    <w:p>
      <w:pPr>
        <w:pStyle w:val="Heading3"/>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sz w:val="28"/>
          <w:szCs w:val="28"/>
        </w:rPr>
        <w:t>2.2.2投标/响应方案要求</w:t>
      </w:r>
    </w:p>
    <w:p>
      <w:pPr>
        <w:spacing w:before="0" w:after="0" w:line="360" w:lineRule="auto"/>
        <w:ind w:firstLine="561"/>
        <w:rPr>
          <w:rFonts w:ascii="仿宋_GB2312" w:eastAsia="仿宋_GB2312" w:hAnsi="仿宋_GB2312" w:cs="仿宋_GB2312"/>
          <w:sz w:val="28"/>
          <w:szCs w:val="28"/>
        </w:rPr>
      </w:pPr>
      <w:r>
        <w:rPr>
          <w:rFonts w:ascii="仿宋_GB2312" w:eastAsia="仿宋_GB2312" w:hAnsi="仿宋_GB2312" w:cs="仿宋_GB2312"/>
          <w:sz w:val="28"/>
          <w:szCs w:val="28"/>
        </w:rPr>
        <w:t>以下相关方案，若作为评审因素，则投标人应在满足★必备指标项要求的前提下，基于对优于★指标项及#、△指标项的应答，根据项目特点和采购需求，制定更为完整、详细、可操作性强的方案。</w:t>
      </w:r>
    </w:p>
    <w:p>
      <w:pPr>
        <w:pStyle w:val="MsoNormal"/>
        <w:spacing w:before="0" w:after="0" w:line="360" w:lineRule="auto"/>
        <w:ind w:firstLine="420"/>
        <w:rPr>
          <w:rFonts w:ascii="Times New Roman" w:eastAsia="Times New Roman" w:hAnsi="Times New Roman" w:cs="Times New Roman"/>
        </w:rPr>
      </w:pPr>
      <w:r>
        <w:rPr>
          <w:rFonts w:ascii="SimSun" w:eastAsia="SimSun" w:hAnsi="SimSun" w:cs="SimSun"/>
          <w:sz w:val="28"/>
          <w:szCs w:val="28"/>
        </w:rPr>
        <w:t>说明：</w:t>
      </w:r>
    </w:p>
    <w:p>
      <w:pPr>
        <w:pStyle w:val="MsoNormal"/>
        <w:spacing w:before="0" w:after="0" w:line="360" w:lineRule="auto"/>
        <w:ind w:firstLine="420"/>
        <w:rPr>
          <w:rFonts w:ascii="Times New Roman" w:eastAsia="Times New Roman" w:hAnsi="Times New Roman" w:cs="Times New Roman"/>
        </w:rPr>
      </w:pPr>
      <w:r>
        <w:rPr>
          <w:rFonts w:ascii="Calibri" w:eastAsia="Calibri" w:hAnsi="Calibri" w:cs="Calibri"/>
          <w:sz w:val="28"/>
          <w:szCs w:val="28"/>
        </w:rPr>
        <w:t>1.</w:t>
      </w:r>
      <w:r>
        <w:rPr>
          <w:rFonts w:ascii="SimSun" w:eastAsia="SimSun" w:hAnsi="SimSun" w:cs="SimSun"/>
          <w:sz w:val="28"/>
          <w:szCs w:val="28"/>
        </w:rPr>
        <w:t>投标人提供的货物服务必须符合国家和行业标准。</w:t>
      </w:r>
    </w:p>
    <w:p>
      <w:pPr>
        <w:pStyle w:val="MsoNormal"/>
        <w:spacing w:before="0" w:after="0" w:line="360" w:lineRule="auto"/>
        <w:ind w:firstLine="420"/>
        <w:rPr>
          <w:rFonts w:ascii="Times New Roman" w:eastAsia="Times New Roman" w:hAnsi="Times New Roman" w:cs="Times New Roman"/>
        </w:rPr>
      </w:pPr>
      <w:r>
        <w:rPr>
          <w:rFonts w:ascii="Calibri" w:eastAsia="Calibri" w:hAnsi="Calibri" w:cs="Calibri"/>
          <w:sz w:val="28"/>
          <w:szCs w:val="28"/>
        </w:rPr>
        <w:t>2.</w:t>
      </w:r>
      <w:r>
        <w:rPr>
          <w:rFonts w:ascii="SimSun" w:eastAsia="SimSun" w:hAnsi="SimSun" w:cs="SimSun"/>
          <w:sz w:val="28"/>
          <w:szCs w:val="28"/>
        </w:rPr>
        <w:t>标“★”为实质性参数要求和条件，投标人必须满足并在投标文件中如实作出响应，</w:t>
      </w:r>
      <w:r>
        <w:rPr>
          <w:rFonts w:ascii="SimSun" w:eastAsia="SimSun" w:hAnsi="SimSun" w:cs="SimSun"/>
          <w:sz w:val="28"/>
          <w:szCs w:val="28"/>
        </w:rPr>
        <w:t>否则响应无效</w:t>
      </w:r>
      <w:r>
        <w:rPr>
          <w:rFonts w:ascii="SimSun" w:eastAsia="SimSun" w:hAnsi="SimSun" w:cs="SimSun"/>
          <w:sz w:val="28"/>
          <w:szCs w:val="28"/>
        </w:rPr>
        <w:t>；标</w:t>
      </w:r>
      <w:r>
        <w:rPr>
          <w:rFonts w:ascii="SimSun" w:eastAsia="SimSun" w:hAnsi="SimSun" w:cs="SimSun"/>
          <w:sz w:val="28"/>
          <w:szCs w:val="28"/>
        </w:rPr>
        <w:t>“</w:t>
      </w:r>
      <w:r>
        <w:rPr>
          <w:rFonts w:ascii="Calibri" w:eastAsia="Calibri" w:hAnsi="Calibri" w:cs="Calibri"/>
          <w:sz w:val="28"/>
          <w:szCs w:val="28"/>
        </w:rPr>
        <w:t>#</w:t>
      </w:r>
      <w:r>
        <w:rPr>
          <w:rFonts w:ascii="SimSun" w:eastAsia="SimSun" w:hAnsi="SimSun" w:cs="SimSun"/>
          <w:sz w:val="28"/>
          <w:szCs w:val="28"/>
        </w:rPr>
        <w:t>”为重点指标；标“△”为一般指标。</w:t>
      </w:r>
    </w:p>
    <w:p>
      <w:pPr>
        <w:pStyle w:val="MsoNormal"/>
        <w:spacing w:before="0" w:after="0" w:line="360" w:lineRule="auto"/>
        <w:ind w:firstLine="420"/>
        <w:rPr>
          <w:rFonts w:ascii="Times New Roman" w:eastAsia="Times New Roman" w:hAnsi="Times New Roman" w:cs="Times New Roman"/>
        </w:rPr>
      </w:pPr>
      <w:r>
        <w:rPr>
          <w:rFonts w:ascii="Calibri" w:eastAsia="Calibri" w:hAnsi="Calibri" w:cs="Calibri"/>
          <w:sz w:val="28"/>
          <w:szCs w:val="28"/>
        </w:rPr>
        <w:t>3.</w:t>
      </w:r>
      <w:r>
        <w:rPr>
          <w:rFonts w:ascii="SimSun" w:eastAsia="SimSun" w:hAnsi="SimSun" w:cs="SimSun"/>
          <w:sz w:val="28"/>
          <w:szCs w:val="28"/>
        </w:rPr>
        <w:t>投标人投标时必须在投标文件中对所有项目要求及技术需求内容、商务要求表中内容及附件内容（如有）逐条响应并一一对应。</w:t>
      </w:r>
    </w:p>
    <w:p>
      <w:pPr>
        <w:pStyle w:val="MsoNormal"/>
        <w:spacing w:before="0" w:after="0" w:line="360" w:lineRule="auto"/>
        <w:ind w:firstLine="422"/>
        <w:rPr>
          <w:rFonts w:ascii="Times New Roman" w:eastAsia="Times New Roman" w:hAnsi="Times New Roman" w:cs="Times New Roman"/>
        </w:rPr>
      </w:pPr>
      <w:r>
        <w:rPr>
          <w:rFonts w:ascii="Calibri" w:eastAsia="Calibri" w:hAnsi="Calibri" w:cs="Calibri"/>
          <w:sz w:val="28"/>
          <w:szCs w:val="28"/>
        </w:rPr>
        <w:t>4</w:t>
      </w:r>
      <w:r>
        <w:rPr>
          <w:rFonts w:ascii="Calibri" w:eastAsia="Calibri" w:hAnsi="Calibri" w:cs="Calibri"/>
          <w:sz w:val="28"/>
          <w:szCs w:val="28"/>
        </w:rPr>
        <w:t>.</w:t>
      </w:r>
      <w:r>
        <w:rPr>
          <w:rFonts w:ascii="SimSun" w:eastAsia="SimSun" w:hAnsi="SimSun" w:cs="SimSun"/>
          <w:sz w:val="28"/>
          <w:szCs w:val="28"/>
        </w:rPr>
        <w:t>生鲜类食材所属行业为：农、林、牧、渔业；非生鲜类食材所属行业为：工业。</w:t>
      </w:r>
    </w:p>
    <w:p>
      <w:pPr>
        <w:pStyle w:val="Heading1"/>
        <w:keepNext w:val="0"/>
        <w:spacing w:before="0" w:after="0" w:line="360" w:lineRule="auto"/>
        <w:jc w:val="center"/>
        <w:rPr>
          <w:rFonts w:ascii="仿宋_GB2312" w:eastAsia="仿宋_GB2312" w:hAnsi="仿宋_GB2312" w:cs="仿宋_GB2312"/>
          <w:b/>
          <w:bCs/>
          <w:sz w:val="32"/>
          <w:szCs w:val="32"/>
        </w:rPr>
      </w:pPr>
      <w:r>
        <w:rPr>
          <w:rFonts w:ascii="仿宋_GB2312" w:eastAsia="仿宋_GB2312" w:hAnsi="仿宋_GB2312" w:cs="仿宋_GB2312"/>
          <w:kern w:val="36"/>
        </w:rPr>
        <w:t>3项目需求</w:t>
      </w:r>
    </w:p>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3.1总体要求</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（一）总体要求：</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为规范采购，降低采购成本，提高采购效益，根据《中华人民共和国政府采购法》及其他有关规定，国家税务总局</w:t>
      </w:r>
      <w:r>
        <w:rPr>
          <w:rFonts w:ascii="SimSun" w:eastAsia="SimSun" w:hAnsi="SimSun" w:cs="SimSun"/>
          <w:sz w:val="21"/>
          <w:szCs w:val="21"/>
        </w:rPr>
        <w:t>南宁市青秀区税务局</w:t>
      </w:r>
      <w:r>
        <w:rPr>
          <w:rFonts w:ascii="SimSun" w:eastAsia="SimSun" w:hAnsi="SimSun" w:cs="SimSun"/>
          <w:sz w:val="21"/>
          <w:szCs w:val="21"/>
        </w:rPr>
        <w:t>现通过政府采购程序确定食堂食材，及其采购内容、价格优惠率、合同期限及服务承诺等内容，并以合同条款协议书形成的形式固定下来，由中标人在合同有效期内为采购人提供规定范围内的食材，具体配送数量以实际发生数量为准，不承诺在合同有效期内授予中标人实际采购品类，也不承诺实际采购数量。</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（二）安全质量</w:t>
      </w:r>
      <w:r>
        <w:rPr>
          <w:rFonts w:ascii="Calibri" w:eastAsia="Calibri" w:hAnsi="Calibri" w:cs="Calibri"/>
          <w:sz w:val="21"/>
          <w:szCs w:val="21"/>
        </w:rPr>
        <w:t>:</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1</w:t>
      </w:r>
      <w:r>
        <w:rPr>
          <w:rFonts w:ascii="SimSun" w:eastAsia="SimSun" w:hAnsi="SimSun" w:cs="SimSun"/>
          <w:sz w:val="21"/>
          <w:szCs w:val="21"/>
        </w:rPr>
        <w:t>、保证所提供的食材均符合《中华人民共和国食品安全法》等食品相关法律法规的要求，达到国家和行业规定的质量标准，有保质期限的商品剩余保存期不得少于原有保质期的三分之二。</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2</w:t>
      </w:r>
      <w:r>
        <w:rPr>
          <w:rFonts w:ascii="SimSun" w:eastAsia="SimSun" w:hAnsi="SimSun" w:cs="SimSun"/>
          <w:sz w:val="21"/>
          <w:szCs w:val="21"/>
        </w:rPr>
        <w:t>、保证所提供的食材均符合本章附件</w:t>
      </w:r>
      <w:r>
        <w:rPr>
          <w:rFonts w:ascii="Calibri" w:eastAsia="Calibri" w:hAnsi="Calibri" w:cs="Calibri"/>
          <w:sz w:val="21"/>
          <w:szCs w:val="21"/>
        </w:rPr>
        <w:t>1</w:t>
      </w:r>
      <w:r>
        <w:rPr>
          <w:rFonts w:ascii="SimSun" w:eastAsia="SimSun" w:hAnsi="SimSun" w:cs="SimSun"/>
          <w:sz w:val="21"/>
          <w:szCs w:val="21"/>
        </w:rPr>
        <w:t>《食材质量要求》中的“质量要求及验收标准”要求。</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3</w:t>
      </w:r>
      <w:r>
        <w:rPr>
          <w:rFonts w:ascii="SimSun" w:eastAsia="SimSun" w:hAnsi="SimSun" w:cs="SimSun"/>
          <w:sz w:val="21"/>
          <w:szCs w:val="21"/>
        </w:rPr>
        <w:t>、必须具备有食品安全质量检测能力，配备有专职或兼职的检测人员</w:t>
      </w:r>
      <w:r>
        <w:rPr>
          <w:rFonts w:ascii="SimSun" w:eastAsia="SimSun" w:hAnsi="SimSun" w:cs="SimSun"/>
          <w:sz w:val="21"/>
          <w:szCs w:val="21"/>
        </w:rPr>
        <w:t>，</w:t>
      </w:r>
      <w:r>
        <w:rPr>
          <w:rFonts w:ascii="SimSun" w:eastAsia="SimSun" w:hAnsi="SimSun" w:cs="SimSun"/>
          <w:sz w:val="21"/>
          <w:szCs w:val="21"/>
        </w:rPr>
        <w:t>能按要求对供应的食材关键性安全指标进行快速检测。提供给采购人的</w:t>
      </w:r>
      <w:r>
        <w:rPr>
          <w:rFonts w:ascii="SimSun" w:eastAsia="SimSun" w:hAnsi="SimSun" w:cs="SimSun"/>
          <w:sz w:val="21"/>
          <w:szCs w:val="21"/>
        </w:rPr>
        <w:t>食材</w:t>
      </w:r>
      <w:r>
        <w:rPr>
          <w:rFonts w:ascii="SimSun" w:eastAsia="SimSun" w:hAnsi="SimSun" w:cs="SimSun"/>
          <w:sz w:val="21"/>
          <w:szCs w:val="21"/>
        </w:rPr>
        <w:t>，必须经过配送前检测，保证配送给采购人的</w:t>
      </w:r>
      <w:r>
        <w:rPr>
          <w:rFonts w:ascii="SimSun" w:eastAsia="SimSun" w:hAnsi="SimSun" w:cs="SimSun"/>
          <w:sz w:val="21"/>
          <w:szCs w:val="21"/>
        </w:rPr>
        <w:t>食材</w:t>
      </w:r>
      <w:r>
        <w:rPr>
          <w:rFonts w:ascii="SimSun" w:eastAsia="SimSun" w:hAnsi="SimSun" w:cs="SimSun"/>
          <w:sz w:val="21"/>
          <w:szCs w:val="21"/>
        </w:rPr>
        <w:t>符合食品卫生安全质量标准，并提供食品检验报告单，采购人有权进行监督和履行货物验收手续。</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4</w:t>
      </w:r>
      <w:r>
        <w:rPr>
          <w:rFonts w:ascii="SimSun" w:eastAsia="SimSun" w:hAnsi="SimSun" w:cs="SimSun"/>
          <w:sz w:val="21"/>
          <w:szCs w:val="21"/>
        </w:rPr>
        <w:t>、包装与标志要求：</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①</w:t>
      </w:r>
      <w:r>
        <w:rPr>
          <w:rFonts w:ascii="SimSun" w:eastAsia="SimSun" w:hAnsi="SimSun" w:cs="SimSun"/>
          <w:sz w:val="21"/>
          <w:szCs w:val="21"/>
        </w:rPr>
        <w:t>生鲜</w:t>
      </w:r>
      <w:r>
        <w:rPr>
          <w:rFonts w:ascii="SimSun" w:eastAsia="SimSun" w:hAnsi="SimSun" w:cs="SimSun"/>
          <w:sz w:val="21"/>
          <w:szCs w:val="21"/>
        </w:rPr>
        <w:t>类</w:t>
      </w:r>
      <w:r>
        <w:rPr>
          <w:rFonts w:ascii="SimSun" w:eastAsia="SimSun" w:hAnsi="SimSun" w:cs="SimSun"/>
          <w:sz w:val="21"/>
          <w:szCs w:val="21"/>
        </w:rPr>
        <w:t>食材</w:t>
      </w:r>
      <w:r>
        <w:rPr>
          <w:rFonts w:ascii="SimSun" w:eastAsia="SimSun" w:hAnsi="SimSun" w:cs="SimSun"/>
          <w:sz w:val="21"/>
          <w:szCs w:val="21"/>
        </w:rPr>
        <w:t>容器</w:t>
      </w:r>
      <w:r>
        <w:rPr>
          <w:rFonts w:ascii="SimSun" w:eastAsia="SimSun" w:hAnsi="SimSun" w:cs="SimSun"/>
          <w:sz w:val="21"/>
          <w:szCs w:val="21"/>
        </w:rPr>
        <w:t>（</w:t>
      </w:r>
      <w:r>
        <w:rPr>
          <w:rFonts w:ascii="SimSun" w:eastAsia="SimSun" w:hAnsi="SimSun" w:cs="SimSun"/>
          <w:sz w:val="21"/>
          <w:szCs w:val="21"/>
        </w:rPr>
        <w:t>框、箱、袋</w:t>
      </w:r>
      <w:r>
        <w:rPr>
          <w:rFonts w:ascii="SimSun" w:eastAsia="SimSun" w:hAnsi="SimSun" w:cs="SimSun"/>
          <w:sz w:val="21"/>
          <w:szCs w:val="21"/>
        </w:rPr>
        <w:t>）</w:t>
      </w:r>
      <w:r>
        <w:rPr>
          <w:rFonts w:ascii="SimSun" w:eastAsia="SimSun" w:hAnsi="SimSun" w:cs="SimSun"/>
          <w:sz w:val="21"/>
          <w:szCs w:val="21"/>
        </w:rPr>
        <w:t>要求清洁、干燥、牢固、透气，无污染、无异味、无霉变现象</w:t>
      </w:r>
      <w:r>
        <w:rPr>
          <w:rFonts w:ascii="SimSun" w:eastAsia="SimSun" w:hAnsi="SimSun" w:cs="SimSun"/>
          <w:sz w:val="21"/>
          <w:szCs w:val="21"/>
        </w:rPr>
        <w:t>；</w:t>
      </w:r>
      <w:r>
        <w:rPr>
          <w:rFonts w:ascii="SimSun" w:eastAsia="SimSun" w:hAnsi="SimSun" w:cs="SimSun"/>
          <w:sz w:val="21"/>
          <w:szCs w:val="21"/>
        </w:rPr>
        <w:t>标志：每件包装须按《农产品包装和标识管理办法》贴标签，并标明产地、品种、净含量、生产单位及地址和采收日期。</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②非生鲜类</w:t>
      </w:r>
      <w:r>
        <w:rPr>
          <w:rFonts w:ascii="SimSun" w:eastAsia="SimSun" w:hAnsi="SimSun" w:cs="SimSun"/>
          <w:sz w:val="21"/>
          <w:szCs w:val="21"/>
        </w:rPr>
        <w:t>食材</w:t>
      </w:r>
      <w:r>
        <w:rPr>
          <w:rFonts w:ascii="SimSun" w:eastAsia="SimSun" w:hAnsi="SimSun" w:cs="SimSun"/>
          <w:sz w:val="21"/>
          <w:szCs w:val="21"/>
        </w:rPr>
        <w:t>包装应完好无破漏，可视的内容物无腐败霉变或影响使用的变形，不存在危及人身、财产安全的情形</w:t>
      </w:r>
      <w:r>
        <w:rPr>
          <w:rFonts w:ascii="SimSun" w:eastAsia="SimSun" w:hAnsi="SimSun" w:cs="SimSun"/>
          <w:sz w:val="21"/>
          <w:szCs w:val="21"/>
        </w:rPr>
        <w:t>；</w:t>
      </w:r>
      <w:r>
        <w:rPr>
          <w:rFonts w:ascii="SimSun" w:eastAsia="SimSun" w:hAnsi="SimSun" w:cs="SimSun"/>
          <w:sz w:val="21"/>
          <w:szCs w:val="21"/>
        </w:rPr>
        <w:t>包装标签应符合《食品安全国家标准预包装食品标签通则》（</w:t>
      </w:r>
      <w:r>
        <w:rPr>
          <w:rFonts w:ascii="Calibri" w:eastAsia="Calibri" w:hAnsi="Calibri" w:cs="Calibri"/>
          <w:sz w:val="21"/>
          <w:szCs w:val="21"/>
        </w:rPr>
        <w:t>GB7718</w:t>
      </w:r>
      <w:r>
        <w:rPr>
          <w:rFonts w:ascii="SimSun" w:eastAsia="SimSun" w:hAnsi="SimSun" w:cs="SimSun"/>
          <w:sz w:val="21"/>
          <w:szCs w:val="21"/>
        </w:rPr>
        <w:t>）要求，包括食品名称、配料表、净含量、规格、生产者（或）经销者的名称、地址和联系方式、生产日期和保质期、贮存条件、食品生产许可证编号、产品标准代号等内容。</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5</w:t>
      </w:r>
      <w:r>
        <w:rPr>
          <w:rFonts w:ascii="SimSun" w:eastAsia="SimSun" w:hAnsi="SimSun" w:cs="SimSun"/>
          <w:sz w:val="21"/>
          <w:szCs w:val="21"/>
        </w:rPr>
        <w:t>、采购人可对中标人供应的生鲜类食材实行食材留样和农药检测，并不定期抽样送卫生防疫部门检疫。如有卫生、质量问题，检验费由中标人承担，并承担全部损失及相关责任。</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6</w:t>
      </w:r>
      <w:r>
        <w:rPr>
          <w:rFonts w:ascii="SimSun" w:eastAsia="SimSun" w:hAnsi="SimSun" w:cs="SimSun"/>
          <w:sz w:val="21"/>
          <w:szCs w:val="21"/>
        </w:rPr>
        <w:t>、中标人提供的食材</w:t>
      </w:r>
      <w:r>
        <w:rPr>
          <w:rFonts w:ascii="SimSun" w:eastAsia="SimSun" w:hAnsi="SimSun" w:cs="SimSun"/>
          <w:sz w:val="21"/>
          <w:szCs w:val="21"/>
        </w:rPr>
        <w:t>如有</w:t>
      </w:r>
      <w:r>
        <w:rPr>
          <w:rFonts w:ascii="SimSun" w:eastAsia="SimSun" w:hAnsi="SimSun" w:cs="SimSun"/>
          <w:sz w:val="21"/>
          <w:szCs w:val="21"/>
        </w:rPr>
        <w:t>假冒或者严重质量问题、安全隐患等，采购人有权单方面解除合同。</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7</w:t>
      </w:r>
      <w:r>
        <w:rPr>
          <w:rFonts w:ascii="SimSun" w:eastAsia="SimSun" w:hAnsi="SimSun" w:cs="SimSun"/>
          <w:sz w:val="21"/>
          <w:szCs w:val="21"/>
        </w:rPr>
        <w:t>、因中标人供应的食材质量问题，</w:t>
      </w:r>
      <w:r>
        <w:rPr>
          <w:rFonts w:ascii="SimSun" w:eastAsia="SimSun" w:hAnsi="SimSun" w:cs="SimSun"/>
          <w:sz w:val="21"/>
          <w:szCs w:val="21"/>
        </w:rPr>
        <w:t>导致采购人就餐人员发生食品卫生</w:t>
      </w:r>
      <w:r>
        <w:rPr>
          <w:rFonts w:ascii="SimSun" w:eastAsia="SimSun" w:hAnsi="SimSun" w:cs="SimSun"/>
          <w:sz w:val="21"/>
          <w:szCs w:val="21"/>
        </w:rPr>
        <w:t>安全</w:t>
      </w:r>
      <w:r>
        <w:rPr>
          <w:rFonts w:ascii="SimSun" w:eastAsia="SimSun" w:hAnsi="SimSun" w:cs="SimSun"/>
          <w:sz w:val="21"/>
          <w:szCs w:val="21"/>
        </w:rPr>
        <w:t>事故</w:t>
      </w:r>
      <w:r>
        <w:rPr>
          <w:rFonts w:ascii="SimSun" w:eastAsia="SimSun" w:hAnsi="SimSun" w:cs="SimSun"/>
          <w:sz w:val="21"/>
          <w:szCs w:val="21"/>
        </w:rPr>
        <w:t>的</w:t>
      </w:r>
      <w:r>
        <w:rPr>
          <w:rFonts w:ascii="SimSun" w:eastAsia="SimSun" w:hAnsi="SimSun" w:cs="SimSun"/>
          <w:sz w:val="21"/>
          <w:szCs w:val="21"/>
        </w:rPr>
        <w:t>，</w:t>
      </w:r>
      <w:r>
        <w:rPr>
          <w:rFonts w:ascii="SimSun" w:eastAsia="SimSun" w:hAnsi="SimSun" w:cs="SimSun"/>
          <w:sz w:val="21"/>
          <w:szCs w:val="21"/>
        </w:rPr>
        <w:t>中标人应</w:t>
      </w:r>
      <w:r>
        <w:rPr>
          <w:rFonts w:ascii="SimSun" w:eastAsia="SimSun" w:hAnsi="SimSun" w:cs="SimSun"/>
          <w:sz w:val="21"/>
          <w:szCs w:val="21"/>
        </w:rPr>
        <w:t>承担全部经济赔偿</w:t>
      </w:r>
      <w:r>
        <w:rPr>
          <w:rFonts w:ascii="SimSun" w:eastAsia="SimSun" w:hAnsi="SimSun" w:cs="SimSun"/>
          <w:sz w:val="21"/>
          <w:szCs w:val="21"/>
        </w:rPr>
        <w:t>及相关</w:t>
      </w:r>
      <w:r>
        <w:rPr>
          <w:rFonts w:ascii="SimSun" w:eastAsia="SimSun" w:hAnsi="SimSun" w:cs="SimSun"/>
          <w:sz w:val="21"/>
          <w:szCs w:val="21"/>
        </w:rPr>
        <w:t>法律责任，</w:t>
      </w:r>
      <w:r>
        <w:rPr>
          <w:rFonts w:ascii="SimSun" w:eastAsia="SimSun" w:hAnsi="SimSun" w:cs="SimSun"/>
          <w:sz w:val="21"/>
          <w:szCs w:val="21"/>
        </w:rPr>
        <w:t>采购人有权单方面解除合同</w:t>
      </w:r>
      <w:r>
        <w:rPr>
          <w:rFonts w:ascii="SimSun" w:eastAsia="SimSun" w:hAnsi="SimSun" w:cs="SimSun"/>
          <w:sz w:val="21"/>
          <w:szCs w:val="21"/>
        </w:rPr>
        <w:t>，同时</w:t>
      </w:r>
      <w:r>
        <w:rPr>
          <w:rFonts w:ascii="SimSun" w:eastAsia="SimSun" w:hAnsi="SimSun" w:cs="SimSun"/>
          <w:sz w:val="21"/>
          <w:szCs w:val="21"/>
        </w:rPr>
        <w:t>有权禁止中标人及其关联方与采购人进行合作</w:t>
      </w:r>
      <w:r>
        <w:rPr>
          <w:rFonts w:ascii="SimSun" w:eastAsia="SimSun" w:hAnsi="SimSun" w:cs="SimSun"/>
          <w:sz w:val="21"/>
          <w:szCs w:val="21"/>
        </w:rPr>
        <w:t>。</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（三）供货要求</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1</w:t>
      </w:r>
      <w:r>
        <w:rPr>
          <w:rFonts w:ascii="Calibri" w:eastAsia="Calibri" w:hAnsi="Calibri" w:cs="Calibri"/>
          <w:sz w:val="21"/>
          <w:szCs w:val="21"/>
        </w:rPr>
        <w:t>.</w:t>
      </w:r>
      <w:r>
        <w:rPr>
          <w:rFonts w:ascii="SimSun" w:eastAsia="SimSun" w:hAnsi="SimSun" w:cs="SimSun"/>
          <w:sz w:val="21"/>
          <w:szCs w:val="21"/>
        </w:rPr>
        <w:t>中标人应</w:t>
      </w:r>
      <w:r>
        <w:rPr>
          <w:rFonts w:ascii="SimSun" w:eastAsia="SimSun" w:hAnsi="SimSun" w:cs="SimSun"/>
          <w:sz w:val="21"/>
          <w:szCs w:val="21"/>
        </w:rPr>
        <w:t>自有或租赁种、养殖基地，保障供货能力。</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2</w:t>
      </w:r>
      <w:r>
        <w:rPr>
          <w:rFonts w:ascii="Calibri" w:eastAsia="Calibri" w:hAnsi="Calibri" w:cs="Calibri"/>
          <w:sz w:val="21"/>
          <w:szCs w:val="21"/>
        </w:rPr>
        <w:t>.</w:t>
      </w:r>
      <w:r>
        <w:rPr>
          <w:rFonts w:ascii="SimSun" w:eastAsia="SimSun" w:hAnsi="SimSun" w:cs="SimSun"/>
          <w:sz w:val="21"/>
          <w:szCs w:val="21"/>
        </w:rPr>
        <w:t>中标人建立食品进货检查记录制度，如实记录食品的名称、规格、数量、生产批号、保质期、供货者名称及联系方式、进货日期等内容。</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3</w:t>
      </w:r>
      <w:r>
        <w:rPr>
          <w:rFonts w:ascii="Calibri" w:eastAsia="Calibri" w:hAnsi="Calibri" w:cs="Calibri"/>
          <w:sz w:val="21"/>
          <w:szCs w:val="21"/>
        </w:rPr>
        <w:t>.</w:t>
      </w:r>
      <w:r>
        <w:rPr>
          <w:rFonts w:ascii="SimSun" w:eastAsia="SimSun" w:hAnsi="SimSun" w:cs="SimSun"/>
          <w:sz w:val="21"/>
          <w:szCs w:val="21"/>
        </w:rPr>
        <w:t>中标人配送食材符合国家对食品、食品相关产品中的致病性微生物、农药残留、兽药残留、重金属、污染物质以及其他危害人体健康物质的限量规定。</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w:t>
      </w:r>
      <w:r>
        <w:rPr>
          <w:rFonts w:ascii="Calibri" w:eastAsia="Calibri" w:hAnsi="Calibri" w:cs="Calibri"/>
          <w:sz w:val="21"/>
          <w:szCs w:val="21"/>
        </w:rPr>
        <w:t>4</w:t>
      </w:r>
      <w:r>
        <w:rPr>
          <w:rFonts w:ascii="Calibri" w:eastAsia="Calibri" w:hAnsi="Calibri" w:cs="Calibri"/>
          <w:sz w:val="21"/>
          <w:szCs w:val="21"/>
        </w:rPr>
        <w:t>.</w:t>
      </w:r>
      <w:r>
        <w:rPr>
          <w:rFonts w:ascii="SimSun" w:eastAsia="SimSun" w:hAnsi="SimSun" w:cs="SimSun"/>
          <w:sz w:val="21"/>
          <w:szCs w:val="21"/>
        </w:rPr>
        <w:t>采购人根据实际要求，列出一份次日需要采购的食材采购清单，中标人应在收到采购人发出供货通知后，最迟在次日上午</w:t>
      </w:r>
      <w:r>
        <w:rPr>
          <w:rFonts w:ascii="Calibri" w:eastAsia="Calibri" w:hAnsi="Calibri" w:cs="Calibri"/>
          <w:sz w:val="21"/>
          <w:szCs w:val="21"/>
        </w:rPr>
        <w:t>8:20</w:t>
      </w:r>
      <w:r>
        <w:rPr>
          <w:rFonts w:ascii="SimSun" w:eastAsia="SimSun" w:hAnsi="SimSun" w:cs="SimSun"/>
          <w:sz w:val="21"/>
          <w:szCs w:val="21"/>
        </w:rPr>
        <w:t>提供当次现场供货。</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w:t>
      </w:r>
      <w:r>
        <w:rPr>
          <w:rFonts w:ascii="Calibri" w:eastAsia="Calibri" w:hAnsi="Calibri" w:cs="Calibri"/>
          <w:sz w:val="21"/>
          <w:szCs w:val="21"/>
        </w:rPr>
        <w:t>5</w:t>
      </w:r>
      <w:r>
        <w:rPr>
          <w:rFonts w:ascii="Calibri" w:eastAsia="Calibri" w:hAnsi="Calibri" w:cs="Calibri"/>
          <w:sz w:val="21"/>
          <w:szCs w:val="21"/>
        </w:rPr>
        <w:t>.</w:t>
      </w:r>
      <w:r>
        <w:rPr>
          <w:rFonts w:ascii="SimSun" w:eastAsia="SimSun" w:hAnsi="SimSun" w:cs="SimSun"/>
          <w:sz w:val="21"/>
          <w:szCs w:val="21"/>
        </w:rPr>
        <w:t>紧急供货要求：中标人在收到采购人发出紧急供货通知后，最迟</w:t>
      </w:r>
      <w:r>
        <w:rPr>
          <w:rFonts w:ascii="Calibri" w:eastAsia="Calibri" w:hAnsi="Calibri" w:cs="Calibri"/>
          <w:sz w:val="21"/>
          <w:szCs w:val="21"/>
        </w:rPr>
        <w:t>2</w:t>
      </w:r>
      <w:r>
        <w:rPr>
          <w:rFonts w:ascii="SimSun" w:eastAsia="SimSun" w:hAnsi="SimSun" w:cs="SimSun"/>
          <w:sz w:val="21"/>
          <w:szCs w:val="21"/>
        </w:rPr>
        <w:t>小时内完成当次现场供货。</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6</w:t>
      </w:r>
      <w:r>
        <w:rPr>
          <w:rFonts w:ascii="Calibri" w:eastAsia="Calibri" w:hAnsi="Calibri" w:cs="Calibri"/>
          <w:sz w:val="21"/>
          <w:szCs w:val="21"/>
        </w:rPr>
        <w:t>.</w:t>
      </w:r>
      <w:r>
        <w:rPr>
          <w:rFonts w:ascii="SimSun" w:eastAsia="SimSun" w:hAnsi="SimSun" w:cs="SimSun"/>
          <w:sz w:val="21"/>
          <w:szCs w:val="21"/>
        </w:rPr>
        <w:t>中标人</w:t>
      </w:r>
      <w:r>
        <w:rPr>
          <w:rFonts w:ascii="SimSun" w:eastAsia="SimSun" w:hAnsi="SimSun" w:cs="SimSun"/>
          <w:sz w:val="21"/>
          <w:szCs w:val="21"/>
        </w:rPr>
        <w:t>应具有集体用餐配送能力，如遇停水、停电、停气及其他突发情况导致食堂无法及时配餐的情况下，</w:t>
      </w:r>
      <w:r>
        <w:rPr>
          <w:rFonts w:ascii="SimSun" w:eastAsia="SimSun" w:hAnsi="SimSun" w:cs="SimSun"/>
          <w:sz w:val="21"/>
          <w:szCs w:val="21"/>
        </w:rPr>
        <w:t>中标人</w:t>
      </w:r>
      <w:r>
        <w:rPr>
          <w:rFonts w:ascii="SimSun" w:eastAsia="SimSun" w:hAnsi="SimSun" w:cs="SimSun"/>
          <w:sz w:val="21"/>
          <w:szCs w:val="21"/>
        </w:rPr>
        <w:t>能够及时为食堂配餐。</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7</w:t>
      </w:r>
      <w:r>
        <w:rPr>
          <w:rFonts w:ascii="Calibri" w:eastAsia="Calibri" w:hAnsi="Calibri" w:cs="Calibri"/>
          <w:sz w:val="21"/>
          <w:szCs w:val="21"/>
        </w:rPr>
        <w:t>.</w:t>
      </w:r>
      <w:r>
        <w:rPr>
          <w:rFonts w:ascii="SimSun" w:eastAsia="SimSun" w:hAnsi="SimSun" w:cs="SimSun"/>
          <w:sz w:val="21"/>
          <w:szCs w:val="21"/>
        </w:rPr>
        <w:t>中标人必须按照采购人食堂采购人员通知的时间、数量、品种、品质要求及协定的价格准时送货，经验收合格后签字确认，不能以任何理由推脱，一旦影响到采购人食堂的正常运转，中标人承担相应的经济赔偿。</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8</w:t>
      </w:r>
      <w:r>
        <w:rPr>
          <w:rFonts w:ascii="Calibri" w:eastAsia="Calibri" w:hAnsi="Calibri" w:cs="Calibri"/>
          <w:sz w:val="21"/>
          <w:szCs w:val="21"/>
        </w:rPr>
        <w:t>.</w:t>
      </w:r>
      <w:r>
        <w:rPr>
          <w:rFonts w:ascii="SimSun" w:eastAsia="SimSun" w:hAnsi="SimSun" w:cs="SimSun"/>
          <w:sz w:val="21"/>
          <w:szCs w:val="21"/>
        </w:rPr>
        <w:t>中标人不能满足供货要求时，应提前一个月通知采购人，采购人同意后方可终止合同。</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sz w:val="21"/>
          <w:szCs w:val="21"/>
        </w:rPr>
        <w:t>（四）其他要求：</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1.</w:t>
      </w:r>
      <w:r>
        <w:rPr>
          <w:rFonts w:ascii="SimSun" w:eastAsia="SimSun" w:hAnsi="SimSun" w:cs="SimSun"/>
          <w:sz w:val="21"/>
          <w:szCs w:val="21"/>
        </w:rPr>
        <w:t>合同履约过程中，中标人破产或被市场监督管理部门撤销食品经营许可证的，采购人有权解除合同，造成损失的由中标人赔偿。</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2</w:t>
      </w:r>
      <w:r>
        <w:rPr>
          <w:rFonts w:ascii="Calibri" w:eastAsia="Calibri" w:hAnsi="Calibri" w:cs="Calibri"/>
          <w:sz w:val="21"/>
          <w:szCs w:val="21"/>
        </w:rPr>
        <w:t>.</w:t>
      </w:r>
      <w:r>
        <w:rPr>
          <w:rFonts w:ascii="SimSun" w:eastAsia="SimSun" w:hAnsi="SimSun" w:cs="SimSun"/>
          <w:sz w:val="21"/>
          <w:szCs w:val="21"/>
        </w:rPr>
        <w:t>因政策变化或执行上级文件要求，导致食堂无法运转，合同无法履行的，采购人有权解除合同且不承担违约责任。</w:t>
      </w:r>
    </w:p>
    <w:p>
      <w:pPr>
        <w:pStyle w:val="MsoNormal"/>
        <w:spacing w:before="0" w:after="0" w:line="360" w:lineRule="auto"/>
        <w:rPr>
          <w:rFonts w:ascii="FangSong_GB2312" w:eastAsia="FangSong_GB2312" w:hAnsi="FangSong_GB2312" w:cs="FangSong_GB2312"/>
          <w:sz w:val="28"/>
          <w:szCs w:val="28"/>
        </w:rPr>
      </w:pPr>
      <w:r>
        <w:rPr>
          <w:rFonts w:ascii="FangSong_GB2312" w:eastAsia="FangSong_GB2312" w:hAnsi="FangSong_GB2312" w:cs="FangSong_GB2312"/>
          <w:sz w:val="28"/>
          <w:szCs w:val="28"/>
        </w:rPr>
        <w:t> </w:t>
      </w:r>
    </w:p>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3.2采购产品一览表</w:t>
      </w:r>
    </w:p>
    <w:tbl>
      <w:tblPr>
        <w:tblW w:w="5000" w:type="pct"/>
        <w:tblInd w:w="30" w:type="dxa"/>
        <w:tblCellMar>
          <w:top w:w="15" w:type="dxa"/>
          <w:left w:w="15" w:type="dxa"/>
          <w:bottom w:w="15" w:type="dxa"/>
          <w:right w:w="15" w:type="dxa"/>
        </w:tblCellMar>
      </w:tblPr>
      <w:tblGrid>
        <w:gridCol w:w="762"/>
        <w:gridCol w:w="1440"/>
        <w:gridCol w:w="3235"/>
        <w:gridCol w:w="1298"/>
        <w:gridCol w:w="1298"/>
        <w:gridCol w:w="1298"/>
      </w:tblGrid>
      <w:tr>
        <w:tblPrEx>
          <w:tblW w:w="5000" w:type="pct"/>
          <w:tblInd w:w="30" w:type="dxa"/>
          <w:tblCellMar>
            <w:top w:w="15" w:type="dxa"/>
            <w:left w:w="15" w:type="dxa"/>
            <w:bottom w:w="15" w:type="dxa"/>
            <w:right w:w="15" w:type="dxa"/>
          </w:tblCellMar>
        </w:tblPrEx>
        <w:tc>
          <w:tcPr>
            <w:tcW w:w="5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序号</w:t>
            </w:r>
          </w:p>
        </w:tc>
        <w:tc>
          <w:tcPr>
            <w:tcW w:w="9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产品类别</w:t>
            </w:r>
          </w:p>
        </w:tc>
        <w:tc>
          <w:tcPr>
            <w:tcW w:w="9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产品名称</w:t>
            </w:r>
          </w:p>
        </w:tc>
        <w:tc>
          <w:tcPr>
            <w:tcW w:w="9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数量</w:t>
            </w:r>
          </w:p>
        </w:tc>
        <w:tc>
          <w:tcPr>
            <w:tcW w:w="9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单位</w:t>
            </w:r>
          </w:p>
        </w:tc>
        <w:tc>
          <w:tcPr>
            <w:tcW w:w="9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备注</w:t>
            </w:r>
          </w:p>
        </w:tc>
      </w:tr>
      <w:tr>
        <w:tblPrEx>
          <w:tblW w:w="5000" w:type="pct"/>
          <w:tblInd w:w="30" w:type="dxa"/>
          <w:tblCellMar>
            <w:top w:w="15" w:type="dxa"/>
            <w:left w:w="15" w:type="dxa"/>
            <w:bottom w:w="15" w:type="dxa"/>
            <w:right w:w="15" w:type="dxa"/>
          </w:tblCellMar>
        </w:tblPrEx>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center"/>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生鲜类食材</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肉类、禽类（含鸡、鸭、鹅、猪、牛、羊等）</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批</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r>
      <w:tr>
        <w:tblPrEx>
          <w:tblW w:w="5000" w:type="pct"/>
          <w:tblInd w:w="30" w:type="dxa"/>
          <w:tblCellMar>
            <w:top w:w="15" w:type="dxa"/>
            <w:left w:w="15" w:type="dxa"/>
            <w:bottom w:w="15" w:type="dxa"/>
            <w:right w:w="15" w:type="dxa"/>
          </w:tblCellMar>
        </w:tblPrEx>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center"/>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2</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生鲜类食材</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海鲜鱼类</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批</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r>
      <w:tr>
        <w:tblPrEx>
          <w:tblW w:w="5000" w:type="pct"/>
          <w:tblInd w:w="30" w:type="dxa"/>
          <w:tblCellMar>
            <w:top w:w="15" w:type="dxa"/>
            <w:left w:w="15" w:type="dxa"/>
            <w:bottom w:w="15" w:type="dxa"/>
            <w:right w:w="15" w:type="dxa"/>
          </w:tblCellMar>
        </w:tblPrEx>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center"/>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3</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生鲜类食材</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蔬菜类</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批</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r>
      <w:tr>
        <w:tblPrEx>
          <w:tblW w:w="5000" w:type="pct"/>
          <w:tblInd w:w="30" w:type="dxa"/>
          <w:tblCellMar>
            <w:top w:w="15" w:type="dxa"/>
            <w:left w:w="15" w:type="dxa"/>
            <w:bottom w:w="15" w:type="dxa"/>
            <w:right w:w="15" w:type="dxa"/>
          </w:tblCellMar>
        </w:tblPrEx>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center"/>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4</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非生鲜类食材</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粮食类（米、面、粉、豆类）和油类（调和油、花生油）</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批</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r>
      <w:tr>
        <w:tblPrEx>
          <w:tblW w:w="5000" w:type="pct"/>
          <w:tblInd w:w="30" w:type="dxa"/>
          <w:tblCellMar>
            <w:top w:w="15" w:type="dxa"/>
            <w:left w:w="15" w:type="dxa"/>
            <w:bottom w:w="15" w:type="dxa"/>
            <w:right w:w="15" w:type="dxa"/>
          </w:tblCellMar>
        </w:tblPrEx>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center"/>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5</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非生鲜类食材</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干杂类</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批</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r>
      <w:tr>
        <w:tblPrEx>
          <w:tblW w:w="5000" w:type="pct"/>
          <w:tblInd w:w="30" w:type="dxa"/>
          <w:tblCellMar>
            <w:top w:w="15" w:type="dxa"/>
            <w:left w:w="15" w:type="dxa"/>
            <w:bottom w:w="15" w:type="dxa"/>
            <w:right w:w="15" w:type="dxa"/>
          </w:tblCellMar>
        </w:tblPrEx>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center"/>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6</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非生鲜类食材</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奶制品类</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批</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r>
    </w:tbl>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3.3采购产品详细清单及技术指标</w:t>
      </w:r>
    </w:p>
    <w:p>
      <w:pPr>
        <w:spacing w:before="0" w:after="0" w:line="360" w:lineRule="auto"/>
        <w:ind w:firstLine="561"/>
        <w:rPr>
          <w:rFonts w:ascii="仿宋_GB2312" w:eastAsia="仿宋_GB2312" w:hAnsi="仿宋_GB2312" w:cs="仿宋_GB2312"/>
          <w:sz w:val="28"/>
          <w:szCs w:val="28"/>
        </w:rPr>
      </w:pPr>
      <w:r>
        <w:rPr>
          <w:rFonts w:ascii="仿宋_GB2312" w:eastAsia="仿宋_GB2312" w:hAnsi="仿宋_GB2312" w:cs="仿宋_GB2312"/>
          <w:sz w:val="28"/>
          <w:szCs w:val="28"/>
        </w:rPr>
        <w:t>采购文件（技术部分）中有标注★号的，为必备要求，必须满足，如未作出响应，将导致响应无效；#为重要内容、△为一般内容。</w:t>
      </w:r>
    </w:p>
    <w:tbl>
      <w:tblPr>
        <w:tblW w:w="5000" w:type="pct"/>
        <w:tblInd w:w="30" w:type="dxa"/>
        <w:tblCellMar>
          <w:top w:w="15" w:type="dxa"/>
          <w:left w:w="15" w:type="dxa"/>
          <w:bottom w:w="15" w:type="dxa"/>
          <w:right w:w="15" w:type="dxa"/>
        </w:tblCellMar>
      </w:tblPr>
      <w:tblGrid>
        <w:gridCol w:w="311"/>
        <w:gridCol w:w="792"/>
        <w:gridCol w:w="3076"/>
        <w:gridCol w:w="26038"/>
        <w:gridCol w:w="431"/>
        <w:gridCol w:w="1032"/>
      </w:tblGrid>
      <w:tr>
        <w:tblPrEx>
          <w:tblW w:w="5000" w:type="pct"/>
          <w:tblInd w:w="30" w:type="dxa"/>
          <w:tblCellMar>
            <w:top w:w="15" w:type="dxa"/>
            <w:left w:w="15" w:type="dxa"/>
            <w:bottom w:w="15" w:type="dxa"/>
            <w:right w:w="15" w:type="dxa"/>
          </w:tblCellMar>
        </w:tblPrEx>
        <w:tc>
          <w:tcPr>
            <w:tcW w:w="5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序号</w:t>
            </w:r>
          </w:p>
        </w:tc>
        <w:tc>
          <w:tcPr>
            <w:tcW w:w="9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指标种类</w:t>
            </w:r>
          </w:p>
        </w:tc>
        <w:tc>
          <w:tcPr>
            <w:tcW w:w="9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指标名称</w:t>
            </w:r>
          </w:p>
        </w:tc>
        <w:tc>
          <w:tcPr>
            <w:tcW w:w="9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指标内容</w:t>
            </w:r>
          </w:p>
        </w:tc>
        <w:tc>
          <w:tcPr>
            <w:tcW w:w="9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重要性</w:t>
            </w:r>
          </w:p>
        </w:tc>
        <w:tc>
          <w:tcPr>
            <w:tcW w:w="9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是否需要证明材料</w:t>
            </w:r>
          </w:p>
        </w:tc>
      </w:tr>
      <w:tr>
        <w:tblPrEx>
          <w:tblW w:w="5000" w:type="pct"/>
          <w:tblInd w:w="30" w:type="dxa"/>
          <w:tblCellMar>
            <w:top w:w="15" w:type="dxa"/>
            <w:left w:w="15" w:type="dxa"/>
            <w:bottom w:w="15" w:type="dxa"/>
            <w:right w:w="15" w:type="dxa"/>
          </w:tblCellMar>
        </w:tblPrEx>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center"/>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生鲜类食材</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肉类、禽类（含鸡、鸭、鹅、猪、牛、羊等）</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所供货物应保持较好的外观和质量等级，符合国家食品部门的有关标准，保证无异味、无霉烂变质，供货时须提交验收单及当批次有效的动物检疫合格证复印件，鲜肉确保每日新鲜，冷冻肉要求肉体冻实而坚硬，无化冻现象，肉质紧密而有弹性，色泽均匀，不粘手，交货时干净、新鲜、无异味。</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2.所有货物规格符合采购人提交的日采购计划中明确的具体需求。</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3.冷冻禽类解冻后净重量不少于 90％，冷冻肉类解冻后净重量不少于 92%，解冻时间为 4 小时以内（室温 20℃）。所有冷冻要求清晰列出产品品牌、规格、类型、包装方式、包装净重、含冰量等相关参数。</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4.熟食包括烧鸡、烧鸭、烧鹅等。熟食（特别是鲜制熟食）保质期较短，保鲜要求高，供应的熟食需保证产品的品质。</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5.禽类交货时提供本批次产品的出厂（库）检验合格证明，随车同行，供货时提供《产品合格证》；肉制品出具半年内有效的《卫生检疫报告》及《产品合格证》。</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r>
      <w:tr>
        <w:tblPrEx>
          <w:tblW w:w="5000" w:type="pct"/>
          <w:tblInd w:w="30" w:type="dxa"/>
          <w:tblCellMar>
            <w:top w:w="15" w:type="dxa"/>
            <w:left w:w="15" w:type="dxa"/>
            <w:bottom w:w="15" w:type="dxa"/>
            <w:right w:w="15" w:type="dxa"/>
          </w:tblCellMar>
        </w:tblPrEx>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center"/>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2</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生鲜类食材</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海鲜鱼类</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冷冻鱼类要求鱼眼睛清亮，角膜透明，鳞片上覆盖有冻结的透明粘液层，皮肤天然色泽明显。鱼体完整无伤残，带鳞鱼应体表鳞片完整无损。去鳞鱼不应有残鳞片。另外鱼体富有弹性，手指轻按鱼体后，手指凹陷处可马上恢复。鱼应无异味有较温和的鱼腥味。</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2.虾的头胸甲与躯干连接紧密，无断头现象。虾身清洁无污染无异味，虾眼突起，虾身较挺，肉质坚实；虾壳发亮、发硬，呈青绿色或青白色。</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3.黄鳝要体态完整，体色正常，在水中朝上直立，捞离水后，挣扎有力，身上粘度较多，个体较大。</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4.贝壳类要求肉质新鲜，无臭味，两贝壳相碰发出实响，且响声均匀，在静水中会伸出触角；表面清洁完整，无寄生物，外观完美，有光泽。</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5.冷冻水产类解冻后净重量不少于 82%，解冻时间为 4 小时以内（室温 20℃）。所有冷冻要求清晰列出产品品牌、规格、类型、包装方式、包装净重、含冰量等相关参数。</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6.水产品供货时须出具贮存地的出入库检疫证明。</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r>
      <w:tr>
        <w:tblPrEx>
          <w:tblW w:w="5000" w:type="pct"/>
          <w:tblInd w:w="30" w:type="dxa"/>
          <w:tblCellMar>
            <w:top w:w="15" w:type="dxa"/>
            <w:left w:w="15" w:type="dxa"/>
            <w:bottom w:w="15" w:type="dxa"/>
            <w:right w:w="15" w:type="dxa"/>
          </w:tblCellMar>
        </w:tblPrEx>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center"/>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3</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生鲜类食材</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蔬菜类</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1.中标人每天的供应按采购人提出的品种要求和计划数量进行供应。</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2.属季节问题，若出现品种不能满足采购人需求的情况，可与采购人协商调换相应类别的品种（按叶菜、瓜菜等进行分类）。</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3.蔬菜类应保持较好的色泽和新鲜度,利用率达到 95%。严禁采购有害、有毒、腐烂变质、酸败、霉变、生虫、污垢不洁、混有异物或其他感官性状异常的。蔬菜应无损伤、腐烂现象，无寄生虫或已受虫害现象。禁止采购超过保质期限的。</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4.供应链要求：所有的来源须清晰。蔬菜来源应当在受到地方政府部门监管的自有基地、商品菜基地或蔬菜专业流通市场，严禁收购散户农民的蔬菜供应。</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5.蔬菜卫生质量要求：卫生质量指标应符合我国无公害蔬菜上的卫生指标规定。</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6.对蔬菜生产商的管理要求：菜地配有专用的农药喷洒用具及其他农用器具；蔬菜采收后需用清洁、无污染的运输工具运抵加工地点。</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7.对蔬菜生产商环境要求：菜地周围需设有隔离网、隔离带或其他有效的隔离措施，确保不受临近农田施肥和用药污染；菜地周围无养殖场、化工厂、垃圾处理场、医院以及污水排放管道等污染源。</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8.对蔬菜生产商水源要求：菜地应有清洁无污染的灌溉水源；灌溉水井设有防护设施。灌溉水源需经检测验证符合规定要求，并一年内在蔬菜种植过程对水源进行2次监测。</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9.农药要求：种植使用的农药须符合安全管理部门的规定，严禁使用违禁药物；农药的采购、保管、发放、使用须建立记录；</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10.中标人的配送半径能够严格保证采购人在货物使用时间上的安排以及保证货物新鲜。</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r>
      <w:tr>
        <w:tblPrEx>
          <w:tblW w:w="5000" w:type="pct"/>
          <w:tblInd w:w="30" w:type="dxa"/>
          <w:tblCellMar>
            <w:top w:w="15" w:type="dxa"/>
            <w:left w:w="15" w:type="dxa"/>
            <w:bottom w:w="15" w:type="dxa"/>
            <w:right w:w="15" w:type="dxa"/>
          </w:tblCellMar>
        </w:tblPrEx>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center"/>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4</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非生鲜类食材</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粮食类（米、面、粉、豆类）和油类（调和油、花生油）</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总体要求：货物须符合卫生，不得有腐烂、变质、油脂酸败、霉变、生虫、污秽不洁、混有异物或者其他感官性状异常，并可能对人体健康有害的物质。散装粉、面需提供生产厂家营业执照、食品经营许可证、产品检验合格证书。</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2.米、油：供货时要提供产品检验合格证书。包装箱完整， 同时包装箱要印有注册商标、生产厂家名称、厂址、出厂日期、产品合格证、保质期限、产品成分、厂家电话号码。</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3.散装豆类：供货时提供生产厂家营业执照、食品经营许可证、产品检验合格证书。中标人所提供产品质量须要符合行业标准要求，不得有掺假、变质、变味、过期等现象出现，严禁伪劣、假冒、无证不合格物品进入仓库。</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r>
      <w:tr>
        <w:tblPrEx>
          <w:tblW w:w="5000" w:type="pct"/>
          <w:tblInd w:w="30" w:type="dxa"/>
          <w:tblCellMar>
            <w:top w:w="15" w:type="dxa"/>
            <w:left w:w="15" w:type="dxa"/>
            <w:bottom w:w="15" w:type="dxa"/>
            <w:right w:w="15" w:type="dxa"/>
          </w:tblCellMar>
        </w:tblPrEx>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center"/>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5</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非生鲜类食材</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干杂类</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干货制品的质量基本标准要求符合国家相关行业标准，干爽、不霉烂、整齐、均匀、完整、无虫蛀、无杂质，保持应有的色泽。确保产品质量稳定，保证营养丰富、绿色安全、海味浓郁、易存放、食用方便，保质期长。从加工、包装、运输、贮存到销售全部符合国家规定标准。尤其是二氧化硫残留量、总砷含量不超过国家卫生标准；木耳类的水分含量不能超过国家标准要求，采购人可根据实际情况对需要的干货制品进行品质抽检，对质量未达到国家标准的干货制品采购人有权拒绝接受。</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r>
      <w:tr>
        <w:tblPrEx>
          <w:tblW w:w="5000" w:type="pct"/>
          <w:tblInd w:w="30" w:type="dxa"/>
          <w:tblCellMar>
            <w:top w:w="15" w:type="dxa"/>
            <w:left w:w="15" w:type="dxa"/>
            <w:bottom w:w="15" w:type="dxa"/>
            <w:right w:w="15" w:type="dxa"/>
          </w:tblCellMar>
        </w:tblPrEx>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center"/>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6</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非生鲜类食材</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奶制品类</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质量符合国家《中华人民共和国食品安全法》等法律法规的规定和相关行业国家标准以及卫生质量要求，做到渠道合法、来源明晰、品质优良、新鲜卫生。不得有掺假、变质、变味、过期等现象出现，严禁伪劣、假冒、无证不合格物品进入仓库。</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2.包装箱完整，同时包装箱要印有注册商标、生产厂家名称、厂址、出厂日期、产品合格证、保质期限、产品成分、厂家电话号码。供货时提供生产厂家营业执照、食品经营许可证、产品检验合格证书。</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r>
    </w:tbl>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3.4服务要求</w:t>
      </w:r>
    </w:p>
    <w:tbl>
      <w:tblPr>
        <w:tblW w:w="5000" w:type="pct"/>
        <w:tblInd w:w="30" w:type="dxa"/>
        <w:tblCellMar>
          <w:top w:w="15" w:type="dxa"/>
          <w:left w:w="15" w:type="dxa"/>
          <w:bottom w:w="15" w:type="dxa"/>
          <w:right w:w="15" w:type="dxa"/>
        </w:tblCellMar>
      </w:tblPr>
      <w:tblGrid>
        <w:gridCol w:w="327"/>
        <w:gridCol w:w="833"/>
        <w:gridCol w:w="833"/>
        <w:gridCol w:w="18786"/>
        <w:gridCol w:w="453"/>
        <w:gridCol w:w="1085"/>
      </w:tblGrid>
      <w:tr>
        <w:tblPrEx>
          <w:tblW w:w="5000" w:type="pct"/>
          <w:tblInd w:w="30" w:type="dxa"/>
          <w:tblCellMar>
            <w:top w:w="15" w:type="dxa"/>
            <w:left w:w="15" w:type="dxa"/>
            <w:bottom w:w="15" w:type="dxa"/>
            <w:right w:w="15" w:type="dxa"/>
          </w:tblCellMar>
        </w:tblPrEx>
        <w:tc>
          <w:tcPr>
            <w:tcW w:w="5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序号</w:t>
            </w:r>
          </w:p>
        </w:tc>
        <w:tc>
          <w:tcPr>
            <w:tcW w:w="9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指标种类</w:t>
            </w:r>
          </w:p>
        </w:tc>
        <w:tc>
          <w:tcPr>
            <w:tcW w:w="9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指标名称</w:t>
            </w:r>
          </w:p>
        </w:tc>
        <w:tc>
          <w:tcPr>
            <w:tcW w:w="9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指标内容</w:t>
            </w:r>
          </w:p>
        </w:tc>
        <w:tc>
          <w:tcPr>
            <w:tcW w:w="9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重要性</w:t>
            </w:r>
          </w:p>
        </w:tc>
        <w:tc>
          <w:tcPr>
            <w:tcW w:w="9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是否需要证明材料</w:t>
            </w:r>
          </w:p>
        </w:tc>
      </w:tr>
      <w:tr>
        <w:tblPrEx>
          <w:tblW w:w="5000" w:type="pct"/>
          <w:tblInd w:w="30" w:type="dxa"/>
          <w:tblCellMar>
            <w:top w:w="15" w:type="dxa"/>
            <w:left w:w="15" w:type="dxa"/>
            <w:bottom w:w="15" w:type="dxa"/>
            <w:right w:w="15" w:type="dxa"/>
          </w:tblCellMar>
        </w:tblPrEx>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center"/>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生鲜类食材</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产品配送要求</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（一）运输须采用符合卫生标准的外包装和运载工具，并且要保持清洁和定期消毒。运输车厢的内仓，包括地面、墙面和顶，应使用抗腐蚀、防潮，易清洁消毒的材料。车厢内无不良气味、异味。</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二）禽畜类、海产品类、蔬菜类食材必须用冷藏功能正常且干净、整洁、卫生、无异味的冷藏车配送。冷藏车在配送过程中保持安全的冷藏、冷冻温度。特别是对于长途运输的，保证在运输全过程处于合适的温度范围。整个运输过程应科学合理，运输车辆应定期清洁，保持性能稳定，符合规定的温度要求，使运输处于恒定的环境中。</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（三）禽畜类、海产品类、蔬菜类食材用冷藏车配送，保证肉类中心温度控制在-2℃ 至 7℃的范围之内，保证运输过程冷链不中断。商品到达目的地时外包装箱干爽，无软化现象。送货车辆应保持清洁；堆放科学合理，避免造成的交叉污染；如对温度有要求的食品应确定的温度，记录送货车辆温度，并记录存档。在本环节中应保证冷藏脱离冷链时间不得超过20分钟，冷冻脱离冷链时间不得超过 30 分钟。</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r>
      <w:tr>
        <w:tblPrEx>
          <w:tblW w:w="5000" w:type="pct"/>
          <w:tblInd w:w="30" w:type="dxa"/>
          <w:tblCellMar>
            <w:top w:w="15" w:type="dxa"/>
            <w:left w:w="15" w:type="dxa"/>
            <w:bottom w:w="15" w:type="dxa"/>
            <w:right w:w="15" w:type="dxa"/>
          </w:tblCellMar>
        </w:tblPrEx>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center"/>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2</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非生鲜类食材</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产品配送要求</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（一）运输须采用符合卫生标准的外包装和运载工具，并且要保持清洁和定期消毒。运输车厢的内仓，包括地面、墙面和顶，应使用抗腐蚀、防潮，易清洁消毒的材料。车厢内无不良气味、异味。</w:t>
            </w:r>
            <w:r>
              <w:rPr>
                <w:rFonts w:ascii="仿宋_GB2312" w:eastAsia="仿宋_GB2312" w:hAnsi="仿宋_GB2312" w:cs="仿宋_GB2312"/>
                <w:b w:val="0"/>
                <w:bCs w:val="0"/>
                <w:i w:val="0"/>
                <w:iCs w:val="0"/>
                <w:smallCaps w:val="0"/>
                <w:color w:val="000000"/>
                <w:sz w:val="21"/>
                <w:szCs w:val="21"/>
              </w:rPr>
              <w:br/>
            </w:r>
            <w:r>
              <w:rPr>
                <w:rFonts w:ascii="仿宋_GB2312" w:eastAsia="仿宋_GB2312" w:hAnsi="仿宋_GB2312" w:cs="仿宋_GB2312"/>
                <w:b w:val="0"/>
                <w:bCs w:val="0"/>
                <w:i w:val="0"/>
                <w:iCs w:val="0"/>
                <w:smallCaps w:val="0"/>
                <w:color w:val="000000"/>
                <w:sz w:val="21"/>
                <w:szCs w:val="21"/>
              </w:rPr>
              <w:t>（二）干货类食材需用干净、整洁、卫生、无异味的货车运送。</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p>
        </w:tc>
      </w:tr>
    </w:tbl>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3.5其他要求</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1.</w:t>
      </w:r>
      <w:r>
        <w:rPr>
          <w:rFonts w:ascii="SimSun" w:eastAsia="SimSun" w:hAnsi="SimSun" w:cs="SimSun"/>
        </w:rPr>
        <w:t>中标人负责所供产品的售后服务，按照国家“三包”规定，负责未食用食品的质保服务，质量保证期不低于</w:t>
      </w:r>
      <w:r>
        <w:rPr>
          <w:rFonts w:ascii="Calibri" w:eastAsia="Calibri" w:hAnsi="Calibri" w:cs="Calibri"/>
        </w:rPr>
        <w:t>1</w:t>
      </w:r>
      <w:r>
        <w:rPr>
          <w:rFonts w:ascii="SimSun" w:eastAsia="SimSun" w:hAnsi="SimSun" w:cs="SimSun"/>
        </w:rPr>
        <w:t>年。如出现质量问题，负责退换货。</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2.</w:t>
      </w:r>
      <w:r>
        <w:rPr>
          <w:rFonts w:ascii="SimSun" w:eastAsia="SimSun" w:hAnsi="SimSun" w:cs="SimSun"/>
        </w:rPr>
        <w:t>投标人拟投入的冷链车及普通货车各不少于</w:t>
      </w:r>
      <w:r>
        <w:rPr>
          <w:rFonts w:ascii="Calibri" w:eastAsia="Calibri" w:hAnsi="Calibri" w:cs="Calibri"/>
        </w:rPr>
        <w:t>2</w:t>
      </w:r>
      <w:r>
        <w:rPr>
          <w:rFonts w:ascii="SimSun" w:eastAsia="SimSun" w:hAnsi="SimSun" w:cs="SimSun"/>
        </w:rPr>
        <w:t>辆。</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3.</w:t>
      </w:r>
      <w:r>
        <w:rPr>
          <w:rFonts w:ascii="SimSun" w:eastAsia="SimSun" w:hAnsi="SimSun" w:cs="SimSun"/>
        </w:rPr>
        <w:t>拟投入本项目的人员的要求：必须四名以上（含四名）正式员工办理有健康证明（在投标文件中提供材料证明和员工的劳动合同复印件）</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4.</w:t>
      </w:r>
      <w:r>
        <w:rPr>
          <w:rFonts w:ascii="SimSun" w:eastAsia="SimSun" w:hAnsi="SimSun" w:cs="SimSun"/>
        </w:rPr>
        <w:t>投标人承诺投入本项目的自有产权或租赁与生产经营相关的经营场所及仓储场所。</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5.</w:t>
      </w:r>
      <w:r>
        <w:rPr>
          <w:rFonts w:ascii="SimSun" w:eastAsia="SimSun" w:hAnsi="SimSun" w:cs="SimSun"/>
        </w:rPr>
        <w:t>投标人具有与经营品种相适应的自有或租赁储备冷库</w:t>
      </w:r>
      <w:r>
        <w:rPr>
          <w:rFonts w:ascii="Calibri" w:eastAsia="Calibri" w:hAnsi="Calibri" w:cs="Calibri"/>
        </w:rPr>
        <w:t>/</w:t>
      </w:r>
      <w:r>
        <w:rPr>
          <w:rFonts w:ascii="SimSun" w:eastAsia="SimSun" w:hAnsi="SimSun" w:cs="SimSun"/>
        </w:rPr>
        <w:t>保鲜仓库（经营畜肉、禽肉类等生鲜食品）。</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6.</w:t>
      </w:r>
      <w:r>
        <w:rPr>
          <w:rFonts w:ascii="SimSun" w:eastAsia="SimSun" w:hAnsi="SimSun" w:cs="SimSun"/>
        </w:rPr>
        <w:t>投标人需购买《食品安全责任保险》，以保障采购人的合法权益，购买的赔付金额不少于</w:t>
      </w:r>
      <w:r>
        <w:rPr>
          <w:rFonts w:ascii="Calibri" w:eastAsia="Calibri" w:hAnsi="Calibri" w:cs="Calibri"/>
        </w:rPr>
        <w:t>400</w:t>
      </w:r>
      <w:r>
        <w:rPr>
          <w:rFonts w:ascii="SimSun" w:eastAsia="SimSun" w:hAnsi="SimSun" w:cs="SimSun"/>
        </w:rPr>
        <w:t>万元。</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7.</w:t>
      </w:r>
      <w:r>
        <w:rPr>
          <w:rFonts w:ascii="SimSun" w:eastAsia="SimSun" w:hAnsi="SimSun" w:cs="SimSun"/>
        </w:rPr>
        <w:t>合同履约过程中，中标人破产或被市场监督管理部门撤销其《食品经营许可证》</w:t>
      </w:r>
      <w:r>
        <w:rPr>
          <w:rFonts w:ascii="SimSun" w:eastAsia="SimSun" w:hAnsi="SimSun" w:cs="SimSun"/>
        </w:rPr>
        <w:t>或《食品生产许可证》</w:t>
      </w:r>
      <w:r>
        <w:rPr>
          <w:rFonts w:ascii="SimSun" w:eastAsia="SimSun" w:hAnsi="SimSun" w:cs="SimSun"/>
        </w:rPr>
        <w:t>的，采购人有权解除合同，造成损失的由中标人赔偿。</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8.</w:t>
      </w:r>
      <w:r>
        <w:rPr>
          <w:rFonts w:ascii="SimSun" w:eastAsia="SimSun" w:hAnsi="SimSun" w:cs="SimSun"/>
        </w:rPr>
        <w:t>因政策变化或执行上级文件要求，导致食堂无法运转，合同无法履行的，采购人有权解除合同且不承担违约责任。</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9.</w:t>
      </w:r>
      <w:r>
        <w:rPr>
          <w:rFonts w:ascii="SimSun" w:eastAsia="SimSun" w:hAnsi="SimSun" w:cs="SimSun"/>
        </w:rPr>
        <w:t>投标人可以根据项目要求，在投标文件中提供包括但不限于：项目项目需求理解方案、服务方案、应急方案、与本项目采购需求相关的服务能力的证明等。</w:t>
      </w:r>
    </w:p>
    <w:p>
      <w:pPr>
        <w:pStyle w:val="Heading1"/>
        <w:keepNext w:val="0"/>
        <w:spacing w:before="0" w:after="0" w:line="360" w:lineRule="auto"/>
        <w:jc w:val="center"/>
        <w:rPr>
          <w:rFonts w:ascii="仿宋_GB2312" w:eastAsia="仿宋_GB2312" w:hAnsi="仿宋_GB2312" w:cs="仿宋_GB2312"/>
          <w:b/>
          <w:bCs/>
          <w:sz w:val="32"/>
          <w:szCs w:val="32"/>
        </w:rPr>
      </w:pPr>
      <w:r>
        <w:rPr>
          <w:rFonts w:ascii="仿宋_GB2312" w:eastAsia="仿宋_GB2312" w:hAnsi="仿宋_GB2312" w:cs="仿宋_GB2312"/>
          <w:kern w:val="36"/>
        </w:rPr>
        <w:t>4人员要求</w:t>
      </w:r>
    </w:p>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4.1团队要求</w:t>
      </w:r>
    </w:p>
    <w:p>
      <w:pPr>
        <w:pStyle w:val="Heading3"/>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sz w:val="28"/>
          <w:szCs w:val="28"/>
        </w:rPr>
        <w:t>4.1.1基本要求</w:t>
      </w:r>
    </w:p>
    <w:p>
      <w:pPr>
        <w:pStyle w:val="MsoNormal"/>
        <w:spacing w:before="0" w:after="0" w:line="360" w:lineRule="auto"/>
        <w:ind w:firstLine="480"/>
        <w:rPr>
          <w:rFonts w:ascii="Times New Roman" w:eastAsia="Times New Roman" w:hAnsi="Times New Roman" w:cs="Times New Roman"/>
        </w:rPr>
      </w:pPr>
      <w:r>
        <w:rPr>
          <w:rFonts w:ascii="SimSun" w:eastAsia="SimSun" w:hAnsi="SimSun" w:cs="SimSun"/>
        </w:rPr>
        <w:t>必须四名以上（含四名）正式员工办理有健康证明（在投标文件中提供材料证明和员工的劳动合同复印件）</w:t>
      </w:r>
    </w:p>
    <w:p>
      <w:pPr>
        <w:pStyle w:val="Heading3"/>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sz w:val="28"/>
          <w:szCs w:val="28"/>
        </w:rPr>
        <w:t>4.1.2优选资质/优选指标</w:t>
      </w:r>
    </w:p>
    <w:tbl>
      <w:tblPr>
        <w:tblW w:w="5000" w:type="pct"/>
        <w:tblInd w:w="30" w:type="dxa"/>
        <w:tblCellMar>
          <w:top w:w="15" w:type="dxa"/>
          <w:left w:w="15" w:type="dxa"/>
          <w:bottom w:w="15" w:type="dxa"/>
          <w:right w:w="15" w:type="dxa"/>
        </w:tblCellMar>
      </w:tblPr>
      <w:tblGrid>
        <w:gridCol w:w="440"/>
        <w:gridCol w:w="855"/>
        <w:gridCol w:w="855"/>
        <w:gridCol w:w="6016"/>
        <w:gridCol w:w="1163"/>
      </w:tblGrid>
      <w:tr>
        <w:tblPrEx>
          <w:tblW w:w="5000" w:type="pct"/>
          <w:tblInd w:w="30" w:type="dxa"/>
          <w:tblCellMar>
            <w:top w:w="15" w:type="dxa"/>
            <w:left w:w="15" w:type="dxa"/>
            <w:bottom w:w="15" w:type="dxa"/>
            <w:right w:w="15" w:type="dxa"/>
          </w:tblCellMar>
        </w:tblPrEx>
        <w:tc>
          <w:tcPr>
            <w:tcW w:w="5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序号</w:t>
            </w:r>
          </w:p>
        </w:tc>
        <w:tc>
          <w:tcPr>
            <w:tcW w:w="11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人员类别</w:t>
            </w:r>
          </w:p>
        </w:tc>
        <w:tc>
          <w:tcPr>
            <w:tcW w:w="11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人员岗位</w:t>
            </w:r>
          </w:p>
        </w:tc>
        <w:tc>
          <w:tcPr>
            <w:tcW w:w="11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人员要求</w:t>
            </w:r>
          </w:p>
        </w:tc>
        <w:tc>
          <w:tcPr>
            <w:tcW w:w="11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是否作为加分项</w:t>
            </w:r>
          </w:p>
        </w:tc>
      </w:tr>
      <w:tr>
        <w:tblPrEx>
          <w:tblW w:w="5000" w:type="pct"/>
          <w:tblInd w:w="30" w:type="dxa"/>
          <w:tblCellMar>
            <w:top w:w="15" w:type="dxa"/>
            <w:left w:w="15" w:type="dxa"/>
            <w:bottom w:w="15" w:type="dxa"/>
            <w:right w:w="15" w:type="dxa"/>
          </w:tblCellMar>
        </w:tblPrEx>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center"/>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员工</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员工</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必须四名以上（含四名）正式员工办理有健康证明（在投标文件中提供材料证明和员工的劳动合同复印件）</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否</w:t>
            </w:r>
          </w:p>
        </w:tc>
      </w:tr>
    </w:tbl>
    <w:p>
      <w:pPr>
        <w:pStyle w:val="Heading1"/>
        <w:keepNext w:val="0"/>
        <w:spacing w:before="0" w:after="0" w:line="360" w:lineRule="auto"/>
        <w:jc w:val="center"/>
        <w:rPr>
          <w:rFonts w:ascii="仿宋_GB2312" w:eastAsia="仿宋_GB2312" w:hAnsi="仿宋_GB2312" w:cs="仿宋_GB2312"/>
          <w:b/>
          <w:bCs/>
          <w:sz w:val="32"/>
          <w:szCs w:val="32"/>
        </w:rPr>
      </w:pPr>
      <w:r>
        <w:rPr>
          <w:rFonts w:ascii="仿宋_GB2312" w:eastAsia="仿宋_GB2312" w:hAnsi="仿宋_GB2312" w:cs="仿宋_GB2312"/>
          <w:kern w:val="36"/>
        </w:rPr>
        <w:t>5管理实施要求</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1</w:t>
      </w:r>
      <w:r>
        <w:rPr>
          <w:rFonts w:ascii="SimSun" w:eastAsia="SimSun" w:hAnsi="SimSun" w:cs="SimSun"/>
        </w:rPr>
        <w:t>.中标人应自有或租赁种、养殖基地，保障供货能力。</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2</w:t>
      </w:r>
      <w:r>
        <w:rPr>
          <w:rFonts w:ascii="Calibri" w:eastAsia="Calibri" w:hAnsi="Calibri" w:cs="Calibri"/>
        </w:rPr>
        <w:t>.</w:t>
      </w:r>
      <w:r>
        <w:rPr>
          <w:rFonts w:ascii="SimSun" w:eastAsia="SimSun" w:hAnsi="SimSun" w:cs="SimSun"/>
        </w:rPr>
        <w:t>中标人建立食品进货检查记录制度，如实记录食品的名称、规格、数量、生产批号、保质期、供货者名称及联系方式、进货日期等内容。</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3</w:t>
      </w:r>
      <w:r>
        <w:rPr>
          <w:rFonts w:ascii="Calibri" w:eastAsia="Calibri" w:hAnsi="Calibri" w:cs="Calibri"/>
        </w:rPr>
        <w:t>.</w:t>
      </w:r>
      <w:r>
        <w:rPr>
          <w:rFonts w:ascii="SimSun" w:eastAsia="SimSun" w:hAnsi="SimSun" w:cs="SimSun"/>
        </w:rPr>
        <w:t>中标人配送食材符合国家对食品、食品相关产品中的致病性微生物、农药残留、兽药残留、重金属、污染物质以及其他危害人体健康物质的限量规定。</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rPr>
        <w:t>★</w:t>
      </w:r>
      <w:r>
        <w:rPr>
          <w:rFonts w:ascii="Calibri" w:eastAsia="Calibri" w:hAnsi="Calibri" w:cs="Calibri"/>
        </w:rPr>
        <w:t>4</w:t>
      </w:r>
      <w:r>
        <w:rPr>
          <w:rFonts w:ascii="Calibri" w:eastAsia="Calibri" w:hAnsi="Calibri" w:cs="Calibri"/>
        </w:rPr>
        <w:t>.</w:t>
      </w:r>
      <w:r>
        <w:rPr>
          <w:rFonts w:ascii="SimSun" w:eastAsia="SimSun" w:hAnsi="SimSun" w:cs="SimSun"/>
        </w:rPr>
        <w:t>采购人根据实际要求，列出一份次日需要采购的食材采购清单，中标人应在收到采购人发出供货通知后，最迟在次日上午</w:t>
      </w:r>
      <w:r>
        <w:rPr>
          <w:rFonts w:ascii="Calibri" w:eastAsia="Calibri" w:hAnsi="Calibri" w:cs="Calibri"/>
        </w:rPr>
        <w:t>8:20</w:t>
      </w:r>
      <w:r>
        <w:rPr>
          <w:rFonts w:ascii="SimSun" w:eastAsia="SimSun" w:hAnsi="SimSun" w:cs="SimSun"/>
        </w:rPr>
        <w:t>提供当次现场供货。</w:t>
      </w:r>
    </w:p>
    <w:p>
      <w:pPr>
        <w:pStyle w:val="MsoNormal"/>
        <w:spacing w:before="0" w:after="0" w:line="360" w:lineRule="auto"/>
        <w:ind w:left="0" w:right="0" w:firstLine="420"/>
        <w:jc w:val="both"/>
        <w:rPr>
          <w:rFonts w:ascii="Calibri" w:eastAsia="Calibri" w:hAnsi="Calibri" w:cs="Calibri"/>
          <w:sz w:val="21"/>
          <w:szCs w:val="21"/>
        </w:rPr>
      </w:pPr>
      <w:r>
        <w:rPr>
          <w:rFonts w:ascii="SimSun" w:eastAsia="SimSun" w:hAnsi="SimSun" w:cs="SimSun"/>
        </w:rPr>
        <w:t>★</w:t>
      </w:r>
      <w:r>
        <w:rPr>
          <w:rFonts w:ascii="Calibri" w:eastAsia="Calibri" w:hAnsi="Calibri" w:cs="Calibri"/>
        </w:rPr>
        <w:t>5</w:t>
      </w:r>
      <w:r>
        <w:rPr>
          <w:rFonts w:ascii="Calibri" w:eastAsia="Calibri" w:hAnsi="Calibri" w:cs="Calibri"/>
        </w:rPr>
        <w:t>.</w:t>
      </w:r>
      <w:r>
        <w:rPr>
          <w:rFonts w:ascii="SimSun" w:eastAsia="SimSun" w:hAnsi="SimSun" w:cs="SimSun"/>
        </w:rPr>
        <w:t>紧急供货要求：中标人在收到采购人发出紧急供货通知后，最迟</w:t>
      </w:r>
      <w:r>
        <w:rPr>
          <w:rFonts w:ascii="Calibri" w:eastAsia="Calibri" w:hAnsi="Calibri" w:cs="Calibri"/>
        </w:rPr>
        <w:t>2</w:t>
      </w:r>
      <w:r>
        <w:rPr>
          <w:rFonts w:ascii="SimSun" w:eastAsia="SimSun" w:hAnsi="SimSun" w:cs="SimSun"/>
        </w:rPr>
        <w:t>小时内完成当次现场供货。</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6</w:t>
      </w:r>
      <w:r>
        <w:rPr>
          <w:rFonts w:ascii="Calibri" w:eastAsia="Calibri" w:hAnsi="Calibri" w:cs="Calibri"/>
        </w:rPr>
        <w:t>.</w:t>
      </w:r>
      <w:r>
        <w:rPr>
          <w:rFonts w:ascii="SimSun" w:eastAsia="SimSun" w:hAnsi="SimSun" w:cs="SimSun"/>
        </w:rPr>
        <w:t>中标人应具有集体用餐配送能力，如遇停水、停电、停气及其他突发情况导致食堂无法及时配餐的情况下，中标人能够及时为食堂配餐。</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7</w:t>
      </w:r>
      <w:r>
        <w:rPr>
          <w:rFonts w:ascii="Calibri" w:eastAsia="Calibri" w:hAnsi="Calibri" w:cs="Calibri"/>
        </w:rPr>
        <w:t>.</w:t>
      </w:r>
      <w:r>
        <w:rPr>
          <w:rFonts w:ascii="SimSun" w:eastAsia="SimSun" w:hAnsi="SimSun" w:cs="SimSun"/>
        </w:rPr>
        <w:t>中标人必须按照采购人食堂采购人员通知的时间、数量、品种、品质要求及协定的价格准时送货，经验收合格后签字确认，不能以任何理由推脱，一旦影响到采购人食堂的正常运转，中标人承担相应的经济赔偿。</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rPr>
        <w:t>8</w:t>
      </w:r>
      <w:r>
        <w:rPr>
          <w:rFonts w:ascii="Calibri" w:eastAsia="Calibri" w:hAnsi="Calibri" w:cs="Calibri"/>
        </w:rPr>
        <w:t>.</w:t>
      </w:r>
      <w:r>
        <w:rPr>
          <w:rFonts w:ascii="SimSun" w:eastAsia="SimSun" w:hAnsi="SimSun" w:cs="SimSun"/>
        </w:rPr>
        <w:t>中标人不能满足供货要求时，应提前一个月通知采购人，采购人同意后方可终止合同。</w:t>
      </w:r>
    </w:p>
    <w:p>
      <w:pPr>
        <w:pStyle w:val="Heading1"/>
        <w:keepNext w:val="0"/>
        <w:spacing w:before="0" w:after="0" w:line="360" w:lineRule="auto"/>
        <w:jc w:val="center"/>
        <w:rPr>
          <w:rFonts w:ascii="仿宋_GB2312" w:eastAsia="仿宋_GB2312" w:hAnsi="仿宋_GB2312" w:cs="仿宋_GB2312"/>
          <w:b/>
          <w:bCs/>
          <w:sz w:val="32"/>
          <w:szCs w:val="32"/>
        </w:rPr>
      </w:pPr>
      <w:r>
        <w:rPr>
          <w:rFonts w:ascii="仿宋_GB2312" w:eastAsia="仿宋_GB2312" w:hAnsi="仿宋_GB2312" w:cs="仿宋_GB2312"/>
          <w:kern w:val="36"/>
        </w:rPr>
        <w:t>6风险管控要求</w:t>
      </w:r>
    </w:p>
    <w:p>
      <w:pPr>
        <w:pStyle w:val="MsoNormal"/>
        <w:spacing w:before="0" w:after="0" w:line="360" w:lineRule="auto"/>
        <w:ind w:firstLine="420"/>
        <w:rPr>
          <w:rFonts w:ascii="Times New Roman" w:eastAsia="Times New Roman" w:hAnsi="Times New Roman" w:cs="Times New Roman"/>
        </w:rPr>
      </w:pPr>
      <w:r>
        <w:rPr>
          <w:rFonts w:ascii="STSong" w:eastAsia="STSong" w:hAnsi="STSong" w:cs="STSong"/>
          <w:sz w:val="21"/>
          <w:szCs w:val="21"/>
        </w:rPr>
        <w:t>1.提供的食材出现假冒或者严重质量问题、安全隐患等，采购人有权单方面通知中标人解除合同。给采购人或采购人客人、职工造成实际损失的，采购人有权要求中标人承担相应责任，同时采购人有权禁止中标人及其关联方与采购人进行合作。</w:t>
      </w:r>
    </w:p>
    <w:p>
      <w:pPr>
        <w:pStyle w:val="MsoNormal"/>
        <w:spacing w:before="0" w:after="0" w:line="360" w:lineRule="auto"/>
        <w:ind w:firstLine="420"/>
        <w:rPr>
          <w:rFonts w:ascii="Times New Roman" w:eastAsia="Times New Roman" w:hAnsi="Times New Roman" w:cs="Times New Roman"/>
        </w:rPr>
      </w:pPr>
      <w:r>
        <w:rPr>
          <w:rFonts w:ascii="STSong" w:eastAsia="STSong" w:hAnsi="STSong" w:cs="STSong"/>
          <w:sz w:val="21"/>
          <w:szCs w:val="21"/>
        </w:rPr>
        <w:t>2.采购人可对中标人供应的生鲜类食材实行食材留样和农药检测，并不定期抽样送卫生防疫部门检疫。如有卫生、质量问题，检验费由中标人承担，并承担全部损失及相关责任。</w:t>
      </w:r>
    </w:p>
    <w:p>
      <w:pPr>
        <w:pStyle w:val="MsoNormal"/>
        <w:spacing w:before="0" w:after="0" w:line="360" w:lineRule="auto"/>
        <w:ind w:firstLine="420"/>
        <w:rPr>
          <w:rFonts w:ascii="Times New Roman" w:eastAsia="Times New Roman" w:hAnsi="Times New Roman" w:cs="Times New Roman"/>
        </w:rPr>
      </w:pPr>
      <w:r>
        <w:rPr>
          <w:rFonts w:ascii="STSong" w:eastAsia="STSong" w:hAnsi="STSong" w:cs="STSong"/>
          <w:sz w:val="21"/>
          <w:szCs w:val="21"/>
        </w:rPr>
        <w:t>3.因中标人供应的食材质量问题，导致采购人发生食物中毒等食品安全事故的，由中标人承担全部损失及相关责任。</w:t>
      </w:r>
    </w:p>
    <w:p>
      <w:pPr>
        <w:pStyle w:val="Heading1"/>
        <w:keepNext w:val="0"/>
        <w:spacing w:before="0" w:after="0" w:line="360" w:lineRule="auto"/>
        <w:jc w:val="center"/>
        <w:rPr>
          <w:rFonts w:ascii="仿宋_GB2312" w:eastAsia="仿宋_GB2312" w:hAnsi="仿宋_GB2312" w:cs="仿宋_GB2312"/>
          <w:b/>
          <w:bCs/>
          <w:sz w:val="32"/>
          <w:szCs w:val="32"/>
        </w:rPr>
      </w:pPr>
      <w:r>
        <w:rPr>
          <w:rFonts w:ascii="仿宋_GB2312" w:eastAsia="仿宋_GB2312" w:hAnsi="仿宋_GB2312" w:cs="仿宋_GB2312"/>
          <w:kern w:val="36"/>
        </w:rPr>
        <w:t>7履约验收要求</w:t>
      </w:r>
    </w:p>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7.1总体要求</w:t>
      </w:r>
    </w:p>
    <w:tbl>
      <w:tblPr>
        <w:tblW w:w="5000" w:type="pct"/>
        <w:tblInd w:w="30" w:type="dxa"/>
        <w:tblCellMar>
          <w:top w:w="15" w:type="dxa"/>
          <w:left w:w="15" w:type="dxa"/>
          <w:bottom w:w="15" w:type="dxa"/>
          <w:right w:w="15" w:type="dxa"/>
        </w:tblCellMar>
      </w:tblPr>
      <w:tblGrid>
        <w:gridCol w:w="580"/>
        <w:gridCol w:w="23464"/>
      </w:tblGrid>
      <w:tr>
        <w:tblPrEx>
          <w:tblW w:w="5000" w:type="pct"/>
          <w:tblInd w:w="30" w:type="dxa"/>
          <w:tblCellMar>
            <w:top w:w="15" w:type="dxa"/>
            <w:left w:w="15" w:type="dxa"/>
            <w:bottom w:w="15" w:type="dxa"/>
            <w:right w:w="15" w:type="dxa"/>
          </w:tblCellMar>
        </w:tblPrEx>
        <w:tc>
          <w:tcPr>
            <w:tcW w:w="25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验收名称</w:t>
            </w:r>
          </w:p>
        </w:tc>
        <w:tc>
          <w:tcPr>
            <w:tcW w:w="25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验收要求</w:t>
            </w:r>
          </w:p>
        </w:tc>
      </w:tr>
      <w:tr>
        <w:tblPrEx>
          <w:tblW w:w="5000" w:type="pct"/>
          <w:tblInd w:w="30" w:type="dxa"/>
          <w:tblCellMar>
            <w:top w:w="15" w:type="dxa"/>
            <w:left w:w="15" w:type="dxa"/>
            <w:bottom w:w="15" w:type="dxa"/>
            <w:right w:w="15" w:type="dxa"/>
          </w:tblCellMar>
        </w:tblPrEx>
        <w:tc>
          <w:tcPr>
            <w:tcW w:w="2500"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验收</w:t>
            </w:r>
          </w:p>
        </w:tc>
        <w:tc>
          <w:tcPr>
            <w:tcW w:w="2500"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1.验收条件 本项目采购需求中包含的货物、服务满足本采购文件的规定要求。 2.验收标准 以项目采购需求中相关内容及其要求为依据，作为项目验收标准。中标人是否按照本招标需求书中定义的各项要求开展各项工作，工作流程和结果是否符合采购人质量管理要求，是否在规定时间内提交相关工作文档。 3.验收流程 食材的验收工作由采购人和中标人、食堂服务第三方共同进行验收。食堂工作人员和食堂管理人员按采购计划清单对食材逐项按验收标准检查品质、逐项称重，避免缺斤少两、以次充好。中标人提供的产品须经过食堂验收人的感官检验、外观检验和试用检验，若产品外观、包装、形式不符合要求、感官检验不能达食品卫生要求时，当即拒收，中标人不能满足食品的质量及售后服务要求时，采购人有权解除或终止合同。 验收工作的一般程序为：根据食品请购清单的具体要求，对所购食材进行清点、外观检查以及对物料的各项指标和性能进行实测，并逐项记录。检测结束后，三方验收签字确认。对未能通过验收的，一律退货、更换直至验收合格。</w:t>
            </w:r>
          </w:p>
        </w:tc>
      </w:tr>
    </w:tbl>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7.2具体要求</w:t>
      </w:r>
    </w:p>
    <w:p>
      <w:pPr>
        <w:pStyle w:val="MsoNormal"/>
        <w:spacing w:before="0" w:after="0" w:line="360" w:lineRule="auto"/>
        <w:ind w:firstLine="420"/>
        <w:rPr>
          <w:rFonts w:ascii="Times New Roman" w:eastAsia="Times New Roman" w:hAnsi="Times New Roman" w:cs="Times New Roman"/>
        </w:rPr>
      </w:pPr>
      <w:r>
        <w:rPr>
          <w:rFonts w:ascii="STSong" w:eastAsia="STSong" w:hAnsi="STSong" w:cs="STSong"/>
          <w:sz w:val="21"/>
          <w:szCs w:val="21"/>
        </w:rPr>
        <w:t>1.验收条件</w:t>
      </w:r>
    </w:p>
    <w:p>
      <w:pPr>
        <w:pStyle w:val="MsoNormal"/>
        <w:spacing w:before="0" w:after="0" w:line="360" w:lineRule="auto"/>
        <w:ind w:firstLine="420"/>
        <w:rPr>
          <w:rFonts w:ascii="Times New Roman" w:eastAsia="Times New Roman" w:hAnsi="Times New Roman" w:cs="Times New Roman"/>
        </w:rPr>
      </w:pPr>
      <w:r>
        <w:rPr>
          <w:rFonts w:ascii="STSong" w:eastAsia="STSong" w:hAnsi="STSong" w:cs="STSong"/>
          <w:sz w:val="21"/>
          <w:szCs w:val="21"/>
        </w:rPr>
        <w:t>本项目采购需求中包含的货物、服务满足本采购文件的规定要求。</w:t>
      </w:r>
    </w:p>
    <w:p>
      <w:pPr>
        <w:pStyle w:val="MsoNormal"/>
        <w:spacing w:before="0" w:after="0" w:line="360" w:lineRule="auto"/>
        <w:ind w:firstLine="420"/>
        <w:rPr>
          <w:rFonts w:ascii="Times New Roman" w:eastAsia="Times New Roman" w:hAnsi="Times New Roman" w:cs="Times New Roman"/>
        </w:rPr>
      </w:pPr>
      <w:r>
        <w:rPr>
          <w:rFonts w:ascii="STSong" w:eastAsia="STSong" w:hAnsi="STSong" w:cs="STSong"/>
          <w:sz w:val="21"/>
          <w:szCs w:val="21"/>
        </w:rPr>
        <w:t>2.验收标准</w:t>
      </w:r>
    </w:p>
    <w:p>
      <w:pPr>
        <w:pStyle w:val="MsoNormal"/>
        <w:spacing w:before="0" w:after="0" w:line="360" w:lineRule="auto"/>
        <w:ind w:firstLine="420"/>
        <w:rPr>
          <w:rFonts w:ascii="Times New Roman" w:eastAsia="Times New Roman" w:hAnsi="Times New Roman" w:cs="Times New Roman"/>
        </w:rPr>
      </w:pPr>
      <w:r>
        <w:rPr>
          <w:rFonts w:ascii="STSong" w:eastAsia="STSong" w:hAnsi="STSong" w:cs="STSong"/>
          <w:sz w:val="21"/>
          <w:szCs w:val="21"/>
        </w:rPr>
        <w:t>以项目采购需求中相关内容及其要求为依据，作为项目验收标准。中标人是否按照本招标需求书中定义的各项要求开展各项工作，工作流程和结果是否符合采购人质量管理要求，是否在规定时间内提交相关工作文档。</w:t>
      </w:r>
    </w:p>
    <w:p>
      <w:pPr>
        <w:pStyle w:val="MsoNormal"/>
        <w:spacing w:before="0" w:after="0" w:line="360" w:lineRule="auto"/>
        <w:ind w:firstLine="420"/>
        <w:rPr>
          <w:rFonts w:ascii="Times New Roman" w:eastAsia="Times New Roman" w:hAnsi="Times New Roman" w:cs="Times New Roman"/>
        </w:rPr>
      </w:pPr>
      <w:r>
        <w:rPr>
          <w:rFonts w:ascii="STSong" w:eastAsia="STSong" w:hAnsi="STSong" w:cs="STSong"/>
          <w:sz w:val="21"/>
          <w:szCs w:val="21"/>
        </w:rPr>
        <w:t>3.验收流程</w:t>
      </w:r>
    </w:p>
    <w:p>
      <w:pPr>
        <w:pStyle w:val="MsoNormal"/>
        <w:spacing w:before="0" w:after="0" w:line="360" w:lineRule="auto"/>
        <w:ind w:firstLine="420"/>
        <w:rPr>
          <w:rFonts w:ascii="Times New Roman" w:eastAsia="Times New Roman" w:hAnsi="Times New Roman" w:cs="Times New Roman"/>
        </w:rPr>
      </w:pPr>
      <w:r>
        <w:rPr>
          <w:rFonts w:ascii="STSong" w:eastAsia="STSong" w:hAnsi="STSong" w:cs="STSong"/>
          <w:sz w:val="21"/>
          <w:szCs w:val="21"/>
        </w:rPr>
        <w:t>食材的验收工作由采购人和中标人、食堂服务第三方共同进行验收。食堂工作人员和食堂管理人员按采购计划清单对食材逐项按验收标准检查品质、逐项称重，避免缺斤少两、以次充好。中标人提供的产品须经过食堂验收人的感官检验、外观检验和试用检验，若产品外观、包装、形式不符合要求、感官检验不能达食品卫生要求时，当即拒收，中标人不能满足食品的质量及售后服务要求时，采购人有权解除或终止合同。</w:t>
      </w:r>
    </w:p>
    <w:p>
      <w:pPr>
        <w:pStyle w:val="MsoNormal"/>
        <w:spacing w:before="0" w:after="0" w:line="360" w:lineRule="auto"/>
        <w:rPr>
          <w:rFonts w:ascii="Times New Roman" w:eastAsia="Times New Roman" w:hAnsi="Times New Roman" w:cs="Times New Roman"/>
        </w:rPr>
      </w:pPr>
      <w:r>
        <w:rPr>
          <w:rFonts w:ascii="STSong" w:eastAsia="STSong" w:hAnsi="STSong" w:cs="STSong"/>
          <w:sz w:val="21"/>
          <w:szCs w:val="21"/>
        </w:rPr>
        <w:t>验收工作的一般程序为：根据食品请购清单的具体要求，对所购食材进行清点、外观检查以及对物料的各项指标和性能进行实测，并逐项记录。检测结束后，三方验收签字确认。对未能通过验收的，一律退货、更换直至验收合格。</w:t>
      </w:r>
    </w:p>
    <w:p>
      <w:pPr>
        <w:pStyle w:val="Heading1"/>
        <w:keepNext w:val="0"/>
        <w:spacing w:before="0" w:after="0" w:line="360" w:lineRule="auto"/>
        <w:jc w:val="center"/>
        <w:rPr>
          <w:rFonts w:ascii="仿宋_GB2312" w:eastAsia="仿宋_GB2312" w:hAnsi="仿宋_GB2312" w:cs="仿宋_GB2312"/>
          <w:b/>
          <w:bCs/>
          <w:sz w:val="32"/>
          <w:szCs w:val="32"/>
        </w:rPr>
      </w:pPr>
      <w:r>
        <w:rPr>
          <w:rFonts w:ascii="仿宋_GB2312" w:eastAsia="仿宋_GB2312" w:hAnsi="仿宋_GB2312" w:cs="仿宋_GB2312"/>
          <w:kern w:val="36"/>
        </w:rPr>
        <w:t>8其他要求</w:t>
      </w:r>
    </w:p>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8.1必备要求</w:t>
      </w:r>
    </w:p>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8.1.1通用必备要求</w:t>
      </w:r>
    </w:p>
    <w:p>
      <w:pPr>
        <w:spacing w:before="0" w:after="0" w:line="360" w:lineRule="auto"/>
        <w:ind w:firstLine="561"/>
        <w:rPr>
          <w:rFonts w:ascii="仿宋_GB2312" w:eastAsia="仿宋_GB2312" w:hAnsi="仿宋_GB2312" w:cs="仿宋_GB2312"/>
          <w:sz w:val="28"/>
          <w:szCs w:val="28"/>
        </w:rPr>
      </w:pPr>
      <w:r>
        <w:rPr>
          <w:rFonts w:ascii="仿宋_GB2312" w:eastAsia="仿宋_GB2312" w:hAnsi="仿宋_GB2312" w:cs="仿宋_GB2312"/>
          <w:sz w:val="28"/>
          <w:szCs w:val="28"/>
        </w:rPr>
        <w:t xml:space="preserve">1.本项目中如涉及商品包装和快递包装的，其包装需求标准应不低于《关于印发&lt;商品包装政府采购需求标准（试行）&gt;、&lt;快递包装政府采购需求标准（试行）&gt;的通知》（财办库〔2020〕123 号）规定的包装要求，如有其他包装需求，详见采购文件技术部分相关章节。 </w:t>
      </w:r>
    </w:p>
    <w:p>
      <w:pPr>
        <w:spacing w:before="0" w:after="0" w:line="360" w:lineRule="auto"/>
        <w:ind w:firstLine="561"/>
        <w:rPr>
          <w:rFonts w:ascii="仿宋_GB2312" w:eastAsia="仿宋_GB2312" w:hAnsi="仿宋_GB2312" w:cs="仿宋_GB2312"/>
          <w:sz w:val="28"/>
          <w:szCs w:val="28"/>
        </w:rPr>
      </w:pPr>
      <w:r>
        <w:rPr>
          <w:rFonts w:ascii="仿宋_GB2312" w:eastAsia="仿宋_GB2312" w:hAnsi="仿宋_GB2312" w:cs="仿宋_GB2312"/>
          <w:sz w:val="28"/>
          <w:szCs w:val="28"/>
        </w:rPr>
        <w:t xml:space="preserve">2.本项目中如涉及网络关键设备或网络安全专用产品的，应严格执行国家互联网信息办公室、工业和信息化部、公安部、财政部和国家认证认可监督管理委员会 2023年第 1 号《关于调整网络安全专用产品安全管理有关事项的公告》及国家互联网信息办公室、工业和信息化部、公安部和国家认证认可监督管理委员会 2023 年第 2号《关于调整&lt;网络关键设备和网络安全专用产品目录&gt;的公告》等相关文件要求，所投标（响应）设备或产品至少符合以下条件之一：一是已由具备资格的机构安全认证合格或安全检测符合要求；二是已获得《计算机信息系统安全专用产品销售许可证》，且在有效期内。 </w:t>
      </w:r>
    </w:p>
    <w:p>
      <w:pPr>
        <w:spacing w:before="0" w:after="0" w:line="360" w:lineRule="auto"/>
        <w:ind w:firstLine="561"/>
        <w:rPr>
          <w:rFonts w:ascii="仿宋_GB2312" w:eastAsia="仿宋_GB2312" w:hAnsi="仿宋_GB2312" w:cs="仿宋_GB2312"/>
          <w:sz w:val="28"/>
          <w:szCs w:val="28"/>
        </w:rPr>
      </w:pPr>
      <w:r>
        <w:rPr>
          <w:rFonts w:ascii="仿宋_GB2312" w:eastAsia="仿宋_GB2312" w:hAnsi="仿宋_GB2312" w:cs="仿宋_GB2312"/>
          <w:sz w:val="28"/>
          <w:szCs w:val="28"/>
        </w:rPr>
        <w:t xml:space="preserve">3.本项目中如涉及国家强制性产品认证证书（CCC 认证证书）、电信设备进网许可证、无线电发射设备核准证等市场准入类资质的，应严格执行国家相关法律法规的要求。 </w:t>
      </w:r>
    </w:p>
    <w:p>
      <w:pPr>
        <w:spacing w:before="0" w:after="0" w:line="360" w:lineRule="auto"/>
        <w:ind w:firstLine="561"/>
        <w:rPr>
          <w:rFonts w:ascii="仿宋_GB2312" w:eastAsia="仿宋_GB2312" w:hAnsi="仿宋_GB2312" w:cs="仿宋_GB2312"/>
          <w:sz w:val="28"/>
          <w:szCs w:val="28"/>
        </w:rPr>
      </w:pPr>
      <w:r>
        <w:rPr>
          <w:rFonts w:ascii="仿宋_GB2312" w:eastAsia="仿宋_GB2312" w:hAnsi="仿宋_GB2312" w:cs="仿宋_GB2312"/>
          <w:sz w:val="28"/>
          <w:szCs w:val="28"/>
        </w:rPr>
        <w:t>以上相关要求，由供应商在响应时应答，在履约验收中，采购人将按照采购文件、中标/成交供应商响应文件、采购合同等对中标/成交供应商提供的货物和服务进行验收，必要时依法依规开展相应检测、认证。</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1.</w:t>
      </w:r>
      <w:r>
        <w:rPr>
          <w:rFonts w:ascii="SimSun" w:eastAsia="SimSun" w:hAnsi="SimSun" w:cs="SimSun"/>
          <w:sz w:val="21"/>
          <w:szCs w:val="21"/>
        </w:rPr>
        <w:t>合同履约过程中，中标人破产或被市场监督管理部门撤销其《食品经营许可证》</w:t>
      </w:r>
      <w:r>
        <w:rPr>
          <w:rFonts w:ascii="SimSun" w:eastAsia="SimSun" w:hAnsi="SimSun" w:cs="SimSun"/>
          <w:sz w:val="21"/>
          <w:szCs w:val="21"/>
        </w:rPr>
        <w:t>或《食品生产许可证》</w:t>
      </w:r>
      <w:r>
        <w:rPr>
          <w:rFonts w:ascii="SimSun" w:eastAsia="SimSun" w:hAnsi="SimSun" w:cs="SimSun"/>
          <w:sz w:val="21"/>
          <w:szCs w:val="21"/>
        </w:rPr>
        <w:t>的，采购人有权解除合同，造成损失的由中标人赔偿。</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2.</w:t>
      </w:r>
      <w:r>
        <w:rPr>
          <w:rFonts w:ascii="SimSun" w:eastAsia="SimSun" w:hAnsi="SimSun" w:cs="SimSun"/>
          <w:sz w:val="21"/>
          <w:szCs w:val="21"/>
        </w:rPr>
        <w:t>因政策变化或执行上级文件要求，导致食堂无法运转，合同无法履行的，采购人有权解除合同且不承担违约责任。</w:t>
      </w:r>
    </w:p>
    <w:p>
      <w:pPr>
        <w:pStyle w:val="MsoNormal"/>
        <w:spacing w:before="0" w:after="0" w:line="360" w:lineRule="auto"/>
        <w:ind w:left="0" w:right="0" w:firstLine="420"/>
        <w:jc w:val="both"/>
        <w:rPr>
          <w:rFonts w:ascii="Calibri" w:eastAsia="Calibri" w:hAnsi="Calibri" w:cs="Calibri"/>
          <w:sz w:val="21"/>
          <w:szCs w:val="21"/>
        </w:rPr>
      </w:pPr>
      <w:r>
        <w:rPr>
          <w:rFonts w:ascii="Calibri" w:eastAsia="Calibri" w:hAnsi="Calibri" w:cs="Calibri"/>
          <w:sz w:val="21"/>
          <w:szCs w:val="21"/>
        </w:rPr>
        <w:t>3.</w:t>
      </w:r>
      <w:r>
        <w:rPr>
          <w:rFonts w:ascii="SimSun" w:eastAsia="SimSun" w:hAnsi="SimSun" w:cs="SimSun"/>
          <w:sz w:val="21"/>
          <w:szCs w:val="21"/>
        </w:rPr>
        <w:t>投标人可以根据项目要求，在投标文件中提供包括但不限于：项目项目需求理解方案、服务方案、应急方案、与本项目采购需求相关的服务能力的证明等。</w:t>
      </w:r>
    </w:p>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8.2付款安排建议</w:t>
      </w:r>
    </w:p>
    <w:tbl>
      <w:tblPr>
        <w:tblW w:w="5000" w:type="pct"/>
        <w:tblInd w:w="30" w:type="dxa"/>
        <w:tblCellMar>
          <w:top w:w="15" w:type="dxa"/>
          <w:left w:w="15" w:type="dxa"/>
          <w:bottom w:w="15" w:type="dxa"/>
          <w:right w:w="15" w:type="dxa"/>
        </w:tblCellMar>
      </w:tblPr>
      <w:tblGrid>
        <w:gridCol w:w="580"/>
        <w:gridCol w:w="13602"/>
        <w:gridCol w:w="959"/>
      </w:tblGrid>
      <w:tr>
        <w:tblPrEx>
          <w:tblW w:w="5000" w:type="pct"/>
          <w:tblInd w:w="30" w:type="dxa"/>
          <w:tblCellMar>
            <w:top w:w="15" w:type="dxa"/>
            <w:left w:w="15" w:type="dxa"/>
            <w:bottom w:w="15" w:type="dxa"/>
            <w:right w:w="15" w:type="dxa"/>
          </w:tblCellMar>
        </w:tblPrEx>
        <w:tc>
          <w:tcPr>
            <w:tcW w:w="10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付款名称</w:t>
            </w:r>
          </w:p>
        </w:tc>
        <w:tc>
          <w:tcPr>
            <w:tcW w:w="30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付款要求</w:t>
            </w:r>
          </w:p>
        </w:tc>
        <w:tc>
          <w:tcPr>
            <w:tcW w:w="1000" w:type="pct"/>
            <w:tcBorders>
              <w:top w:val="single" w:sz="6" w:space="0" w:color="000000"/>
              <w:left w:val="single" w:sz="6" w:space="0" w:color="000000"/>
              <w:bottom w:val="single" w:sz="6" w:space="0" w:color="000000"/>
              <w:right w:val="single" w:sz="6" w:space="0" w:color="000000"/>
            </w:tcBorders>
            <w:shd w:val="clear" w:color="auto" w:fill="D3D3D3"/>
            <w:noWrap w:val="0"/>
            <w:tcMar>
              <w:top w:w="22" w:type="dxa"/>
              <w:left w:w="22" w:type="dxa"/>
              <w:bottom w:w="22" w:type="dxa"/>
              <w:right w:w="22" w:type="dxa"/>
            </w:tcMar>
            <w:vAlign w:val="center"/>
            <w:hideMark/>
          </w:tcPr>
          <w:p>
            <w:pPr>
              <w:jc w:val="center"/>
              <w:rPr>
                <w:rFonts w:ascii="仿宋_GB2312" w:eastAsia="仿宋_GB2312" w:hAnsi="仿宋_GB2312" w:cs="仿宋_GB2312"/>
                <w:b/>
                <w:bCs/>
                <w:i w:val="0"/>
                <w:iCs w:val="0"/>
                <w:smallCaps w:val="0"/>
                <w:color w:val="000000"/>
                <w:sz w:val="21"/>
                <w:szCs w:val="21"/>
              </w:rPr>
            </w:pPr>
            <w:r>
              <w:rPr>
                <w:rFonts w:ascii="仿宋_GB2312" w:eastAsia="仿宋_GB2312" w:hAnsi="仿宋_GB2312" w:cs="仿宋_GB2312"/>
                <w:b/>
                <w:bCs/>
                <w:i w:val="0"/>
                <w:iCs w:val="0"/>
                <w:smallCaps w:val="0"/>
                <w:color w:val="000000"/>
                <w:sz w:val="21"/>
                <w:szCs w:val="21"/>
              </w:rPr>
              <w:t>付款比例(%)</w:t>
            </w:r>
          </w:p>
        </w:tc>
      </w:tr>
      <w:tr>
        <w:tblPrEx>
          <w:tblW w:w="5000" w:type="pct"/>
          <w:tblInd w:w="30" w:type="dxa"/>
          <w:tblCellMar>
            <w:top w:w="15" w:type="dxa"/>
            <w:left w:w="15" w:type="dxa"/>
            <w:bottom w:w="15" w:type="dxa"/>
            <w:right w:w="15" w:type="dxa"/>
          </w:tblCellMar>
        </w:tblPrEx>
        <w:tc>
          <w:tcPr>
            <w:tcW w:w="79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付款</w:t>
            </w:r>
          </w:p>
        </w:tc>
        <w:tc>
          <w:tcPr>
            <w:tcW w:w="229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结算要求：本项目所有配送价格以农副产品--民生物价公示系统(网址：http://117.141.2.144:8085/home）中的各类食材品种的每日价格均价（不含超市价格）或附件2规定的上控单价为依据，将民生物价公示系统均价或附件2规定的上控单价乘以（1-下浮系数）确定各类食材核定价（周末没有价格公示，将延续周五的价格进行结算）。即：各类食材核定价=民生物价公示系统均价或附件2规定的上控单价×（1-下浮系数），每月按照公对公账户方式进行结算。 注： ①如食材不在民生物价公示系统的公示范围内，则以附件2确定的上控单价为基准计算各类食材核定价。 ②如果所购的食材品种不在民生物价公示系统或附件2规定的范围内，则参考淡村市场价格为准，由采购人和中标人以市场调查价格的方式确定。 ③如中标人价格超出合理范畴，将以采购人办公室或膳食管理监督小组市场调研的价格为标准，核定供货价格。 （2）付款方式： 项目不设预付款。中标人应于次月5个工作日前，向采购人提交当月的结算账单。账单内容需包括但不限于食材清单、数量、单位、单价及小计、总计等详细信息。采购人在收到结算账单之日起10个工作日内完成核对工作。 采购人付款前，中标人应向采购人开具等额有效的增值税发票，采购人收到发票后10个工作日内将合同款项支付到合同约定的中标人账户；采购人未收到合格发票的，有权不予支付，并不承担延迟付款责任。</w:t>
            </w:r>
          </w:p>
        </w:tc>
        <w:tc>
          <w:tcPr>
            <w:tcW w:w="79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jc w:val="left"/>
              <w:rPr>
                <w:rFonts w:ascii="仿宋_GB2312" w:eastAsia="仿宋_GB2312" w:hAnsi="仿宋_GB2312" w:cs="仿宋_GB2312"/>
                <w:b w:val="0"/>
                <w:bCs w:val="0"/>
                <w:i w:val="0"/>
                <w:iCs w:val="0"/>
                <w:smallCaps w:val="0"/>
                <w:color w:val="000000"/>
                <w:sz w:val="21"/>
                <w:szCs w:val="21"/>
              </w:rPr>
            </w:pPr>
            <w:r>
              <w:rPr>
                <w:rFonts w:ascii="仿宋_GB2312" w:eastAsia="仿宋_GB2312" w:hAnsi="仿宋_GB2312" w:cs="仿宋_GB2312"/>
                <w:b w:val="0"/>
                <w:bCs w:val="0"/>
                <w:i w:val="0"/>
                <w:iCs w:val="0"/>
                <w:smallCaps w:val="0"/>
                <w:color w:val="000000"/>
                <w:sz w:val="21"/>
                <w:szCs w:val="21"/>
              </w:rPr>
              <w:t>100.0</w:t>
            </w:r>
          </w:p>
        </w:tc>
      </w:tr>
    </w:tbl>
    <w:p>
      <w:pPr>
        <w:pStyle w:val="Heading2"/>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i w:val="0"/>
          <w:iCs w:val="0"/>
        </w:rPr>
        <w:t>8.3其他要求</w:t>
      </w:r>
    </w:p>
    <w:p>
      <w:pPr>
        <w:pStyle w:val="Heading3"/>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sz w:val="28"/>
          <w:szCs w:val="28"/>
        </w:rPr>
        <w:t>8.3.1保密要求</w:t>
      </w:r>
    </w:p>
    <w:p>
      <w:pPr>
        <w:spacing w:before="0" w:after="0" w:line="360" w:lineRule="auto"/>
        <w:rPr>
          <w:rFonts w:ascii="FangSong_GB2312" w:eastAsia="FangSong_GB2312" w:hAnsi="FangSong_GB2312" w:cs="FangSong_GB2312"/>
          <w:sz w:val="28"/>
          <w:szCs w:val="28"/>
        </w:rPr>
      </w:pPr>
      <w:r>
        <w:rPr>
          <w:rFonts w:ascii="FangSong_GB2312" w:eastAsia="FangSong_GB2312" w:hAnsi="FangSong_GB2312" w:cs="FangSong_GB2312"/>
          <w:sz w:val="28"/>
          <w:szCs w:val="28"/>
        </w:rPr>
        <w:t>无</w:t>
      </w:r>
    </w:p>
    <w:p>
      <w:pPr>
        <w:pStyle w:val="Heading3"/>
        <w:keepNext w:val="0"/>
        <w:spacing w:before="0" w:after="0" w:line="360" w:lineRule="auto"/>
        <w:rPr>
          <w:rFonts w:ascii="仿宋_GB2312" w:eastAsia="仿宋_GB2312" w:hAnsi="仿宋_GB2312" w:cs="仿宋_GB2312"/>
          <w:b/>
          <w:bCs/>
          <w:sz w:val="28"/>
          <w:szCs w:val="28"/>
        </w:rPr>
      </w:pPr>
      <w:r>
        <w:rPr>
          <w:rFonts w:ascii="仿宋_GB2312" w:eastAsia="仿宋_GB2312" w:hAnsi="仿宋_GB2312" w:cs="仿宋_GB2312"/>
          <w:sz w:val="28"/>
          <w:szCs w:val="28"/>
        </w:rPr>
        <w:t>8.3.2知识产权要求</w:t>
      </w:r>
    </w:p>
    <w:p>
      <w:pPr>
        <w:spacing w:before="0" w:after="0" w:line="360" w:lineRule="auto"/>
        <w:rPr>
          <w:rFonts w:ascii="FangSong_GB2312" w:eastAsia="FangSong_GB2312" w:hAnsi="FangSong_GB2312" w:cs="FangSong_GB2312"/>
          <w:sz w:val="28"/>
          <w:szCs w:val="28"/>
        </w:rPr>
      </w:pPr>
      <w:r>
        <w:rPr>
          <w:rFonts w:ascii="FangSong_GB2312" w:eastAsia="FangSong_GB2312" w:hAnsi="FangSong_GB2312" w:cs="FangSong_GB2312"/>
          <w:sz w:val="28"/>
          <w:szCs w:val="28"/>
        </w:rPr>
        <w:t>无</w:t>
      </w:r>
    </w:p>
    <w:p>
      <w:pPr>
        <w:spacing w:before="0" w:after="0" w:line="360" w:lineRule="auto"/>
        <w:jc w:val="left"/>
      </w:pPr>
    </w:p>
    <w:sectPr>
      <w:footerReference w:type="default" r:id="rId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line="360" w:lineRule="auto"/>
      <w:jc w:val="center"/>
    </w:pPr>
    <w:r>
      <w:fldChar w:fldCharType="begin"/>
    </w:r>
    <w:r>
      <w:instrText xml:space="preserve"> PAGE </w:instrText>
    </w:r>
    <w:r>
      <w:fldChar w:fldCharType="separate"/>
    </w:r>
    <w:r>
      <w:t>15</w:t>
    </w:r>
    <w: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qFormat/>
    <w:rsid w:val="00EF7B96"/>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MsoNormal">
    <w:name w:val="MsoNormal"/>
    <w:basedOn w:val="Normal"/>
  </w:style>
  <w:style w:type="paragraph" w:customStyle="1" w:styleId="15">
    <w:name w:val="15"/>
    <w:basedOn w:val="Normal"/>
  </w:style>
  <w:style w:type="paragraph" w:styleId="TOC1">
    <w:name w:val="toc 1"/>
    <w:basedOn w:val="Normal"/>
    <w:next w:val="Normal"/>
    <w:autoRedefine/>
    <w:rsid w:val="00805BCE"/>
  </w:style>
  <w:style w:type="character" w:styleId="Hyperlink">
    <w:name w:val="Hyperlink"/>
    <w:basedOn w:val="DefaultParagraphFont"/>
    <w:rsid w:val="00EF7B96"/>
    <w:rPr>
      <w:color w:val="0000FF"/>
      <w:u w:val="single"/>
    </w:rPr>
  </w:style>
  <w:style w:type="paragraph" w:styleId="TOC2">
    <w:name w:val="toc 2"/>
    <w:basedOn w:val="Normal"/>
    <w:next w:val="Normal"/>
    <w:autoRedefine/>
    <w:rsid w:val="00805BCE"/>
    <w:pPr>
      <w:ind w:left="240"/>
    </w:pPr>
  </w:style>
  <w:style w:type="paragraph" w:styleId="TOC3">
    <w:name w:val="toc 3"/>
    <w:basedOn w:val="Normal"/>
    <w:next w:val="Normal"/>
    <w:autoRedefine/>
    <w:rsid w:val="00805BCE"/>
    <w:pPr>
      <w:ind w:left="48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TotalTime>0</TotalTime>
  <Pages>15</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