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165F0B">
        <w:rPr>
          <w:rFonts w:ascii="仿宋_GB2312" w:eastAsia="仿宋_GB2312" w:hint="eastAsia"/>
          <w:color w:val="000000" w:themeColor="text1"/>
          <w:spacing w:val="20"/>
          <w:sz w:val="32"/>
        </w:rPr>
        <w:t>86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BE7D2B">
      <w:pPr>
        <w:jc w:val="center"/>
        <w:rPr>
          <w:rFonts w:ascii="仿宋_GB2312" w:eastAsia="仿宋_GB2312"/>
          <w:sz w:val="24"/>
        </w:rPr>
      </w:pPr>
      <w:r w:rsidRPr="00BE7D2B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544BF6">
      <w:pPr>
        <w:rPr>
          <w:rFonts w:ascii="仿宋_GB2312" w:eastAsia="仿宋_GB2312" w:hAnsi="华文中宋"/>
          <w:sz w:val="32"/>
          <w:szCs w:val="32"/>
        </w:rPr>
      </w:pPr>
      <w:r w:rsidRPr="003A26AC">
        <w:rPr>
          <w:rFonts w:ascii="仿宋_GB2312" w:eastAsia="仿宋_GB2312" w:hAnsi="华文中宋" w:hint="eastAsia"/>
          <w:sz w:val="32"/>
          <w:szCs w:val="32"/>
        </w:rPr>
        <w:t>广西南宁弩安绮建材有限公司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根据《中华人民共和国税收征收管理法》第五十四条规定，决定派滕斌、蒋宇新等2人，自2018年10月17日起对你公司2017年</w:t>
      </w:r>
      <w:r w:rsidR="00544BF6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544BF6">
        <w:rPr>
          <w:rFonts w:ascii="仿宋_GB2312" w:eastAsia="仿宋_GB2312" w:hint="eastAsia"/>
          <w:sz w:val="32"/>
        </w:rPr>
        <w:t>17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165F0B"/>
    <w:rsid w:val="00224D5F"/>
    <w:rsid w:val="00393F9B"/>
    <w:rsid w:val="00544BF6"/>
    <w:rsid w:val="00BE7D2B"/>
    <w:rsid w:val="00D4310B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