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宋体"/>
          <w:sz w:val="44"/>
          <w:szCs w:val="44"/>
          <w:lang w:eastAsia="zh-CN"/>
        </w:rPr>
      </w:pPr>
      <w:r>
        <w:rPr>
          <w:rFonts w:hint="eastAsia"/>
          <w:sz w:val="44"/>
          <w:szCs w:val="44"/>
          <w:lang w:eastAsia="zh-CN"/>
        </w:rPr>
        <w:t>国家税务总局南宁市税务局稽查局</w:t>
      </w:r>
    </w:p>
    <w:p>
      <w:pPr>
        <w:pStyle w:val="4"/>
        <w:rPr>
          <w:rFonts w:hint="eastAsia"/>
          <w:sz w:val="52"/>
          <w:szCs w:val="52"/>
        </w:rPr>
      </w:pPr>
      <w:r>
        <w:rPr>
          <w:rFonts w:hint="eastAsia"/>
          <w:sz w:val="52"/>
          <w:szCs w:val="52"/>
        </w:rPr>
        <w:t>税务事项通知书</w:t>
      </w:r>
    </w:p>
    <w:p>
      <w:pPr>
        <w:pStyle w:val="4"/>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191</w:t>
      </w:r>
      <w:r>
        <w:rPr>
          <w:rFonts w:hint="eastAsia" w:ascii="仿宋" w:hAnsi="仿宋" w:eastAsia="仿宋"/>
          <w:b w:val="0"/>
          <w:color w:val="000000"/>
          <w:kern w:val="2"/>
          <w:sz w:val="32"/>
          <w:szCs w:val="32"/>
          <w:lang w:eastAsia="zh-CN"/>
        </w:rPr>
        <w:t xml:space="preserve"> 号</w:t>
      </w:r>
    </w:p>
    <w:p>
      <w:pPr>
        <w:pStyle w:val="4"/>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r>
        <w:rPr>
          <w:rFonts w:hint="eastAsia" w:ascii="仿宋" w:hAnsi="仿宋" w:eastAsia="仿宋"/>
          <w:color w:val="000000"/>
          <w:spacing w:val="-20"/>
          <w:kern w:val="10"/>
          <w:sz w:val="32"/>
          <w:szCs w:val="32"/>
          <w:lang w:eastAsia="zh-CN"/>
        </w:rPr>
        <w:t>广西俊彬酒店管理有限公司</w:t>
      </w:r>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91450100MACJ91M599</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w:t>
      </w:r>
      <w:bookmarkStart w:id="0" w:name="_GoBack"/>
      <w:bookmarkEnd w:id="0"/>
      <w:r>
        <w:rPr>
          <w:rFonts w:hint="eastAsia" w:ascii="仿宋" w:hAnsi="仿宋" w:eastAsia="仿宋"/>
          <w:color w:val="000000"/>
          <w:sz w:val="32"/>
          <w:szCs w:val="32"/>
          <w:lang w:eastAsia="zh-CN"/>
        </w:rPr>
        <w:t>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2023年5月31日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7B95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