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4"/>
          <w:sz w:val="52"/>
          <w:szCs w:val="52"/>
          <w:lang w:eastAsia="zh-CN"/>
        </w:rPr>
        <w:t>二</w:t>
      </w:r>
      <w:r>
        <w:rPr>
          <w:rFonts w:hint="eastAsia" w:ascii="华文中宋" w:hAnsi="华文中宋" w:eastAsia="华文中宋" w:cs="华文中宋"/>
          <w:b/>
          <w:bCs/>
          <w:color w:val="auto"/>
          <w:spacing w:val="-24"/>
          <w:sz w:val="52"/>
          <w:szCs w:val="52"/>
        </w:rPr>
        <w:t>稽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color w:val="auto"/>
          <w:spacing w:val="2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pacing w:val="20"/>
          <w:sz w:val="32"/>
        </w:rPr>
        <w:t>稽</w:t>
      </w:r>
      <w:r>
        <w:rPr>
          <w:rFonts w:hint="eastAsia" w:ascii="仿宋_GB2312" w:eastAsia="仿宋_GB2312"/>
          <w:spacing w:val="20"/>
          <w:sz w:val="32"/>
        </w:rPr>
        <w:t>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26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广西新鹏展能源贸易有限公司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纳税人识别号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91450221052745557X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7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对你公司（地址：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南宁市西乡塘区高新大道南宁安吉万达广场2栋427号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2023年12月1日</w:t>
      </w:r>
      <w:r>
        <w:rPr>
          <w:rFonts w:hint="eastAsia" w:ascii="仿宋_GB2312" w:hAnsi="宋体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你公司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1.取得增值税专用发票情况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根据协查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主管局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查询增值税底账系统和查询大数据分析应用集成平台系统，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取得增值税专用发票情况如下：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（1）你公司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2022年10月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-11月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取得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203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份增值税专用发票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发票代码：3700213130，发票号码：16982000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16984526—16984589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16196415—16196446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21299676—21299749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21402278—21402309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货物名称为*有机化学原料*混合二甲苯、*有机化学原料*己烷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*有机化学原料*甲基叔丁基醚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，开票单位名称为山东龙兴明石油化工有限公司， 发票金额19980478.09元，税额2597461.81元，价税合计22577939.9元。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（2）你公司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2023年3月取得1268份增值税专用发票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发票代码：4200213130，发票号码：10072312—10072334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发票代码：4200221130，发票号码：10661725—10661737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01686336—01686408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01689239—01689813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01707099—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01707116、01707860-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01707914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10220410—10220431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10349812—10349816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、00298634、00298640；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发票代码：3300224130，发票号码：35855359—35855468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52890001—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52890017、52890051-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52890200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发票代码：3600222130，发票号码：08403211—08403235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13570736—13570935，货物名称为*有机化学原料*二甲苯、*有机化学原料*异戊烷、*有机化学原料*甲基叔丁基醚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，开票单位名称为湖北南洋能源科技有限公司、湖北佰望供应链有限公司、湖北南信新能源有限公司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等，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发票金额233004433.63元，税额29698979.91元，价税合计262703413.54元。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2.领用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发票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7" w:firstLineChars="196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2022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月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2023年3月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向主管税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务机关领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425份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发票代码4500222130，发票号码03926441-03926550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发票代码4500221130，发票号码10278745-10278844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发票代码4500221130，发票号码10242724-10242738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发票代码4500222130，发票号码09742632-09742639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发票代码4500231130，发票号码00290090-00290281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.开具增值税专用发票情况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2022年10月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-12月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开具增值税专用发票共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份，发票代码：4500221130，发票号码10242724—10242738，发票代码：4500221130，发票号码10278748—10278754，开具发票金额：6222154.89元，税额808880.11元，价税合计7031035元，货物名称：*有机化学原料*乙烷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*有机化学原料*二甲苯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受票单位为柳州市展成化工有限公司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柳州东城石油化工有限公司，以上开票金额已进行申报。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2023年2月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-3月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开具增值税专用发票共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314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份，发票代码：4500221130，发票号码10278755—10278757，发票代码：4500221130，发票号码10278758—10278844，发票代码：4500222130，发票号码03926441—03926550，发票代码：4500231130，发票号码00290090—00290218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开具发票金额：266055245.67元，税额34587182.04元，价税合计300642427.71元，货物名称：*有机化学原料*甲基叔丁基醚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*有机化学原料*异戊烷、*有色金属冶炼压延品*锌锭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，受票单位为柳州东城石油化工有限公司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广西东展供应链有限公司、上海连琪供应链有限公司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，以上开票金额已进行申报，未缴税。</w:t>
      </w:r>
    </w:p>
    <w:p>
      <w:pPr>
        <w:pStyle w:val="2"/>
        <w:ind w:firstLine="640" w:firstLineChars="200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10月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-202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3月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期间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共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作废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增值税专用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发票18份，作废发票代码：4500221130，发票号码：10278745-10278747、10278818-10278827、03926458-03926462。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综上，你公司2022年10月-2023年3月期间，共领用增值税专用发票425份，开具增值税专用发票336份，作废18份，应结余71份，结余发票状态为失控发票，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发票代码：4500222130，发票号码：09742632-09742639，发票代码：4500231130，发票代码：4500222130发票号码：00290218-00290281。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.银行账户资金检查情况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经查你公司曾向主管局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提供的银行转账流水账号：中国建设银行广西壮族自治区分行3</w:t>
      </w:r>
      <w:r>
        <w:rPr>
          <w:rFonts w:hint="eastAsia" w:ascii="仿宋_GB2312" w:eastAsia="仿宋_GB2312" w:cs="Times New Roman"/>
          <w:color w:val="auto"/>
          <w:sz w:val="32"/>
          <w:lang w:val="en-US" w:eastAsia="zh-CN"/>
        </w:rPr>
        <w:t>xxxxxxxxxxxxxxxxxx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 xml:space="preserve">8，银行回复该账号无资金交易流水。         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  <w:t>综上，你公司已走逃失联,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注册地址、生产经营地址虚假、银行账号无资金交易流水</w:t>
      </w:r>
      <w:r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你公司注册地变更到南宁后开具的上述336份增值税专用发票为虚开发票，</w:t>
      </w:r>
      <w:r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  <w:t>属于开具与实际经营业务情况不符的增值税专用发票行为，违反了《中华人民共和国发票管理办法》（财政部令第6号发布，国务院令第709号修订）第二十二条第一款、第二款第（一）项，属于虚开发票行为。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56" w:firstLineChars="20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根据《中华人民共和国发票管理办法》（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财政部令第6号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发布，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国务院令第709号修订</w:t>
      </w:r>
      <w:r>
        <w:rPr>
          <w:rFonts w:hint="eastAsia" w:ascii="仿宋_GB2312" w:hAnsi="宋体" w:eastAsia="仿宋_GB2312"/>
          <w:sz w:val="32"/>
          <w:szCs w:val="32"/>
        </w:rPr>
        <w:t>）第三十七条第一款的规定，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前述违法行为符合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《国家税务总局广西壮族自治区税务局关于修订&lt;广西壮族自治区税务行政处罚裁量基准&gt;的公告》（国家税务总局广西壮族自治区税务局公告20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号）第38项规定的“特别严重”裁量阶次适用条件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拟对你公司虚开发票行为处以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50</w:t>
      </w:r>
      <w:r>
        <w:rPr>
          <w:rFonts w:hint="eastAsia" w:ascii="仿宋_GB2312" w:eastAsia="仿宋_GB2312"/>
          <w:color w:val="auto"/>
          <w:sz w:val="32"/>
        </w:rPr>
        <w:t>0000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.00</w:t>
      </w:r>
      <w:r>
        <w:rPr>
          <w:rFonts w:hint="eastAsia" w:ascii="仿宋_GB2312" w:hAnsi="宋体" w:eastAsia="仿宋_GB2312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val="en-US" w:eastAsia="zh-CN"/>
        </w:rPr>
        <w:t>九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三十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479" w:rightChars="22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24" w:leftChars="20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C11010"/>
    <w:rsid w:val="01F91F67"/>
    <w:rsid w:val="02D23AF2"/>
    <w:rsid w:val="032531DD"/>
    <w:rsid w:val="036662DD"/>
    <w:rsid w:val="03A716B4"/>
    <w:rsid w:val="040C624D"/>
    <w:rsid w:val="04B9256A"/>
    <w:rsid w:val="05B13D4E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C9A3DD8"/>
    <w:rsid w:val="0D363AEB"/>
    <w:rsid w:val="0D746EE5"/>
    <w:rsid w:val="0D910D4F"/>
    <w:rsid w:val="0D983558"/>
    <w:rsid w:val="0DA24D05"/>
    <w:rsid w:val="0E2C3B17"/>
    <w:rsid w:val="100837FF"/>
    <w:rsid w:val="10090B08"/>
    <w:rsid w:val="109F1F03"/>
    <w:rsid w:val="112E51CE"/>
    <w:rsid w:val="11783F0C"/>
    <w:rsid w:val="123230C2"/>
    <w:rsid w:val="12325DD7"/>
    <w:rsid w:val="12E33EE0"/>
    <w:rsid w:val="12EB67DB"/>
    <w:rsid w:val="135A34AA"/>
    <w:rsid w:val="13AD2836"/>
    <w:rsid w:val="13E2620E"/>
    <w:rsid w:val="14120EBE"/>
    <w:rsid w:val="142401A9"/>
    <w:rsid w:val="14292D92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331A98"/>
    <w:rsid w:val="1A88036A"/>
    <w:rsid w:val="1B622311"/>
    <w:rsid w:val="1C155B85"/>
    <w:rsid w:val="1C9D01EE"/>
    <w:rsid w:val="1CAC34DB"/>
    <w:rsid w:val="1CEF4D57"/>
    <w:rsid w:val="1D6F1AC8"/>
    <w:rsid w:val="1D915A39"/>
    <w:rsid w:val="1EAF31B5"/>
    <w:rsid w:val="1F203468"/>
    <w:rsid w:val="1F4278AB"/>
    <w:rsid w:val="1F566938"/>
    <w:rsid w:val="1FF54795"/>
    <w:rsid w:val="20355F90"/>
    <w:rsid w:val="209D5005"/>
    <w:rsid w:val="20B77904"/>
    <w:rsid w:val="21373440"/>
    <w:rsid w:val="217F77B4"/>
    <w:rsid w:val="218106EF"/>
    <w:rsid w:val="22212BAD"/>
    <w:rsid w:val="2467610C"/>
    <w:rsid w:val="247D4C57"/>
    <w:rsid w:val="252B65CF"/>
    <w:rsid w:val="25BA02C0"/>
    <w:rsid w:val="25F23F1C"/>
    <w:rsid w:val="26B06C4E"/>
    <w:rsid w:val="26B66B0B"/>
    <w:rsid w:val="27B10378"/>
    <w:rsid w:val="280C1DA7"/>
    <w:rsid w:val="292D673D"/>
    <w:rsid w:val="29515DC4"/>
    <w:rsid w:val="297C4320"/>
    <w:rsid w:val="29B8261D"/>
    <w:rsid w:val="29FE5D43"/>
    <w:rsid w:val="2A052307"/>
    <w:rsid w:val="2A1E5210"/>
    <w:rsid w:val="2A985477"/>
    <w:rsid w:val="2B38783A"/>
    <w:rsid w:val="2B64004E"/>
    <w:rsid w:val="2BFA35B0"/>
    <w:rsid w:val="2BFC411D"/>
    <w:rsid w:val="2C106849"/>
    <w:rsid w:val="2DA72E6F"/>
    <w:rsid w:val="2DE90B32"/>
    <w:rsid w:val="2E2118F8"/>
    <w:rsid w:val="2E9A7890"/>
    <w:rsid w:val="2EBD729A"/>
    <w:rsid w:val="2F556804"/>
    <w:rsid w:val="2FE71F0E"/>
    <w:rsid w:val="30590A81"/>
    <w:rsid w:val="30B21D77"/>
    <w:rsid w:val="30D6621A"/>
    <w:rsid w:val="31451E0E"/>
    <w:rsid w:val="31662B18"/>
    <w:rsid w:val="32B450D0"/>
    <w:rsid w:val="332B61DD"/>
    <w:rsid w:val="33F428B9"/>
    <w:rsid w:val="349D29D0"/>
    <w:rsid w:val="352C2090"/>
    <w:rsid w:val="352C370A"/>
    <w:rsid w:val="35915284"/>
    <w:rsid w:val="374A6DCF"/>
    <w:rsid w:val="37CF7C04"/>
    <w:rsid w:val="380B72F5"/>
    <w:rsid w:val="383D3737"/>
    <w:rsid w:val="386A7CAC"/>
    <w:rsid w:val="39641191"/>
    <w:rsid w:val="39AB1422"/>
    <w:rsid w:val="39AB4B2D"/>
    <w:rsid w:val="39F6757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987551"/>
    <w:rsid w:val="3EBC51A2"/>
    <w:rsid w:val="3EEE0973"/>
    <w:rsid w:val="3F4D7DEE"/>
    <w:rsid w:val="3F593763"/>
    <w:rsid w:val="405358E9"/>
    <w:rsid w:val="40B72FD7"/>
    <w:rsid w:val="42396621"/>
    <w:rsid w:val="426F6FB8"/>
    <w:rsid w:val="427D130E"/>
    <w:rsid w:val="42CE2DA5"/>
    <w:rsid w:val="43BB0EF9"/>
    <w:rsid w:val="44761FAC"/>
    <w:rsid w:val="455B1A34"/>
    <w:rsid w:val="464E7728"/>
    <w:rsid w:val="472C3489"/>
    <w:rsid w:val="477206D5"/>
    <w:rsid w:val="47D0556C"/>
    <w:rsid w:val="488F31EA"/>
    <w:rsid w:val="488F4CFA"/>
    <w:rsid w:val="48A35DDC"/>
    <w:rsid w:val="49FE1548"/>
    <w:rsid w:val="4A335934"/>
    <w:rsid w:val="4A51220B"/>
    <w:rsid w:val="4B2140DF"/>
    <w:rsid w:val="4B93262E"/>
    <w:rsid w:val="4C3208C5"/>
    <w:rsid w:val="4C374ECB"/>
    <w:rsid w:val="4C914CCE"/>
    <w:rsid w:val="4CD46A77"/>
    <w:rsid w:val="4CD92A87"/>
    <w:rsid w:val="4E034E06"/>
    <w:rsid w:val="507D0AF4"/>
    <w:rsid w:val="50EB6096"/>
    <w:rsid w:val="50EE2AA6"/>
    <w:rsid w:val="50FE688E"/>
    <w:rsid w:val="513221E8"/>
    <w:rsid w:val="51DA3205"/>
    <w:rsid w:val="521A5812"/>
    <w:rsid w:val="536D6420"/>
    <w:rsid w:val="54D02729"/>
    <w:rsid w:val="54DD26E9"/>
    <w:rsid w:val="5545214E"/>
    <w:rsid w:val="55E27662"/>
    <w:rsid w:val="55E44EFE"/>
    <w:rsid w:val="5641677F"/>
    <w:rsid w:val="56B1612C"/>
    <w:rsid w:val="58035F48"/>
    <w:rsid w:val="581241F8"/>
    <w:rsid w:val="583A07DE"/>
    <w:rsid w:val="58786E18"/>
    <w:rsid w:val="588772D4"/>
    <w:rsid w:val="58E72D20"/>
    <w:rsid w:val="58F51D5C"/>
    <w:rsid w:val="59093F64"/>
    <w:rsid w:val="591B081F"/>
    <w:rsid w:val="5B1D16A1"/>
    <w:rsid w:val="5BF212F0"/>
    <w:rsid w:val="5C0A73BE"/>
    <w:rsid w:val="5D6178E7"/>
    <w:rsid w:val="5DDF53B8"/>
    <w:rsid w:val="5DEB57F9"/>
    <w:rsid w:val="5E101302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4931B8C"/>
    <w:rsid w:val="658D299A"/>
    <w:rsid w:val="65F47442"/>
    <w:rsid w:val="678F0CD2"/>
    <w:rsid w:val="67F00980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6FCF6DB4"/>
    <w:rsid w:val="70FF09AE"/>
    <w:rsid w:val="71446558"/>
    <w:rsid w:val="715A1175"/>
    <w:rsid w:val="71ED792D"/>
    <w:rsid w:val="72242916"/>
    <w:rsid w:val="726365BA"/>
    <w:rsid w:val="727A0C08"/>
    <w:rsid w:val="72926130"/>
    <w:rsid w:val="72DE5F13"/>
    <w:rsid w:val="735209E0"/>
    <w:rsid w:val="74607375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34AF1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9"/>
    <w:qFormat/>
    <w:uiPriority w:val="0"/>
    <w:pPr>
      <w:spacing w:after="120"/>
    </w:pPr>
    <w:rPr>
      <w:szCs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Document Map"/>
    <w:basedOn w:val="1"/>
    <w:link w:val="38"/>
    <w:semiHidden/>
    <w:qFormat/>
    <w:uiPriority w:val="0"/>
    <w:pPr>
      <w:shd w:val="clear" w:color="auto" w:fill="000080"/>
    </w:pPr>
    <w:rPr>
      <w:szCs w:val="24"/>
    </w:rPr>
  </w:style>
  <w:style w:type="paragraph" w:styleId="7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link w:val="41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9">
    <w:name w:val="Balloon Text"/>
    <w:basedOn w:val="1"/>
    <w:link w:val="40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7">
    <w:name w:val="页眉 Char"/>
    <w:link w:val="11"/>
    <w:qFormat/>
    <w:uiPriority w:val="0"/>
    <w:rPr>
      <w:sz w:val="18"/>
      <w:szCs w:val="18"/>
    </w:rPr>
  </w:style>
  <w:style w:type="character" w:customStyle="1" w:styleId="18">
    <w:name w:val="页脚 Char"/>
    <w:link w:val="10"/>
    <w:qFormat/>
    <w:uiPriority w:val="0"/>
    <w:rPr>
      <w:sz w:val="18"/>
      <w:szCs w:val="18"/>
    </w:rPr>
  </w:style>
  <w:style w:type="character" w:customStyle="1" w:styleId="19">
    <w:name w:val="页眉 Char1"/>
    <w:basedOn w:val="15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1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Char Char Char"/>
    <w:basedOn w:val="1"/>
    <w:qFormat/>
    <w:uiPriority w:val="0"/>
    <w:rPr>
      <w:szCs w:val="24"/>
    </w:rPr>
  </w:style>
  <w:style w:type="character" w:customStyle="1" w:styleId="22">
    <w:name w:val="font31"/>
    <w:basedOn w:val="15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3">
    <w:name w:val="font51"/>
    <w:basedOn w:val="15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4">
    <w:name w:val="font111"/>
    <w:basedOn w:val="1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5">
    <w:name w:val="font121"/>
    <w:basedOn w:val="15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6">
    <w:name w:val="font101"/>
    <w:basedOn w:val="15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61"/>
    <w:basedOn w:val="15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8">
    <w:name w:val="font151"/>
    <w:basedOn w:val="1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41"/>
    <w:basedOn w:val="15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30">
    <w:name w:val="font161"/>
    <w:basedOn w:val="15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31">
    <w:name w:val="font131"/>
    <w:basedOn w:val="15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2">
    <w:name w:val="font21"/>
    <w:basedOn w:val="15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3">
    <w:name w:val="标题 1 Char"/>
    <w:basedOn w:val="15"/>
    <w:link w:val="4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4">
    <w:name w:val="纯文本 Char"/>
    <w:link w:val="7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font1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content1"/>
    <w:basedOn w:val="15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7">
    <w:name w:val="Char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文档结构图 Char"/>
    <w:basedOn w:val="15"/>
    <w:link w:val="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9">
    <w:name w:val="正文文本 Char"/>
    <w:basedOn w:val="15"/>
    <w:link w:val="2"/>
    <w:qFormat/>
    <w:uiPriority w:val="0"/>
    <w:rPr>
      <w:kern w:val="2"/>
      <w:sz w:val="21"/>
      <w:szCs w:val="24"/>
    </w:rPr>
  </w:style>
  <w:style w:type="character" w:customStyle="1" w:styleId="40">
    <w:name w:val="批注框文本 Char"/>
    <w:basedOn w:val="15"/>
    <w:link w:val="9"/>
    <w:semiHidden/>
    <w:qFormat/>
    <w:uiPriority w:val="0"/>
    <w:rPr>
      <w:kern w:val="2"/>
      <w:sz w:val="18"/>
      <w:szCs w:val="18"/>
    </w:rPr>
  </w:style>
  <w:style w:type="character" w:customStyle="1" w:styleId="41">
    <w:name w:val="正文文本缩进 2 Char"/>
    <w:basedOn w:val="15"/>
    <w:link w:val="8"/>
    <w:qFormat/>
    <w:uiPriority w:val="0"/>
    <w:rPr>
      <w:kern w:val="2"/>
      <w:sz w:val="28"/>
      <w:szCs w:val="24"/>
    </w:rPr>
  </w:style>
  <w:style w:type="character" w:customStyle="1" w:styleId="42">
    <w:name w:val="纯文本 Char1"/>
    <w:basedOn w:val="15"/>
    <w:link w:val="7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3">
    <w:name w:val="Char"/>
    <w:basedOn w:val="1"/>
    <w:qFormat/>
    <w:uiPriority w:val="0"/>
    <w:rPr>
      <w:szCs w:val="24"/>
    </w:rPr>
  </w:style>
  <w:style w:type="paragraph" w:customStyle="1" w:styleId="44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5">
    <w:name w:val="Char1 Char Char Char"/>
    <w:basedOn w:val="6"/>
    <w:qFormat/>
    <w:uiPriority w:val="0"/>
    <w:rPr>
      <w:rFonts w:ascii="Tahoma" w:hAnsi="Tahoma"/>
      <w:sz w:val="24"/>
    </w:rPr>
  </w:style>
  <w:style w:type="paragraph" w:customStyle="1" w:styleId="46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9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检查一股</cp:lastModifiedBy>
  <cp:lastPrinted>2024-09-30T00:34:16Z</cp:lastPrinted>
  <dcterms:modified xsi:type="dcterms:W3CDTF">2024-09-30T00:37:36Z</dcterms:modified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