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w:t>
      </w:r>
      <w:r>
        <w:rPr>
          <w:rFonts w:hint="eastAsia" w:ascii="华文中宋" w:hAnsi="华文中宋" w:eastAsia="华文中宋" w:cs="华文中宋"/>
          <w:b/>
          <w:bCs/>
          <w:color w:val="auto"/>
          <w:spacing w:val="-24"/>
          <w:sz w:val="52"/>
          <w:szCs w:val="52"/>
        </w:rPr>
        <w:t>稽</w:t>
      </w:r>
      <w:r>
        <w:rPr>
          <w:rFonts w:hint="eastAsia" w:ascii="华文中宋" w:hAnsi="华文中宋" w:eastAsia="华文中宋" w:cs="华文中宋"/>
          <w:b/>
          <w:bCs/>
          <w:spacing w:val="-24"/>
          <w:sz w:val="52"/>
          <w:szCs w:val="52"/>
        </w:rPr>
        <w:t>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0868"/>
      <w:bookmarkStart w:id="2" w:name="_Toc33371261"/>
      <w:r>
        <w:rPr>
          <w:rFonts w:hint="eastAsia" w:ascii="仿宋_GB2312" w:eastAsia="仿宋_GB2312"/>
          <w:spacing w:val="20"/>
          <w:sz w:val="32"/>
          <w:szCs w:val="32"/>
        </w:rPr>
        <w:t>南市税</w:t>
      </w:r>
      <w:r>
        <w:rPr>
          <w:rFonts w:hint="eastAsia" w:ascii="仿宋_GB2312" w:eastAsia="仿宋_GB2312"/>
          <w:color w:val="auto"/>
          <w:spacing w:val="20"/>
          <w:sz w:val="32"/>
        </w:rPr>
        <w:t>稽</w:t>
      </w:r>
      <w:r>
        <w:rPr>
          <w:rFonts w:hint="eastAsia" w:ascii="仿宋_GB2312" w:eastAsia="仿宋_GB2312"/>
          <w:spacing w:val="20"/>
          <w:sz w:val="32"/>
        </w:rPr>
        <w:t>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eastAsia="仿宋_GB2312"/>
          <w:spacing w:val="20"/>
          <w:sz w:val="32"/>
          <w:lang w:val="en-US" w:eastAsia="zh-CN"/>
        </w:rPr>
        <w:t>10059</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20" w:lineRule="exact"/>
        <w:rPr>
          <w:rFonts w:hint="eastAsia" w:ascii="仿宋_GB2312" w:eastAsia="仿宋_GB2312"/>
          <w:color w:val="auto"/>
          <w:sz w:val="32"/>
          <w:szCs w:val="32"/>
        </w:rPr>
      </w:pPr>
      <w:r>
        <w:rPr>
          <w:rFonts w:hint="eastAsia" w:ascii="仿宋_GB2312" w:eastAsia="仿宋_GB2312"/>
          <w:color w:val="auto"/>
          <w:sz w:val="32"/>
          <w:szCs w:val="32"/>
          <w:lang w:eastAsia="zh-CN"/>
        </w:rPr>
        <w:t>南宁鸿川创伟餐饮管理有限公司</w:t>
      </w:r>
      <w:r>
        <w:rPr>
          <w:rFonts w:hint="eastAsia" w:ascii="仿宋_GB2312" w:eastAsia="仿宋_GB2312"/>
          <w:color w:val="auto"/>
          <w:sz w:val="32"/>
          <w:szCs w:val="32"/>
        </w:rPr>
        <w:t>（纳税人识别号：</w:t>
      </w:r>
      <w:r>
        <w:rPr>
          <w:rFonts w:hint="eastAsia" w:ascii="仿宋_GB2312" w:eastAsia="仿宋_GB2312"/>
          <w:color w:val="auto"/>
          <w:sz w:val="32"/>
          <w:szCs w:val="32"/>
          <w:lang w:eastAsia="zh-CN"/>
        </w:rPr>
        <w:t>91450108MAA7W5PY73</w:t>
      </w:r>
      <w:r>
        <w:rPr>
          <w:rFonts w:hint="eastAsia" w:ascii="仿宋_GB2312" w:eastAsia="仿宋_GB2312"/>
          <w:color w:val="auto"/>
          <w:sz w:val="32"/>
          <w:szCs w:val="32"/>
        </w:rPr>
        <w:t>）：</w:t>
      </w:r>
    </w:p>
    <w:p>
      <w:pPr>
        <w:spacing w:line="620" w:lineRule="exact"/>
        <w:ind w:firstLine="607"/>
        <w:rPr>
          <w:rFonts w:hint="eastAsia" w:ascii="仿宋_GB2312" w:eastAsia="仿宋_GB2312"/>
          <w:color w:val="auto"/>
          <w:sz w:val="32"/>
          <w:szCs w:val="32"/>
        </w:rPr>
      </w:pPr>
      <w:r>
        <w:rPr>
          <w:rFonts w:hint="eastAsia" w:ascii="仿宋_GB2312" w:eastAsia="仿宋_GB2312"/>
          <w:color w:val="auto"/>
          <w:sz w:val="32"/>
          <w:szCs w:val="32"/>
        </w:rPr>
        <w:t>对你公司（地址：中国（广西）自由贸易试验区南宁片区金龙路8号16号楼2层T1265号</w:t>
      </w:r>
      <w:r>
        <w:rPr>
          <w:rFonts w:hint="eastAsia" w:ascii="仿宋_GB2312" w:eastAsia="仿宋_GB2312"/>
          <w:color w:val="auto"/>
          <w:sz w:val="32"/>
          <w:szCs w:val="32"/>
          <w:lang w:eastAsia="zh-CN"/>
        </w:rPr>
        <w:t>）</w:t>
      </w:r>
      <w:r>
        <w:rPr>
          <w:rFonts w:hint="eastAsia" w:ascii="仿宋_GB2312" w:eastAsia="仿宋_GB2312"/>
          <w:color w:val="auto"/>
          <w:sz w:val="32"/>
          <w:szCs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hint="eastAsia" w:ascii="仿宋_GB2312" w:eastAsia="仿宋_GB2312"/>
          <w:color w:val="auto"/>
          <w:sz w:val="32"/>
          <w:szCs w:val="32"/>
        </w:rPr>
      </w:pPr>
      <w:r>
        <w:rPr>
          <w:rFonts w:hint="eastAsia" w:ascii="仿宋_GB2312" w:eastAsia="仿宋_GB2312"/>
          <w:color w:val="auto"/>
          <w:sz w:val="32"/>
          <w:szCs w:val="32"/>
        </w:rPr>
        <w:t xml:space="preserve">一、税务行政处罚的事实、理由、依据及拟作出的处罚决定:                                              </w:t>
      </w:r>
    </w:p>
    <w:p>
      <w:pPr>
        <w:spacing w:line="620" w:lineRule="exact"/>
        <w:ind w:firstLine="607"/>
        <w:rPr>
          <w:rFonts w:hint="eastAsia" w:ascii="仿宋_GB2312" w:eastAsia="仿宋_GB2312"/>
          <w:color w:val="auto"/>
          <w:sz w:val="32"/>
          <w:szCs w:val="32"/>
        </w:rPr>
      </w:pPr>
      <w:r>
        <w:rPr>
          <w:rFonts w:hint="eastAsia" w:ascii="仿宋_GB2312" w:eastAsia="仿宋_GB2312"/>
          <w:color w:val="auto"/>
          <w:sz w:val="32"/>
          <w:szCs w:val="32"/>
        </w:rPr>
        <w:t>（一）你公司属于走逃（失联）企业</w:t>
      </w:r>
    </w:p>
    <w:p>
      <w:pPr>
        <w:spacing w:line="620" w:lineRule="exact"/>
        <w:ind w:firstLine="607"/>
        <w:rPr>
          <w:rFonts w:hint="eastAsia" w:ascii="仿宋_GB2312" w:eastAsia="仿宋_GB2312"/>
          <w:color w:val="auto"/>
          <w:sz w:val="32"/>
          <w:szCs w:val="32"/>
        </w:rPr>
      </w:pPr>
      <w:r>
        <w:rPr>
          <w:rFonts w:hint="eastAsia" w:ascii="仿宋_GB2312" w:eastAsia="仿宋_GB2312"/>
          <w:color w:val="auto"/>
          <w:sz w:val="32"/>
          <w:szCs w:val="32"/>
        </w:rPr>
        <w:t>你公司未在税务登记注册地址和生产经营地址经营，法定代表人、财务负责人、办税人电话无法联系,</w:t>
      </w:r>
      <w:r>
        <w:rPr>
          <w:rFonts w:hint="eastAsia" w:ascii="仿宋_GB2312" w:hAnsi="仿宋" w:eastAsia="仿宋_GB2312" w:cs="Times New Roman"/>
          <w:color w:val="auto"/>
          <w:sz w:val="32"/>
          <w:szCs w:val="32"/>
          <w:lang w:val="en-US" w:eastAsia="zh-CN"/>
        </w:rPr>
        <w:t>2024年9月1日</w:t>
      </w:r>
      <w:r>
        <w:rPr>
          <w:rFonts w:hint="eastAsia" w:ascii="仿宋_GB2312" w:eastAsia="仿宋_GB2312"/>
          <w:color w:val="auto"/>
          <w:sz w:val="32"/>
          <w:szCs w:val="32"/>
        </w:rPr>
        <w:t>被主管税务机关</w:t>
      </w:r>
      <w:r>
        <w:rPr>
          <w:rFonts w:hint="eastAsia" w:ascii="仿宋_GB2312" w:eastAsia="仿宋_GB2312"/>
          <w:color w:val="auto"/>
          <w:sz w:val="32"/>
          <w:szCs w:val="32"/>
          <w:lang w:eastAsia="zh-CN"/>
        </w:rPr>
        <w:t>认定为非正常户</w:t>
      </w:r>
      <w:r>
        <w:rPr>
          <w:rFonts w:hint="eastAsia" w:ascii="仿宋_GB2312" w:eastAsia="仿宋_GB2312"/>
          <w:color w:val="auto"/>
          <w:sz w:val="32"/>
          <w:szCs w:val="32"/>
        </w:rPr>
        <w:t>。至检查结束止，你公司未配合税务检查，也未按要求提供相关涉税资料。</w:t>
      </w:r>
    </w:p>
    <w:p>
      <w:pPr>
        <w:numPr>
          <w:ilvl w:val="0"/>
          <w:numId w:val="1"/>
        </w:numPr>
        <w:spacing w:line="620" w:lineRule="exact"/>
        <w:ind w:firstLine="607"/>
        <w:rPr>
          <w:rFonts w:hint="eastAsia" w:ascii="仿宋_GB2312" w:eastAsia="仿宋_GB2312"/>
          <w:color w:val="auto"/>
          <w:sz w:val="32"/>
          <w:szCs w:val="32"/>
          <w:lang w:eastAsia="zh-CN"/>
        </w:rPr>
      </w:pPr>
      <w:r>
        <w:rPr>
          <w:rFonts w:hint="eastAsia" w:ascii="仿宋_GB2312" w:hAnsi="仿宋" w:eastAsia="仿宋_GB2312" w:cs="Times New Roman"/>
          <w:color w:val="auto"/>
          <w:sz w:val="32"/>
          <w:szCs w:val="32"/>
          <w:lang w:eastAsia="zh-CN"/>
        </w:rPr>
        <w:t>你公司存在虚开增值税发票问题</w:t>
      </w:r>
    </w:p>
    <w:p>
      <w:pPr>
        <w:numPr>
          <w:ilvl w:val="0"/>
          <w:numId w:val="0"/>
        </w:numPr>
        <w:spacing w:line="6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取得增值税发票情况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eastAsia="zh-CN"/>
        </w:rPr>
        <w:t>你公司</w:t>
      </w:r>
      <w:r>
        <w:rPr>
          <w:rFonts w:hint="eastAsia" w:ascii="仿宋_GB2312" w:eastAsia="仿宋_GB2312"/>
          <w:color w:val="auto"/>
          <w:sz w:val="32"/>
          <w:szCs w:val="32"/>
          <w:lang w:eastAsia="zh-CN"/>
        </w:rPr>
        <w:t>检查所属期内</w:t>
      </w:r>
      <w:r>
        <w:rPr>
          <w:rFonts w:hint="eastAsia" w:ascii="仿宋_GB2312" w:hAnsi="仿宋" w:eastAsia="仿宋_GB2312"/>
          <w:color w:val="auto"/>
          <w:sz w:val="32"/>
          <w:szCs w:val="32"/>
        </w:rPr>
        <w:t>未发现取得由上游公司开具的增值税专用发票认证抵扣记录及取得普通发票记录。</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s="Times New Roman"/>
          <w:color w:val="auto"/>
          <w:sz w:val="32"/>
          <w:szCs w:val="32"/>
          <w:highlight w:val="none"/>
          <w:lang w:val="en-US" w:eastAsia="zh-CN"/>
        </w:rPr>
        <w:t>你公司</w:t>
      </w:r>
      <w:r>
        <w:rPr>
          <w:rFonts w:hint="eastAsia" w:ascii="仿宋_GB2312" w:hAnsi="Times New Roman" w:eastAsia="仿宋_GB2312" w:cs="Times New Roman"/>
          <w:color w:val="auto"/>
          <w:sz w:val="32"/>
          <w:szCs w:val="32"/>
          <w:highlight w:val="none"/>
          <w:lang w:val="en-US" w:eastAsia="zh-CN"/>
        </w:rPr>
        <w:t>2023年1月至2023年3月向主管税务机关领用增值税电子普通发票100份，发票代码：045002000111，发票号码：87603018</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87603067（50份）、88481330</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88481379（50份）。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2月</w:t>
      </w:r>
      <w:r>
        <w:rPr>
          <w:rFonts w:hint="eastAsia" w:ascii="仿宋_GB2312" w:hAnsi="仿宋_GB2312" w:eastAsia="仿宋_GB2312" w:cs="仿宋_GB2312"/>
          <w:color w:val="auto"/>
          <w:sz w:val="32"/>
          <w:szCs w:val="32"/>
        </w:rPr>
        <w:t>开具增值税</w:t>
      </w:r>
      <w:r>
        <w:rPr>
          <w:rFonts w:hint="eastAsia" w:ascii="仿宋_GB2312" w:hAnsi="仿宋_GB2312" w:eastAsia="仿宋_GB2312" w:cs="仿宋_GB2312"/>
          <w:color w:val="auto"/>
          <w:sz w:val="32"/>
          <w:szCs w:val="32"/>
          <w:lang w:eastAsia="zh-CN"/>
        </w:rPr>
        <w:t>电子普通发票</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份，发票代码：045002000111，发票号码：87603018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87603067（</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发票金额303,785.22元，税额3,259.78元，价税合计307,045.00元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货物名称为*餐饮服务*餐饮费</w:t>
      </w:r>
      <w:r>
        <w:rPr>
          <w:rFonts w:hint="eastAsia" w:ascii="仿宋_GB2312" w:hAnsi="仿宋_GB2312" w:eastAsia="仿宋_GB2312" w:cs="仿宋_GB2312"/>
          <w:color w:val="auto"/>
          <w:sz w:val="32"/>
          <w:szCs w:val="32"/>
          <w:lang w:eastAsia="zh-CN"/>
        </w:rPr>
        <w:t>，受票单位</w:t>
      </w:r>
      <w:r>
        <w:rPr>
          <w:rFonts w:hint="eastAsia" w:ascii="仿宋_GB2312" w:hAnsi="仿宋_GB2312" w:eastAsia="仿宋_GB2312" w:cs="仿宋_GB2312"/>
          <w:color w:val="auto"/>
          <w:sz w:val="32"/>
          <w:szCs w:val="32"/>
        </w:rPr>
        <w:t>：安庆三维电器有限公司、北部湾财产保险股份有限公司南宁分公司、北京网聘咨询有限公司成都分公司</w:t>
      </w:r>
      <w:r>
        <w:rPr>
          <w:rFonts w:hint="eastAsia" w:ascii="仿宋_GB2312" w:hAnsi="仿宋_GB2312" w:eastAsia="仿宋_GB2312" w:cs="仿宋_GB2312"/>
          <w:color w:val="auto"/>
          <w:sz w:val="32"/>
          <w:szCs w:val="32"/>
          <w:lang w:eastAsia="zh-CN"/>
        </w:rPr>
        <w:t>等</w:t>
      </w:r>
      <w:r>
        <w:rPr>
          <w:rFonts w:hint="eastAsia" w:ascii="仿宋_GB2312" w:eastAsia="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你公司</w:t>
      </w:r>
      <w:r>
        <w:rPr>
          <w:rFonts w:hint="eastAsia" w:ascii="仿宋_GB2312" w:eastAsia="仿宋_GB2312"/>
          <w:color w:val="auto"/>
          <w:sz w:val="32"/>
          <w:szCs w:val="32"/>
          <w:lang w:eastAsia="zh-CN"/>
        </w:rPr>
        <w:t>从</w:t>
      </w:r>
      <w:r>
        <w:rPr>
          <w:rFonts w:hint="eastAsia" w:ascii="仿宋_GB2312" w:eastAsia="仿宋_GB2312"/>
          <w:color w:val="auto"/>
          <w:sz w:val="32"/>
          <w:szCs w:val="32"/>
        </w:rPr>
        <w:t>开业至今未进行纳税申报。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你公司领用未开具增值税电子普通发票50份，发票代码：045002000111，发票号码：88481330</w:t>
      </w:r>
      <w:r>
        <w:rPr>
          <w:rFonts w:hint="eastAsia" w:ascii="仿宋_GB2312"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lang w:val="en-US" w:eastAsia="zh-CN"/>
        </w:rPr>
        <w:t>88481379</w:t>
      </w:r>
      <w:r>
        <w:rPr>
          <w:rFonts w:hint="eastAsia" w:ascii="仿宋_GB2312" w:hAnsi="仿宋_GB2312" w:eastAsia="仿宋_GB2312" w:cs="仿宋_GB2312"/>
          <w:color w:val="auto"/>
          <w:kern w:val="2"/>
          <w:sz w:val="32"/>
          <w:szCs w:val="32"/>
          <w:lang w:val="en-US" w:eastAsia="zh-CN" w:bidi="ar-SA"/>
        </w:rPr>
        <w:t>（50份），</w:t>
      </w:r>
      <w:r>
        <w:rPr>
          <w:rFonts w:hint="eastAsia" w:ascii="仿宋_GB2312" w:hAnsi="Times New Roman" w:eastAsia="仿宋_GB2312" w:cs="Times New Roman"/>
          <w:color w:val="auto"/>
          <w:kern w:val="2"/>
          <w:sz w:val="32"/>
          <w:szCs w:val="32"/>
          <w:lang w:val="en-US" w:eastAsia="zh-CN" w:bidi="ar-SA"/>
        </w:rPr>
        <w:t>发票状态为“失控”。</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仿宋" w:eastAsia="仿宋_GB2312"/>
          <w:color w:val="auto"/>
          <w:sz w:val="32"/>
          <w:szCs w:val="32"/>
          <w:lang w:val="en-US" w:eastAsia="zh-CN"/>
        </w:rPr>
        <w:t>你公司未向税务机关报备银行账户，查询你公司在开具发票上留存的银行账户，</w:t>
      </w:r>
      <w:r>
        <w:rPr>
          <w:rFonts w:hint="eastAsia" w:ascii="仿宋" w:hAnsi="仿宋" w:eastAsia="仿宋" w:cs="仿宋"/>
          <w:color w:val="auto"/>
          <w:sz w:val="32"/>
          <w:szCs w:val="32"/>
          <w:lang w:val="en-US" w:eastAsia="zh-CN"/>
        </w:rPr>
        <w:t>中国建设银行股份有限公司广西区分行</w:t>
      </w:r>
      <w:r>
        <w:rPr>
          <w:rFonts w:hint="eastAsia" w:ascii="仿宋_GB2312" w:eastAsia="仿宋_GB2312"/>
          <w:color w:val="auto"/>
          <w:sz w:val="32"/>
          <w:szCs w:val="32"/>
        </w:rPr>
        <w:t>反馈，账户6352637482129011***</w:t>
      </w:r>
      <w:bookmarkStart w:id="3" w:name="_GoBack"/>
      <w:bookmarkEnd w:id="3"/>
      <w:r>
        <w:rPr>
          <w:rFonts w:hint="eastAsia" w:ascii="仿宋_GB2312" w:eastAsia="仿宋_GB2312"/>
          <w:color w:val="auto"/>
          <w:sz w:val="32"/>
          <w:szCs w:val="32"/>
        </w:rPr>
        <w:t>不存在。</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综上，</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开具上述</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份增值税</w:t>
      </w:r>
      <w:r>
        <w:rPr>
          <w:rFonts w:hint="eastAsia" w:ascii="仿宋_GB2312" w:eastAsia="仿宋_GB2312"/>
          <w:color w:val="auto"/>
          <w:sz w:val="32"/>
          <w:szCs w:val="32"/>
          <w:lang w:eastAsia="zh-CN"/>
        </w:rPr>
        <w:t>电子普通发票，</w:t>
      </w:r>
      <w:r>
        <w:rPr>
          <w:rFonts w:hint="eastAsia" w:ascii="仿宋_GB2312" w:eastAsia="仿宋_GB2312"/>
          <w:color w:val="auto"/>
          <w:sz w:val="32"/>
          <w:szCs w:val="32"/>
        </w:rPr>
        <w:t>银行账户虚假，无收取受票方资金记录</w:t>
      </w:r>
      <w:r>
        <w:rPr>
          <w:rFonts w:hint="eastAsia" w:ascii="仿宋_GB2312" w:eastAsia="仿宋_GB2312"/>
          <w:color w:val="auto"/>
          <w:sz w:val="32"/>
          <w:szCs w:val="32"/>
          <w:lang w:eastAsia="zh-CN"/>
        </w:rPr>
        <w:t>，</w:t>
      </w:r>
      <w:r>
        <w:rPr>
          <w:rFonts w:hint="eastAsia" w:ascii="仿宋_GB2312" w:eastAsia="仿宋_GB2312"/>
          <w:color w:val="auto"/>
          <w:sz w:val="32"/>
          <w:szCs w:val="32"/>
        </w:rPr>
        <w:t>上述行为属于开具与实际经营业务情况不符的</w:t>
      </w:r>
      <w:r>
        <w:rPr>
          <w:rFonts w:hint="eastAsia" w:ascii="仿宋_GB2312" w:eastAsia="仿宋_GB2312"/>
          <w:color w:val="auto"/>
          <w:sz w:val="32"/>
          <w:szCs w:val="32"/>
          <w:lang w:eastAsia="zh-CN"/>
        </w:rPr>
        <w:t>增值税普通</w:t>
      </w:r>
      <w:r>
        <w:rPr>
          <w:rFonts w:hint="eastAsia" w:ascii="仿宋_GB2312" w:eastAsia="仿宋_GB2312"/>
          <w:color w:val="auto"/>
          <w:sz w:val="32"/>
          <w:szCs w:val="32"/>
        </w:rPr>
        <w:t>发票行为，违反了</w:t>
      </w:r>
      <w:r>
        <w:rPr>
          <w:rFonts w:hint="eastAsia" w:ascii="仿宋_GB2312" w:hAnsi="宋体" w:eastAsia="仿宋_GB2312" w:cs="仿宋"/>
          <w:b w:val="0"/>
          <w:bCs w:val="0"/>
          <w:color w:val="auto"/>
          <w:sz w:val="32"/>
          <w:szCs w:val="32"/>
          <w:lang w:val="en-US" w:eastAsia="zh-CN"/>
        </w:rPr>
        <w:t>《中华人民共和国发票管理办法》（</w:t>
      </w:r>
      <w:r>
        <w:rPr>
          <w:rFonts w:hint="eastAsia" w:ascii="仿宋_GB2312" w:eastAsia="仿宋_GB2312"/>
          <w:color w:val="auto"/>
          <w:sz w:val="32"/>
          <w:szCs w:val="32"/>
        </w:rPr>
        <w:t>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hAnsi="宋体" w:eastAsia="仿宋_GB2312" w:cs="仿宋"/>
          <w:b w:val="0"/>
          <w:bCs w:val="0"/>
          <w:color w:val="auto"/>
          <w:sz w:val="32"/>
          <w:szCs w:val="32"/>
          <w:lang w:val="en-US" w:eastAsia="zh-CN"/>
        </w:rPr>
        <w:t>，国务院令第709号</w:t>
      </w:r>
      <w:r>
        <w:rPr>
          <w:rFonts w:hint="eastAsia" w:ascii="仿宋_GB2312" w:eastAsia="仿宋_GB2312"/>
          <w:color w:val="auto"/>
          <w:sz w:val="32"/>
          <w:szCs w:val="32"/>
          <w:lang w:eastAsia="zh-CN"/>
        </w:rPr>
        <w:t>修订</w:t>
      </w:r>
      <w:r>
        <w:rPr>
          <w:rFonts w:hint="eastAsia" w:ascii="仿宋_GB2312" w:hAnsi="宋体" w:eastAsia="仿宋_GB2312" w:cs="仿宋"/>
          <w:b w:val="0"/>
          <w:bCs w:val="0"/>
          <w:color w:val="auto"/>
          <w:sz w:val="32"/>
          <w:szCs w:val="32"/>
          <w:lang w:val="en-US" w:eastAsia="zh-CN"/>
        </w:rPr>
        <w:t>）第二十二条第一款、第二款第（一）项的规定</w:t>
      </w:r>
      <w:r>
        <w:rPr>
          <w:rFonts w:hint="eastAsia" w:ascii="仿宋_GB2312" w:eastAsia="仿宋_GB2312"/>
          <w:color w:val="auto"/>
          <w:sz w:val="32"/>
          <w:szCs w:val="32"/>
        </w:rPr>
        <w:t>，属于虚开发票行为。</w:t>
      </w:r>
    </w:p>
    <w:p>
      <w:pPr>
        <w:spacing w:line="620" w:lineRule="exact"/>
        <w:ind w:firstLine="607"/>
        <w:rPr>
          <w:rFonts w:hint="eastAsia" w:ascii="仿宋" w:hAnsi="仿宋" w:eastAsia="仿宋" w:cs="仿宋"/>
          <w:color w:val="auto"/>
          <w:sz w:val="32"/>
          <w:szCs w:val="32"/>
        </w:rPr>
      </w:pPr>
      <w:r>
        <w:rPr>
          <w:rFonts w:hint="eastAsia" w:ascii="仿宋_GB2312" w:eastAsia="仿宋_GB2312"/>
          <w:color w:val="auto"/>
          <w:sz w:val="32"/>
          <w:szCs w:val="32"/>
        </w:rPr>
        <w:t>根据</w:t>
      </w:r>
      <w:r>
        <w:rPr>
          <w:rFonts w:hint="eastAsia" w:ascii="仿宋_GB2312" w:eastAsia="仿宋_GB2312"/>
          <w:b w:val="0"/>
          <w:bCs w:val="0"/>
          <w:color w:val="auto"/>
          <w:sz w:val="32"/>
          <w:szCs w:val="32"/>
        </w:rPr>
        <w:t>《中华人民共和国发票管理办法》（</w:t>
      </w:r>
      <w:r>
        <w:rPr>
          <w:rFonts w:hint="eastAsia" w:ascii="仿宋_GB2312" w:eastAsia="仿宋_GB2312"/>
          <w:color w:val="auto"/>
          <w:sz w:val="32"/>
          <w:szCs w:val="32"/>
        </w:rPr>
        <w:t>财政部</w:t>
      </w:r>
      <w:r>
        <w:rPr>
          <w:rFonts w:hint="eastAsia" w:ascii="仿宋_GB2312" w:eastAsia="仿宋_GB2312"/>
          <w:color w:val="auto"/>
          <w:sz w:val="32"/>
          <w:szCs w:val="32"/>
          <w:lang w:eastAsia="zh-CN"/>
        </w:rPr>
        <w:t>令</w:t>
      </w:r>
      <w:r>
        <w:rPr>
          <w:rFonts w:hint="eastAsia" w:ascii="仿宋_GB2312" w:eastAsia="仿宋_GB2312"/>
          <w:color w:val="auto"/>
          <w:sz w:val="32"/>
          <w:szCs w:val="32"/>
        </w:rPr>
        <w:t>第6号</w:t>
      </w:r>
      <w:r>
        <w:rPr>
          <w:rFonts w:hint="eastAsia" w:ascii="仿宋_GB2312" w:eastAsia="仿宋_GB2312"/>
          <w:b w:val="0"/>
          <w:bCs w:val="0"/>
          <w:color w:val="auto"/>
          <w:sz w:val="32"/>
          <w:szCs w:val="32"/>
          <w:lang w:eastAsia="zh-CN"/>
        </w:rPr>
        <w:t>公布</w:t>
      </w:r>
      <w:r>
        <w:rPr>
          <w:rFonts w:hint="eastAsia" w:ascii="仿宋_GB2312" w:eastAsia="仿宋_GB2312"/>
          <w:color w:val="auto"/>
          <w:sz w:val="32"/>
          <w:szCs w:val="32"/>
        </w:rPr>
        <w:t>，国务院令第709号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）第三十七条第一款的规定，</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前述违法行为符合</w:t>
      </w:r>
      <w:r>
        <w:rPr>
          <w:rFonts w:hint="eastAsia" w:ascii="仿宋_GB2312" w:hAnsi="仿宋_GB2312" w:eastAsia="仿宋_GB2312" w:cs="仿宋_GB2312"/>
          <w:sz w:val="32"/>
          <w:szCs w:val="32"/>
        </w:rPr>
        <w:t>《国家税务总局广西壮族自治区税务局关于</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&lt;广西壮族自治区税务行政处罚裁量基准&gt;的公告》（国家税务总局广西壮族自治区税务局公告20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eastAsia="仿宋_GB2312"/>
          <w:color w:val="auto"/>
          <w:sz w:val="32"/>
          <w:szCs w:val="32"/>
        </w:rPr>
        <w:t>第38项规定的“严重”裁量阶次适用条件，拟对</w:t>
      </w:r>
      <w:r>
        <w:rPr>
          <w:rFonts w:hint="eastAsia" w:ascii="仿宋_GB2312" w:eastAsia="仿宋_GB2312"/>
          <w:color w:val="auto"/>
          <w:sz w:val="32"/>
          <w:szCs w:val="32"/>
          <w:lang w:eastAsia="zh-CN"/>
        </w:rPr>
        <w:t>你公司</w:t>
      </w:r>
      <w:r>
        <w:rPr>
          <w:rFonts w:hint="eastAsia" w:ascii="仿宋_GB2312" w:eastAsia="仿宋_GB2312"/>
          <w:color w:val="auto"/>
          <w:sz w:val="32"/>
          <w:szCs w:val="32"/>
        </w:rPr>
        <w:t>虚开发票行为处以</w:t>
      </w:r>
      <w:r>
        <w:rPr>
          <w:rFonts w:hint="eastAsia" w:ascii="仿宋_GB2312" w:eastAsia="仿宋_GB2312"/>
          <w:color w:val="auto"/>
          <w:sz w:val="32"/>
          <w:szCs w:val="32"/>
          <w:lang w:val="en-US" w:eastAsia="zh-CN"/>
        </w:rPr>
        <w:t>60000</w:t>
      </w:r>
      <w:r>
        <w:rPr>
          <w:rFonts w:hint="eastAsia" w:ascii="仿宋_GB2312" w:eastAsia="仿宋_GB2312"/>
          <w:color w:val="auto"/>
          <w:sz w:val="32"/>
          <w:szCs w:val="32"/>
        </w:rPr>
        <w:t>元的罚款。</w:t>
      </w:r>
    </w:p>
    <w:p>
      <w:pPr>
        <w:spacing w:line="620" w:lineRule="exact"/>
        <w:ind w:firstLine="607"/>
        <w:rPr>
          <w:rFonts w:hint="eastAsia" w:ascii="仿宋" w:hAnsi="仿宋" w:eastAsia="仿宋" w:cs="仿宋"/>
          <w:color w:val="auto"/>
          <w:sz w:val="32"/>
          <w:szCs w:val="32"/>
        </w:rPr>
      </w:pPr>
      <w:r>
        <w:rPr>
          <w:rFonts w:hint="eastAsia" w:ascii="仿宋" w:hAnsi="仿宋" w:eastAsia="仿宋" w:cs="仿宋"/>
          <w:color w:val="auto"/>
          <w:sz w:val="32"/>
          <w:szCs w:val="32"/>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val="en-US"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F2654"/>
    <w:multiLevelType w:val="singleLevel"/>
    <w:tmpl w:val="02FF26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043B8F"/>
    <w:rsid w:val="01587FC1"/>
    <w:rsid w:val="015F5F6C"/>
    <w:rsid w:val="01F91F67"/>
    <w:rsid w:val="02D23AF2"/>
    <w:rsid w:val="03000F19"/>
    <w:rsid w:val="03082445"/>
    <w:rsid w:val="032531DD"/>
    <w:rsid w:val="036662DD"/>
    <w:rsid w:val="03A716B4"/>
    <w:rsid w:val="040C624D"/>
    <w:rsid w:val="04B9256A"/>
    <w:rsid w:val="05B13D4E"/>
    <w:rsid w:val="071E31DD"/>
    <w:rsid w:val="072F10D5"/>
    <w:rsid w:val="07686B85"/>
    <w:rsid w:val="07DF2EC0"/>
    <w:rsid w:val="07F1749D"/>
    <w:rsid w:val="07F35FC0"/>
    <w:rsid w:val="08042AD2"/>
    <w:rsid w:val="08704187"/>
    <w:rsid w:val="089D7F7B"/>
    <w:rsid w:val="08D718C8"/>
    <w:rsid w:val="099F303B"/>
    <w:rsid w:val="0A8F0EAA"/>
    <w:rsid w:val="0AEF6352"/>
    <w:rsid w:val="0B400DED"/>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87E30AD"/>
    <w:rsid w:val="18886518"/>
    <w:rsid w:val="19A26B54"/>
    <w:rsid w:val="19EA619C"/>
    <w:rsid w:val="1A331A98"/>
    <w:rsid w:val="1A88036A"/>
    <w:rsid w:val="1AFD621C"/>
    <w:rsid w:val="1B622311"/>
    <w:rsid w:val="1C155B85"/>
    <w:rsid w:val="1C9D01EE"/>
    <w:rsid w:val="1CAC34DB"/>
    <w:rsid w:val="1CEF4D57"/>
    <w:rsid w:val="1D6F1AC8"/>
    <w:rsid w:val="1D915A39"/>
    <w:rsid w:val="1EAF31B5"/>
    <w:rsid w:val="1F203468"/>
    <w:rsid w:val="1F4278AB"/>
    <w:rsid w:val="1F566938"/>
    <w:rsid w:val="1FF54795"/>
    <w:rsid w:val="20355F90"/>
    <w:rsid w:val="209D5005"/>
    <w:rsid w:val="20B77904"/>
    <w:rsid w:val="20C1423B"/>
    <w:rsid w:val="21373440"/>
    <w:rsid w:val="214532B0"/>
    <w:rsid w:val="217F77B4"/>
    <w:rsid w:val="218106EF"/>
    <w:rsid w:val="220B3C07"/>
    <w:rsid w:val="22212BAD"/>
    <w:rsid w:val="22711358"/>
    <w:rsid w:val="23274EC9"/>
    <w:rsid w:val="23536B92"/>
    <w:rsid w:val="237A6399"/>
    <w:rsid w:val="241C139F"/>
    <w:rsid w:val="247D4C57"/>
    <w:rsid w:val="252B65CF"/>
    <w:rsid w:val="25BA02C0"/>
    <w:rsid w:val="25F23F1C"/>
    <w:rsid w:val="26B06C4E"/>
    <w:rsid w:val="26B66B0B"/>
    <w:rsid w:val="276F0932"/>
    <w:rsid w:val="27AD6A80"/>
    <w:rsid w:val="27B10378"/>
    <w:rsid w:val="280C1DA7"/>
    <w:rsid w:val="29213ED5"/>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B62D32"/>
    <w:rsid w:val="30D6621A"/>
    <w:rsid w:val="31451E0E"/>
    <w:rsid w:val="31662B18"/>
    <w:rsid w:val="32B450D0"/>
    <w:rsid w:val="33F428B9"/>
    <w:rsid w:val="349D29D0"/>
    <w:rsid w:val="352C2090"/>
    <w:rsid w:val="35915284"/>
    <w:rsid w:val="374A6DCF"/>
    <w:rsid w:val="37CF7C04"/>
    <w:rsid w:val="37EC5F9E"/>
    <w:rsid w:val="380B72F5"/>
    <w:rsid w:val="383D3737"/>
    <w:rsid w:val="386A7CAC"/>
    <w:rsid w:val="39641191"/>
    <w:rsid w:val="39AB1422"/>
    <w:rsid w:val="39AB4B2D"/>
    <w:rsid w:val="39F6757F"/>
    <w:rsid w:val="3AB009A4"/>
    <w:rsid w:val="3AB952FB"/>
    <w:rsid w:val="3AFC2D8C"/>
    <w:rsid w:val="3AFF7D6C"/>
    <w:rsid w:val="3B546014"/>
    <w:rsid w:val="3C495BD5"/>
    <w:rsid w:val="3C5B4178"/>
    <w:rsid w:val="3D861B47"/>
    <w:rsid w:val="3DD35DF2"/>
    <w:rsid w:val="3E287BFF"/>
    <w:rsid w:val="3E987551"/>
    <w:rsid w:val="3E9F1E59"/>
    <w:rsid w:val="3EEE0973"/>
    <w:rsid w:val="3F4D7DEE"/>
    <w:rsid w:val="3F593763"/>
    <w:rsid w:val="405358E9"/>
    <w:rsid w:val="40B72FD7"/>
    <w:rsid w:val="427D130E"/>
    <w:rsid w:val="42CE2DA5"/>
    <w:rsid w:val="43BB0EF9"/>
    <w:rsid w:val="44761FAC"/>
    <w:rsid w:val="455B1A34"/>
    <w:rsid w:val="45DB73FE"/>
    <w:rsid w:val="463E0550"/>
    <w:rsid w:val="464E7728"/>
    <w:rsid w:val="472C3489"/>
    <w:rsid w:val="477206D5"/>
    <w:rsid w:val="47D0556C"/>
    <w:rsid w:val="488F4CFA"/>
    <w:rsid w:val="48A35DDC"/>
    <w:rsid w:val="4A335934"/>
    <w:rsid w:val="4A51220B"/>
    <w:rsid w:val="4B2140DF"/>
    <w:rsid w:val="4B93262E"/>
    <w:rsid w:val="4C3208C5"/>
    <w:rsid w:val="4C914CCE"/>
    <w:rsid w:val="4CD46A77"/>
    <w:rsid w:val="4CD92A87"/>
    <w:rsid w:val="4D5F40C2"/>
    <w:rsid w:val="4E034E06"/>
    <w:rsid w:val="4FFF7178"/>
    <w:rsid w:val="507D0AF4"/>
    <w:rsid w:val="50EB6096"/>
    <w:rsid w:val="50EE2AA6"/>
    <w:rsid w:val="50FE688E"/>
    <w:rsid w:val="516C395A"/>
    <w:rsid w:val="51DA3205"/>
    <w:rsid w:val="521A5812"/>
    <w:rsid w:val="536D6420"/>
    <w:rsid w:val="536E5B1B"/>
    <w:rsid w:val="539A7772"/>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78F0CD2"/>
    <w:rsid w:val="67F00980"/>
    <w:rsid w:val="67F63430"/>
    <w:rsid w:val="688E5297"/>
    <w:rsid w:val="690C5E1E"/>
    <w:rsid w:val="69484005"/>
    <w:rsid w:val="6A1D6AD6"/>
    <w:rsid w:val="6A5524AE"/>
    <w:rsid w:val="6ABA6A40"/>
    <w:rsid w:val="6B1427C6"/>
    <w:rsid w:val="6B6A332F"/>
    <w:rsid w:val="6C680825"/>
    <w:rsid w:val="6D0144EE"/>
    <w:rsid w:val="6D1F3558"/>
    <w:rsid w:val="6D235438"/>
    <w:rsid w:val="6EBE472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4A7217"/>
    <w:rsid w:val="759C0571"/>
    <w:rsid w:val="75ED5E87"/>
    <w:rsid w:val="75EF5F82"/>
    <w:rsid w:val="76850944"/>
    <w:rsid w:val="76B02C58"/>
    <w:rsid w:val="76D561F0"/>
    <w:rsid w:val="77943124"/>
    <w:rsid w:val="77AA3D9B"/>
    <w:rsid w:val="77F66E35"/>
    <w:rsid w:val="788D6D3A"/>
    <w:rsid w:val="78E165F0"/>
    <w:rsid w:val="79181EDC"/>
    <w:rsid w:val="79403461"/>
    <w:rsid w:val="79733DC4"/>
    <w:rsid w:val="79EA7E35"/>
    <w:rsid w:val="7A50689B"/>
    <w:rsid w:val="7AE2146C"/>
    <w:rsid w:val="7B6E0969"/>
    <w:rsid w:val="7BF23CC4"/>
    <w:rsid w:val="7C4D6698"/>
    <w:rsid w:val="7CAF6E0C"/>
    <w:rsid w:val="7CF139E4"/>
    <w:rsid w:val="7D8070EE"/>
    <w:rsid w:val="7DB04BC2"/>
    <w:rsid w:val="7DFB7DCB"/>
    <w:rsid w:val="7E921505"/>
    <w:rsid w:val="7EBA155D"/>
    <w:rsid w:val="7EC8498B"/>
    <w:rsid w:val="7FD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3"/>
    <w:qFormat/>
    <w:uiPriority w:val="0"/>
    <w:pPr>
      <w:keepNext/>
      <w:keepLines/>
      <w:jc w:val="center"/>
      <w:outlineLvl w:val="0"/>
    </w:pPr>
    <w:rPr>
      <w:rFonts w:ascii="Helvetica" w:hAnsi="Helvetica" w:eastAsia="华文中宋"/>
      <w:b/>
      <w:bCs/>
      <w:kern w:val="44"/>
      <w:sz w:val="52"/>
      <w:szCs w:val="44"/>
      <w:lang w:val="en-G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pPr>
      <w:spacing w:after="120"/>
    </w:pPr>
    <w:rPr>
      <w:szCs w:val="24"/>
    </w:rPr>
  </w:style>
  <w:style w:type="paragraph" w:styleId="3">
    <w:name w:val="Body Text First Indent"/>
    <w:basedOn w:val="2"/>
    <w:qFormat/>
    <w:uiPriority w:val="0"/>
    <w:pPr>
      <w:spacing w:line="500" w:lineRule="exact"/>
      <w:ind w:firstLine="420"/>
    </w:pPr>
    <w:rPr>
      <w:rFonts w:eastAsia="宋体"/>
      <w:sz w:val="28"/>
    </w:rPr>
  </w:style>
  <w:style w:type="paragraph" w:styleId="5">
    <w:name w:val="Normal Indent"/>
    <w:basedOn w:val="1"/>
    <w:qFormat/>
    <w:uiPriority w:val="0"/>
    <w:pPr>
      <w:ind w:firstLine="420"/>
    </w:pPr>
    <w:rPr>
      <w:szCs w:val="20"/>
    </w:rPr>
  </w:style>
  <w:style w:type="paragraph" w:styleId="6">
    <w:name w:val="Document Map"/>
    <w:basedOn w:val="1"/>
    <w:link w:val="38"/>
    <w:semiHidden/>
    <w:qFormat/>
    <w:uiPriority w:val="0"/>
    <w:pPr>
      <w:shd w:val="clear" w:color="auto" w:fill="000080"/>
    </w:pPr>
    <w:rPr>
      <w:szCs w:val="24"/>
    </w:rPr>
  </w:style>
  <w:style w:type="paragraph" w:styleId="7">
    <w:name w:val="Plain Text"/>
    <w:basedOn w:val="1"/>
    <w:link w:val="42"/>
    <w:qFormat/>
    <w:uiPriority w:val="0"/>
    <w:rPr>
      <w:rFonts w:ascii="宋体" w:hAnsi="Courier New" w:cs="Courier New"/>
      <w:szCs w:val="21"/>
    </w:rPr>
  </w:style>
  <w:style w:type="paragraph" w:styleId="8">
    <w:name w:val="Body Text Indent 2"/>
    <w:basedOn w:val="1"/>
    <w:link w:val="41"/>
    <w:qFormat/>
    <w:uiPriority w:val="0"/>
    <w:pPr>
      <w:ind w:right="-153" w:rightChars="-73" w:firstLine="602" w:firstLineChars="215"/>
    </w:pPr>
    <w:rPr>
      <w:sz w:val="28"/>
      <w:szCs w:val="24"/>
    </w:rPr>
  </w:style>
  <w:style w:type="paragraph" w:styleId="9">
    <w:name w:val="Balloon Text"/>
    <w:basedOn w:val="1"/>
    <w:link w:val="40"/>
    <w:semiHidden/>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ahoma" w:hAnsi="Tahoma" w:eastAsia="Times New Roman"/>
      <w:kern w:val="0"/>
      <w:sz w:val="24"/>
      <w:szCs w:val="20"/>
      <w:lang w:val="en-US" w:eastAsia="zh-CN"/>
    </w:rPr>
  </w:style>
  <w:style w:type="character" w:customStyle="1" w:styleId="17">
    <w:name w:val="页眉 Char"/>
    <w:link w:val="11"/>
    <w:qFormat/>
    <w:uiPriority w:val="0"/>
    <w:rPr>
      <w:sz w:val="18"/>
      <w:szCs w:val="18"/>
    </w:rPr>
  </w:style>
  <w:style w:type="character" w:customStyle="1" w:styleId="18">
    <w:name w:val="页脚 Char"/>
    <w:link w:val="10"/>
    <w:qFormat/>
    <w:uiPriority w:val="0"/>
    <w:rPr>
      <w:sz w:val="18"/>
      <w:szCs w:val="18"/>
    </w:rPr>
  </w:style>
  <w:style w:type="character" w:customStyle="1" w:styleId="19">
    <w:name w:val="页眉 Char1"/>
    <w:basedOn w:val="15"/>
    <w:link w:val="11"/>
    <w:semiHidden/>
    <w:qFormat/>
    <w:uiPriority w:val="99"/>
    <w:rPr>
      <w:rFonts w:ascii="Times New Roman" w:hAnsi="Times New Roman" w:eastAsia="宋体" w:cs="Times New Roman"/>
      <w:sz w:val="18"/>
      <w:szCs w:val="18"/>
    </w:rPr>
  </w:style>
  <w:style w:type="character" w:customStyle="1" w:styleId="20">
    <w:name w:val="页脚 Char1"/>
    <w:basedOn w:val="15"/>
    <w:link w:val="10"/>
    <w:semiHidden/>
    <w:qFormat/>
    <w:uiPriority w:val="99"/>
    <w:rPr>
      <w:rFonts w:ascii="Times New Roman" w:hAnsi="Times New Roman" w:eastAsia="宋体" w:cs="Times New Roman"/>
      <w:sz w:val="18"/>
      <w:szCs w:val="18"/>
    </w:rPr>
  </w:style>
  <w:style w:type="paragraph" w:customStyle="1" w:styleId="21">
    <w:name w:val="Char Char Char"/>
    <w:basedOn w:val="1"/>
    <w:qFormat/>
    <w:uiPriority w:val="0"/>
    <w:rPr>
      <w:szCs w:val="24"/>
    </w:rPr>
  </w:style>
  <w:style w:type="character" w:customStyle="1" w:styleId="22">
    <w:name w:val="font31"/>
    <w:basedOn w:val="15"/>
    <w:qFormat/>
    <w:uiPriority w:val="0"/>
    <w:rPr>
      <w:rFonts w:hint="eastAsia" w:ascii="宋体" w:hAnsi="宋体" w:eastAsia="宋体" w:cs="宋体"/>
      <w:color w:val="000000"/>
      <w:sz w:val="14"/>
      <w:szCs w:val="14"/>
      <w:u w:val="none"/>
    </w:rPr>
  </w:style>
  <w:style w:type="character" w:customStyle="1" w:styleId="23">
    <w:name w:val="font51"/>
    <w:basedOn w:val="15"/>
    <w:qFormat/>
    <w:uiPriority w:val="0"/>
    <w:rPr>
      <w:rFonts w:hint="default" w:ascii="Verdana" w:hAnsi="Verdana" w:cs="Verdana"/>
      <w:color w:val="000000"/>
      <w:sz w:val="14"/>
      <w:szCs w:val="14"/>
      <w:u w:val="none"/>
    </w:rPr>
  </w:style>
  <w:style w:type="character" w:customStyle="1" w:styleId="24">
    <w:name w:val="font111"/>
    <w:basedOn w:val="15"/>
    <w:qFormat/>
    <w:uiPriority w:val="0"/>
    <w:rPr>
      <w:rFonts w:hint="eastAsia" w:ascii="宋体" w:hAnsi="宋体" w:eastAsia="宋体" w:cs="宋体"/>
      <w:color w:val="000000"/>
      <w:sz w:val="12"/>
      <w:szCs w:val="12"/>
      <w:u w:val="none"/>
    </w:rPr>
  </w:style>
  <w:style w:type="character" w:customStyle="1" w:styleId="25">
    <w:name w:val="font121"/>
    <w:basedOn w:val="15"/>
    <w:qFormat/>
    <w:uiPriority w:val="0"/>
    <w:rPr>
      <w:rFonts w:hint="default" w:ascii="Verdana" w:hAnsi="Verdana" w:cs="Verdana"/>
      <w:color w:val="000000"/>
      <w:sz w:val="12"/>
      <w:szCs w:val="12"/>
      <w:u w:val="none"/>
    </w:rPr>
  </w:style>
  <w:style w:type="character" w:customStyle="1" w:styleId="26">
    <w:name w:val="font101"/>
    <w:basedOn w:val="15"/>
    <w:qFormat/>
    <w:uiPriority w:val="0"/>
    <w:rPr>
      <w:rFonts w:hint="eastAsia" w:ascii="宋体" w:hAnsi="宋体" w:eastAsia="宋体" w:cs="宋体"/>
      <w:color w:val="000000"/>
      <w:sz w:val="14"/>
      <w:szCs w:val="14"/>
      <w:u w:val="none"/>
    </w:rPr>
  </w:style>
  <w:style w:type="character" w:customStyle="1" w:styleId="27">
    <w:name w:val="font61"/>
    <w:basedOn w:val="15"/>
    <w:qFormat/>
    <w:uiPriority w:val="0"/>
    <w:rPr>
      <w:rFonts w:hint="default" w:ascii="Verdana" w:hAnsi="Verdana" w:cs="Verdana"/>
      <w:color w:val="000000"/>
      <w:sz w:val="14"/>
      <w:szCs w:val="14"/>
      <w:u w:val="none"/>
    </w:rPr>
  </w:style>
  <w:style w:type="character" w:customStyle="1" w:styleId="28">
    <w:name w:val="font151"/>
    <w:basedOn w:val="15"/>
    <w:qFormat/>
    <w:uiPriority w:val="0"/>
    <w:rPr>
      <w:rFonts w:hint="eastAsia" w:ascii="宋体" w:hAnsi="宋体" w:eastAsia="宋体" w:cs="宋体"/>
      <w:color w:val="000000"/>
      <w:sz w:val="12"/>
      <w:szCs w:val="12"/>
      <w:u w:val="none"/>
    </w:rPr>
  </w:style>
  <w:style w:type="character" w:customStyle="1" w:styleId="29">
    <w:name w:val="font141"/>
    <w:basedOn w:val="15"/>
    <w:qFormat/>
    <w:uiPriority w:val="0"/>
    <w:rPr>
      <w:rFonts w:hint="default" w:ascii="Verdana" w:hAnsi="Verdana" w:cs="Verdana"/>
      <w:color w:val="000000"/>
      <w:sz w:val="12"/>
      <w:szCs w:val="12"/>
      <w:u w:val="none"/>
    </w:rPr>
  </w:style>
  <w:style w:type="character" w:customStyle="1" w:styleId="30">
    <w:name w:val="font161"/>
    <w:basedOn w:val="15"/>
    <w:qFormat/>
    <w:uiPriority w:val="0"/>
    <w:rPr>
      <w:rFonts w:hint="eastAsia" w:ascii="宋体" w:hAnsi="宋体" w:eastAsia="宋体" w:cs="宋体"/>
      <w:color w:val="C00000"/>
      <w:sz w:val="12"/>
      <w:szCs w:val="12"/>
      <w:u w:val="none"/>
    </w:rPr>
  </w:style>
  <w:style w:type="character" w:customStyle="1" w:styleId="31">
    <w:name w:val="font131"/>
    <w:basedOn w:val="15"/>
    <w:qFormat/>
    <w:uiPriority w:val="0"/>
    <w:rPr>
      <w:rFonts w:hint="default" w:ascii="Verdana" w:hAnsi="Verdana" w:cs="Verdana"/>
      <w:color w:val="C00000"/>
      <w:sz w:val="12"/>
      <w:szCs w:val="12"/>
      <w:u w:val="none"/>
    </w:rPr>
  </w:style>
  <w:style w:type="character" w:customStyle="1" w:styleId="32">
    <w:name w:val="font21"/>
    <w:basedOn w:val="15"/>
    <w:qFormat/>
    <w:uiPriority w:val="0"/>
    <w:rPr>
      <w:rFonts w:hint="default" w:ascii="Verdana" w:hAnsi="Verdana" w:cs="Verdana"/>
      <w:color w:val="000000"/>
      <w:sz w:val="14"/>
      <w:szCs w:val="14"/>
      <w:u w:val="none"/>
    </w:rPr>
  </w:style>
  <w:style w:type="character" w:customStyle="1" w:styleId="33">
    <w:name w:val="标题 1 Char"/>
    <w:basedOn w:val="15"/>
    <w:link w:val="4"/>
    <w:qFormat/>
    <w:uiPriority w:val="0"/>
    <w:rPr>
      <w:rFonts w:ascii="Helvetica" w:hAnsi="Helvetica" w:eastAsia="华文中宋"/>
      <w:b/>
      <w:bCs/>
      <w:kern w:val="44"/>
      <w:sz w:val="52"/>
      <w:szCs w:val="44"/>
      <w:lang w:val="en-GB"/>
    </w:rPr>
  </w:style>
  <w:style w:type="character" w:customStyle="1" w:styleId="34">
    <w:name w:val="纯文本 Char"/>
    <w:link w:val="7"/>
    <w:qFormat/>
    <w:locked/>
    <w:uiPriority w:val="0"/>
    <w:rPr>
      <w:rFonts w:ascii="宋体" w:hAnsi="Courier New" w:cs="Courier New"/>
      <w:kern w:val="2"/>
      <w:sz w:val="21"/>
      <w:szCs w:val="21"/>
    </w:rPr>
  </w:style>
  <w:style w:type="character" w:customStyle="1" w:styleId="35">
    <w:name w:val="font11"/>
    <w:basedOn w:val="15"/>
    <w:qFormat/>
    <w:uiPriority w:val="0"/>
    <w:rPr>
      <w:rFonts w:hint="eastAsia" w:ascii="宋体" w:hAnsi="宋体" w:eastAsia="宋体" w:cs="宋体"/>
      <w:color w:val="000000"/>
      <w:sz w:val="18"/>
      <w:szCs w:val="18"/>
      <w:u w:val="none"/>
    </w:rPr>
  </w:style>
  <w:style w:type="character" w:customStyle="1" w:styleId="36">
    <w:name w:val="content1"/>
    <w:basedOn w:val="15"/>
    <w:qFormat/>
    <w:uiPriority w:val="0"/>
    <w:rPr>
      <w:rFonts w:hint="default" w:ascii="Tahoma" w:hAnsi="Tahoma" w:cs="Tahoma"/>
      <w:sz w:val="21"/>
      <w:szCs w:val="21"/>
    </w:rPr>
  </w:style>
  <w:style w:type="character" w:customStyle="1" w:styleId="37">
    <w:name w:val="Char Char1"/>
    <w:basedOn w:val="15"/>
    <w:qFormat/>
    <w:uiPriority w:val="0"/>
    <w:rPr>
      <w:rFonts w:ascii="宋体" w:hAnsi="Courier New" w:cs="Courier New"/>
      <w:kern w:val="2"/>
      <w:sz w:val="21"/>
      <w:szCs w:val="21"/>
    </w:rPr>
  </w:style>
  <w:style w:type="character" w:customStyle="1" w:styleId="38">
    <w:name w:val="文档结构图 Char"/>
    <w:basedOn w:val="15"/>
    <w:link w:val="6"/>
    <w:semiHidden/>
    <w:qFormat/>
    <w:uiPriority w:val="0"/>
    <w:rPr>
      <w:kern w:val="2"/>
      <w:sz w:val="21"/>
      <w:szCs w:val="24"/>
      <w:shd w:val="clear" w:color="auto" w:fill="000080"/>
    </w:rPr>
  </w:style>
  <w:style w:type="character" w:customStyle="1" w:styleId="39">
    <w:name w:val="正文文本 Char"/>
    <w:basedOn w:val="15"/>
    <w:link w:val="2"/>
    <w:qFormat/>
    <w:uiPriority w:val="0"/>
    <w:rPr>
      <w:kern w:val="2"/>
      <w:sz w:val="21"/>
      <w:szCs w:val="24"/>
    </w:rPr>
  </w:style>
  <w:style w:type="character" w:customStyle="1" w:styleId="40">
    <w:name w:val="批注框文本 Char"/>
    <w:basedOn w:val="15"/>
    <w:link w:val="9"/>
    <w:semiHidden/>
    <w:qFormat/>
    <w:uiPriority w:val="0"/>
    <w:rPr>
      <w:kern w:val="2"/>
      <w:sz w:val="18"/>
      <w:szCs w:val="18"/>
    </w:rPr>
  </w:style>
  <w:style w:type="character" w:customStyle="1" w:styleId="41">
    <w:name w:val="正文文本缩进 2 Char"/>
    <w:basedOn w:val="15"/>
    <w:link w:val="8"/>
    <w:qFormat/>
    <w:uiPriority w:val="0"/>
    <w:rPr>
      <w:kern w:val="2"/>
      <w:sz w:val="28"/>
      <w:szCs w:val="24"/>
    </w:rPr>
  </w:style>
  <w:style w:type="character" w:customStyle="1" w:styleId="42">
    <w:name w:val="纯文本 Char1"/>
    <w:basedOn w:val="15"/>
    <w:link w:val="7"/>
    <w:semiHidden/>
    <w:qFormat/>
    <w:uiPriority w:val="99"/>
    <w:rPr>
      <w:rFonts w:ascii="宋体" w:hAnsi="Courier New" w:cs="Courier New"/>
      <w:kern w:val="2"/>
      <w:sz w:val="21"/>
      <w:szCs w:val="21"/>
    </w:rPr>
  </w:style>
  <w:style w:type="paragraph" w:customStyle="1" w:styleId="43">
    <w:name w:val="Char"/>
    <w:basedOn w:val="1"/>
    <w:qFormat/>
    <w:uiPriority w:val="0"/>
    <w:rPr>
      <w:szCs w:val="24"/>
    </w:rPr>
  </w:style>
  <w:style w:type="paragraph" w:customStyle="1" w:styleId="44">
    <w:name w:val="Char Char Char Char"/>
    <w:basedOn w:val="1"/>
    <w:qFormat/>
    <w:uiPriority w:val="0"/>
    <w:pPr>
      <w:spacing w:before="120" w:after="120" w:line="360" w:lineRule="auto"/>
      <w:ind w:firstLine="420"/>
    </w:pPr>
    <w:rPr>
      <w:rFonts w:ascii="Tahoma" w:hAnsi="Tahoma"/>
      <w:sz w:val="28"/>
      <w:szCs w:val="20"/>
    </w:rPr>
  </w:style>
  <w:style w:type="paragraph" w:customStyle="1" w:styleId="45">
    <w:name w:val="Char1 Char Char Char"/>
    <w:basedOn w:val="6"/>
    <w:qFormat/>
    <w:uiPriority w:val="0"/>
    <w:rPr>
      <w:rFonts w:ascii="Tahoma" w:hAnsi="Tahoma"/>
      <w:sz w:val="24"/>
    </w:rPr>
  </w:style>
  <w:style w:type="paragraph" w:customStyle="1" w:styleId="46">
    <w:name w:val="Char1"/>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0</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2024-10-28T07:51:00Z</cp:lastPrinted>
  <dcterms:modified xsi:type="dcterms:W3CDTF">2024-10-29T01:50:12Z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