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w:t>
      </w:r>
      <w:r>
        <w:rPr>
          <w:rFonts w:hint="eastAsia" w:ascii="华文中宋" w:hAnsi="华文中宋" w:eastAsia="华文中宋" w:cs="华文中宋"/>
          <w:b/>
          <w:bCs/>
          <w:color w:val="auto"/>
          <w:spacing w:val="-24"/>
          <w:sz w:val="52"/>
          <w:szCs w:val="52"/>
        </w:rPr>
        <w:t>稽</w:t>
      </w:r>
      <w:r>
        <w:rPr>
          <w:rFonts w:hint="eastAsia" w:ascii="华文中宋" w:hAnsi="华文中宋" w:eastAsia="华文中宋" w:cs="华文中宋"/>
          <w:b/>
          <w:bCs/>
          <w:spacing w:val="-24"/>
          <w:sz w:val="52"/>
          <w:szCs w:val="52"/>
        </w:rPr>
        <w:t>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2011"/>
      <w:bookmarkStart w:id="1" w:name="_Toc33371261"/>
      <w:bookmarkStart w:id="2" w:name="_Toc33370868"/>
      <w:r>
        <w:rPr>
          <w:rFonts w:hint="eastAsia" w:ascii="仿宋_GB2312" w:eastAsia="仿宋_GB2312"/>
          <w:spacing w:val="20"/>
          <w:sz w:val="32"/>
          <w:szCs w:val="32"/>
        </w:rPr>
        <w:t>南市税</w:t>
      </w:r>
      <w:r>
        <w:rPr>
          <w:rFonts w:hint="eastAsia" w:ascii="仿宋_GB2312" w:eastAsia="仿宋_GB2312"/>
          <w:color w:val="auto"/>
          <w:spacing w:val="20"/>
          <w:sz w:val="32"/>
        </w:rPr>
        <w:t>稽</w:t>
      </w:r>
      <w:r>
        <w:rPr>
          <w:rFonts w:hint="eastAsia" w:ascii="仿宋_GB2312" w:eastAsia="仿宋_GB2312"/>
          <w:spacing w:val="20"/>
          <w:sz w:val="32"/>
        </w:rPr>
        <w:t>罚告〔20</w:t>
      </w:r>
      <w:r>
        <w:rPr>
          <w:rFonts w:hint="eastAsia" w:ascii="仿宋_GB2312" w:hAnsi="仿宋_GB2312" w:eastAsia="仿宋_GB2312" w:cs="仿宋_GB2312"/>
          <w:spacing w:val="20"/>
          <w:sz w:val="32"/>
          <w:lang w:val="en-US" w:eastAsia="zh-CN"/>
        </w:rPr>
        <w:t>24</w:t>
      </w:r>
      <w:r>
        <w:rPr>
          <w:rFonts w:hint="eastAsia" w:ascii="仿宋_GB2312" w:eastAsia="仿宋_GB2312"/>
          <w:spacing w:val="20"/>
          <w:sz w:val="32"/>
        </w:rPr>
        <w:t>〕</w:t>
      </w:r>
      <w:bookmarkEnd w:id="0"/>
      <w:bookmarkEnd w:id="1"/>
      <w:bookmarkEnd w:id="2"/>
      <w:r>
        <w:rPr>
          <w:rFonts w:hint="eastAsia" w:ascii="仿宋_GB2312" w:eastAsia="仿宋_GB2312"/>
          <w:spacing w:val="20"/>
          <w:sz w:val="32"/>
        </w:rPr>
        <w:t>10074号</w:t>
      </w:r>
    </w:p>
    <w:p>
      <w:pPr>
        <w:spacing w:line="600" w:lineRule="exact"/>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snapToGrid/>
        <w:spacing w:line="540" w:lineRule="exact"/>
        <w:textAlignment w:val="auto"/>
        <w:rPr>
          <w:rFonts w:hint="eastAsia" w:ascii="仿宋_GB2312" w:eastAsia="仿宋_GB2312"/>
          <w:sz w:val="32"/>
        </w:rPr>
      </w:pPr>
      <w:r>
        <w:rPr>
          <w:rFonts w:hint="eastAsia" w:ascii="仿宋_GB2312" w:eastAsia="仿宋_GB2312"/>
          <w:sz w:val="32"/>
          <w:szCs w:val="32"/>
        </w:rPr>
        <w:t>南宁辉茵聚集酒店管理有限公司（</w:t>
      </w:r>
      <w:r>
        <w:rPr>
          <w:rFonts w:hint="eastAsia" w:ascii="仿宋_GB2312" w:hAnsi="宋体" w:eastAsia="仿宋_GB2312"/>
          <w:sz w:val="32"/>
          <w:szCs w:val="32"/>
        </w:rPr>
        <w:t>纳税人识别号</w:t>
      </w:r>
      <w:r>
        <w:rPr>
          <w:rFonts w:hint="eastAsia" w:ascii="仿宋_GB2312" w:hAnsi="宋体" w:eastAsia="仿宋_GB2312"/>
          <w:color w:val="000000"/>
          <w:sz w:val="32"/>
          <w:szCs w:val="32"/>
        </w:rPr>
        <w:t>：</w:t>
      </w:r>
      <w:r>
        <w:rPr>
          <w:rFonts w:hint="eastAsia" w:ascii="仿宋_GB2312" w:eastAsia="仿宋_GB2312"/>
          <w:color w:val="auto"/>
          <w:sz w:val="32"/>
          <w:szCs w:val="32"/>
          <w:lang w:eastAsia="zh-CN"/>
        </w:rPr>
        <w:t>91450108MAA7T3892T</w:t>
      </w:r>
      <w:r>
        <w:rPr>
          <w:rFonts w:hint="eastAsia" w:ascii="仿宋_GB2312" w:hAnsi="仿宋" w:eastAsia="仿宋_GB2312"/>
          <w:spacing w:val="-20"/>
          <w:sz w:val="32"/>
          <w:szCs w:val="32"/>
        </w:rPr>
        <w:t>）</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40" w:lineRule="exact"/>
        <w:ind w:firstLine="607"/>
        <w:textAlignment w:val="auto"/>
        <w:rPr>
          <w:rFonts w:hint="eastAsia" w:ascii="仿宋_GB2312" w:eastAsia="仿宋_GB2312"/>
          <w:sz w:val="32"/>
        </w:rPr>
      </w:pPr>
      <w:r>
        <w:rPr>
          <w:rFonts w:hint="eastAsia" w:ascii="仿宋_GB2312" w:eastAsia="仿宋_GB2312"/>
          <w:sz w:val="32"/>
        </w:rPr>
        <w:t>对你公司（地址：</w:t>
      </w:r>
      <w:r>
        <w:rPr>
          <w:rFonts w:hint="eastAsia" w:ascii="仿宋_GB2312" w:eastAsia="仿宋_GB2312"/>
          <w:color w:val="auto"/>
          <w:sz w:val="32"/>
          <w:szCs w:val="32"/>
        </w:rPr>
        <w:t>中国（广西）自由贸易试验区南宁片区金龙路8号16号楼2层T1232号</w:t>
      </w:r>
      <w:r>
        <w:rPr>
          <w:rFonts w:hint="eastAsia" w:ascii="仿宋_GB2312" w:hAnsi="仿宋_GB2312" w:eastAsia="仿宋_GB2312" w:cs="仿宋_GB2312"/>
          <w:color w:val="000000"/>
          <w:sz w:val="32"/>
          <w:szCs w:val="32"/>
          <w:lang w:eastAsia="zh-CN"/>
        </w:rPr>
        <w:t>）</w:t>
      </w:r>
      <w:r>
        <w:rPr>
          <w:rFonts w:hint="eastAsia" w:ascii="仿宋_GB2312" w:eastAsia="仿宋_GB2312"/>
          <w:sz w:val="32"/>
        </w:rPr>
        <w:t>的税收违法行为拟作出行政处罚决定，根据《中华人民共和国税收征收管理法》第八条、《中华人民共和国行政处罚法》第四十四条、第六十三条、第六十四条规定，现将有关事项告知如下：</w:t>
      </w:r>
    </w:p>
    <w:p>
      <w:pPr>
        <w:keepNext w:val="0"/>
        <w:keepLines w:val="0"/>
        <w:pageBreakBefore w:val="0"/>
        <w:kinsoku/>
        <w:wordWrap/>
        <w:overflowPunct/>
        <w:topLinePunct w:val="0"/>
        <w:autoSpaceDE/>
        <w:autoSpaceDN/>
        <w:bidi w:val="0"/>
        <w:snapToGrid/>
        <w:spacing w:line="540" w:lineRule="exact"/>
        <w:ind w:firstLine="607"/>
        <w:textAlignment w:val="auto"/>
        <w:rPr>
          <w:rFonts w:ascii="仿宋_GB2312" w:eastAsia="仿宋_GB2312"/>
          <w:sz w:val="32"/>
        </w:rPr>
      </w:pPr>
      <w:r>
        <w:rPr>
          <w:rFonts w:hint="eastAsia" w:ascii="仿宋_GB2312" w:eastAsia="仿宋_GB2312"/>
          <w:sz w:val="32"/>
        </w:rPr>
        <w:t xml:space="preserve">一、税务行政处罚的事实、理由、依据及拟作出的处罚决定:                                              </w:t>
      </w:r>
    </w:p>
    <w:p>
      <w:pPr>
        <w:keepNext w:val="0"/>
        <w:keepLines w:val="0"/>
        <w:pageBreakBefore w:val="0"/>
        <w:kinsoku/>
        <w:wordWrap/>
        <w:overflowPunct/>
        <w:topLinePunct w:val="0"/>
        <w:autoSpaceDE/>
        <w:autoSpaceDN/>
        <w:bidi w:val="0"/>
        <w:snapToGrid/>
        <w:spacing w:line="540" w:lineRule="exact"/>
        <w:ind w:firstLine="607"/>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（一）你公司属于走逃（失联）企业</w:t>
      </w:r>
    </w:p>
    <w:p>
      <w:pPr>
        <w:keepNext w:val="0"/>
        <w:keepLines w:val="0"/>
        <w:pageBreakBefore w:val="0"/>
        <w:kinsoku/>
        <w:wordWrap/>
        <w:overflowPunct/>
        <w:topLinePunct w:val="0"/>
        <w:autoSpaceDE/>
        <w:autoSpaceDN/>
        <w:bidi w:val="0"/>
        <w:snapToGrid/>
        <w:spacing w:line="540" w:lineRule="exact"/>
        <w:ind w:firstLine="607"/>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你公司未在税务登记注册地址和生产经营地址经营，法定代表人、财务负责人、办税人电话无法联系,</w:t>
      </w:r>
      <w:r>
        <w:rPr>
          <w:rFonts w:hint="eastAsia" w:ascii="仿宋_GB2312" w:hAnsi="仿宋" w:eastAsia="仿宋_GB2312" w:cs="Times New Roman"/>
          <w:color w:val="auto"/>
          <w:sz w:val="32"/>
          <w:szCs w:val="32"/>
          <w:lang w:val="en-US" w:eastAsia="zh-CN"/>
        </w:rPr>
        <w:t>2024年7月1日</w:t>
      </w:r>
      <w:r>
        <w:rPr>
          <w:rFonts w:hint="eastAsia" w:ascii="仿宋" w:hAnsi="仿宋" w:eastAsia="仿宋" w:cs="仿宋"/>
          <w:color w:val="auto"/>
          <w:sz w:val="32"/>
          <w:szCs w:val="32"/>
        </w:rPr>
        <w:t>被主管税务机关</w:t>
      </w:r>
      <w:r>
        <w:rPr>
          <w:rFonts w:hint="eastAsia" w:ascii="仿宋" w:hAnsi="仿宋" w:eastAsia="仿宋" w:cs="仿宋"/>
          <w:color w:val="auto"/>
          <w:sz w:val="32"/>
          <w:szCs w:val="32"/>
          <w:lang w:eastAsia="zh-CN"/>
        </w:rPr>
        <w:t>认定为非正常户</w:t>
      </w:r>
      <w:r>
        <w:rPr>
          <w:rFonts w:hint="eastAsia" w:ascii="仿宋" w:hAnsi="仿宋" w:eastAsia="仿宋" w:cs="仿宋"/>
          <w:color w:val="auto"/>
          <w:sz w:val="32"/>
          <w:szCs w:val="32"/>
        </w:rPr>
        <w:t>。至检查结束止，你公司未配合税务检查，也未按要求提供相关涉税资料。</w:t>
      </w:r>
    </w:p>
    <w:p>
      <w:pPr>
        <w:keepNext w:val="0"/>
        <w:keepLines w:val="0"/>
        <w:pageBreakBefore w:val="0"/>
        <w:kinsoku/>
        <w:wordWrap/>
        <w:overflowPunct/>
        <w:topLinePunct w:val="0"/>
        <w:autoSpaceDE/>
        <w:autoSpaceDN/>
        <w:bidi w:val="0"/>
        <w:snapToGrid/>
        <w:spacing w:line="540" w:lineRule="exact"/>
        <w:ind w:firstLine="607"/>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（二）</w:t>
      </w:r>
      <w:r>
        <w:rPr>
          <w:rFonts w:hint="eastAsia" w:ascii="仿宋_GB2312" w:hAnsi="仿宋" w:eastAsia="仿宋_GB2312" w:cs="Times New Roman"/>
          <w:color w:val="auto"/>
          <w:sz w:val="32"/>
          <w:szCs w:val="32"/>
          <w:lang w:eastAsia="zh-CN"/>
        </w:rPr>
        <w:t>你公司存在虚开增值税发票问题</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取得增值税发票情况</w:t>
      </w:r>
    </w:p>
    <w:p>
      <w:pPr>
        <w:keepNext w:val="0"/>
        <w:keepLines w:val="0"/>
        <w:pageBreakBefore w:val="0"/>
        <w:kinsoku/>
        <w:wordWrap/>
        <w:overflowPunct/>
        <w:topLinePunct w:val="0"/>
        <w:autoSpaceDE/>
        <w:autoSpaceDN/>
        <w:bidi w:val="0"/>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你公司检查所属期内</w:t>
      </w:r>
      <w:r>
        <w:rPr>
          <w:rFonts w:hint="eastAsia" w:ascii="仿宋" w:hAnsi="仿宋" w:eastAsia="仿宋" w:cs="仿宋"/>
          <w:color w:val="auto"/>
          <w:sz w:val="32"/>
          <w:szCs w:val="32"/>
        </w:rPr>
        <w:t>未发现取得由上游公司开具的增值税专用发票认证抵扣记录及取得普通发票记录。</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开具增值税发票情况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你公司2022年11月至2023年5月向主管税务机关领用增值税电子普通发票250份，发票代码：045002000111，发票号码：87187737-87187786（50份）、88447895-88447944（50份），发票代码：045002100211，发票号码：68726199-68726248（50份）、发票号码：68818729-68818778（50份）、69012299</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-69012348（50份）。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你公司</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至</w:t>
      </w:r>
      <w:r>
        <w:rPr>
          <w:rFonts w:hint="eastAsia" w:ascii="仿宋" w:hAnsi="仿宋" w:eastAsia="仿宋" w:cs="仿宋"/>
          <w:color w:val="auto"/>
          <w:sz w:val="32"/>
          <w:szCs w:val="32"/>
          <w:lang w:val="en-US" w:eastAsia="zh-CN"/>
        </w:rPr>
        <w:t>5月</w:t>
      </w:r>
      <w:r>
        <w:rPr>
          <w:rFonts w:hint="eastAsia" w:ascii="仿宋" w:hAnsi="仿宋" w:eastAsia="仿宋" w:cs="仿宋"/>
          <w:color w:val="auto"/>
          <w:sz w:val="32"/>
          <w:szCs w:val="32"/>
        </w:rPr>
        <w:t>开具增值税</w:t>
      </w:r>
      <w:r>
        <w:rPr>
          <w:rFonts w:hint="eastAsia" w:ascii="仿宋" w:hAnsi="仿宋" w:eastAsia="仿宋" w:cs="仿宋"/>
          <w:color w:val="auto"/>
          <w:sz w:val="32"/>
          <w:szCs w:val="32"/>
          <w:lang w:eastAsia="zh-CN"/>
        </w:rPr>
        <w:t>电子普通发票</w:t>
      </w:r>
      <w:r>
        <w:rPr>
          <w:rFonts w:hint="eastAsia" w:ascii="仿宋" w:hAnsi="仿宋" w:eastAsia="仿宋" w:cs="仿宋"/>
          <w:color w:val="auto"/>
          <w:sz w:val="32"/>
          <w:szCs w:val="32"/>
          <w:lang w:val="en-US" w:eastAsia="zh-CN"/>
        </w:rPr>
        <w:t>200</w:t>
      </w:r>
      <w:r>
        <w:rPr>
          <w:rFonts w:hint="eastAsia" w:ascii="仿宋" w:hAnsi="仿宋" w:eastAsia="仿宋" w:cs="仿宋"/>
          <w:color w:val="auto"/>
          <w:sz w:val="32"/>
          <w:szCs w:val="32"/>
        </w:rPr>
        <w:t>份，发票代码：045002000111，发票号码：87187737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87187786（</w:t>
      </w:r>
      <w:r>
        <w:rPr>
          <w:rFonts w:hint="eastAsia" w:ascii="仿宋" w:hAnsi="仿宋" w:eastAsia="仿宋" w:cs="仿宋"/>
          <w:color w:val="auto"/>
          <w:sz w:val="32"/>
          <w:szCs w:val="32"/>
          <w:lang w:val="en-US" w:eastAsia="zh-CN"/>
        </w:rPr>
        <w:t>50</w:t>
      </w:r>
      <w:r>
        <w:rPr>
          <w:rFonts w:hint="eastAsia" w:ascii="仿宋" w:hAnsi="仿宋" w:eastAsia="仿宋" w:cs="仿宋"/>
          <w:color w:val="auto"/>
          <w:sz w:val="32"/>
          <w:szCs w:val="32"/>
        </w:rPr>
        <w:t>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88447895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88447944（</w:t>
      </w:r>
      <w:r>
        <w:rPr>
          <w:rFonts w:hint="eastAsia" w:ascii="仿宋" w:hAnsi="仿宋" w:eastAsia="仿宋" w:cs="仿宋"/>
          <w:color w:val="auto"/>
          <w:sz w:val="32"/>
          <w:szCs w:val="32"/>
          <w:lang w:val="en-US" w:eastAsia="zh-CN"/>
        </w:rPr>
        <w:t>50</w:t>
      </w:r>
      <w:r>
        <w:rPr>
          <w:rFonts w:hint="eastAsia" w:ascii="仿宋" w:hAnsi="仿宋" w:eastAsia="仿宋" w:cs="仿宋"/>
          <w:color w:val="auto"/>
          <w:sz w:val="32"/>
          <w:szCs w:val="32"/>
        </w:rPr>
        <w:t>份），发票代码：045002100211，发票号码：68726199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68726248（</w:t>
      </w:r>
      <w:r>
        <w:rPr>
          <w:rFonts w:hint="eastAsia" w:ascii="仿宋" w:hAnsi="仿宋" w:eastAsia="仿宋" w:cs="仿宋"/>
          <w:color w:val="auto"/>
          <w:sz w:val="32"/>
          <w:szCs w:val="32"/>
          <w:lang w:val="en-US" w:eastAsia="zh-CN"/>
        </w:rPr>
        <w:t>50</w:t>
      </w:r>
      <w:r>
        <w:rPr>
          <w:rFonts w:hint="eastAsia" w:ascii="仿宋" w:hAnsi="仿宋" w:eastAsia="仿宋" w:cs="仿宋"/>
          <w:color w:val="auto"/>
          <w:sz w:val="32"/>
          <w:szCs w:val="32"/>
        </w:rPr>
        <w:t>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发票号码：68818729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68818778（</w:t>
      </w:r>
      <w:r>
        <w:rPr>
          <w:rFonts w:hint="eastAsia" w:ascii="仿宋" w:hAnsi="仿宋" w:eastAsia="仿宋" w:cs="仿宋"/>
          <w:color w:val="auto"/>
          <w:sz w:val="32"/>
          <w:szCs w:val="32"/>
          <w:lang w:val="en-US" w:eastAsia="zh-CN"/>
        </w:rPr>
        <w:t>50</w:t>
      </w:r>
      <w:r>
        <w:rPr>
          <w:rFonts w:hint="eastAsia" w:ascii="仿宋" w:hAnsi="仿宋" w:eastAsia="仿宋" w:cs="仿宋"/>
          <w:color w:val="auto"/>
          <w:sz w:val="32"/>
          <w:szCs w:val="32"/>
        </w:rPr>
        <w:t>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发票金额1657396.47元，税额16960.53元，价税合计1674357.00元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货物名称为*餐饮服务*餐费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*会展服务*会务费、*经营租赁*房租租赁</w:t>
      </w:r>
      <w:r>
        <w:rPr>
          <w:rFonts w:hint="eastAsia" w:ascii="仿宋" w:hAnsi="仿宋" w:eastAsia="仿宋" w:cs="仿宋"/>
          <w:color w:val="auto"/>
          <w:sz w:val="32"/>
          <w:szCs w:val="32"/>
          <w:lang w:eastAsia="zh-CN"/>
        </w:rPr>
        <w:t>等，</w:t>
      </w:r>
      <w:r>
        <w:rPr>
          <w:rFonts w:hint="eastAsia" w:ascii="仿宋_GB2312" w:hAnsi="Times New Roman" w:eastAsia="仿宋_GB2312" w:cs="Times New Roman"/>
          <w:color w:val="000000"/>
          <w:sz w:val="32"/>
          <w:szCs w:val="32"/>
          <w:lang w:val="en-US" w:eastAsia="zh-CN"/>
        </w:rPr>
        <w:t>受票单位</w:t>
      </w:r>
      <w:r>
        <w:rPr>
          <w:rFonts w:hint="eastAsia" w:ascii="仿宋" w:hAnsi="仿宋" w:eastAsia="仿宋" w:cs="仿宋"/>
          <w:color w:val="auto"/>
          <w:sz w:val="32"/>
          <w:szCs w:val="32"/>
        </w:rPr>
        <w:t>：奥克梅罗宝莫包装设备（嘉兴）有限公司、拜昂(广州)商贸有限公司、宝胜科技创新股份有限公司</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highlight w:val="none"/>
          <w:lang w:val="en-US" w:eastAsia="zh-CN"/>
        </w:rPr>
        <w:t>经核查，你公司</w:t>
      </w:r>
      <w:r>
        <w:rPr>
          <w:rFonts w:hint="eastAsia" w:ascii="仿宋" w:hAnsi="仿宋" w:eastAsia="仿宋" w:cs="仿宋"/>
          <w:color w:val="auto"/>
          <w:sz w:val="32"/>
          <w:szCs w:val="32"/>
          <w:lang w:val="en-US" w:eastAsia="zh-CN"/>
        </w:rPr>
        <w:t>2023年1-3月申报免税销售额946,615.00元，与你公司2023年1-3月</w:t>
      </w:r>
      <w:r>
        <w:rPr>
          <w:rFonts w:hint="eastAsia" w:ascii="仿宋" w:hAnsi="仿宋" w:eastAsia="仿宋" w:cs="仿宋"/>
          <w:color w:val="auto"/>
          <w:sz w:val="32"/>
          <w:szCs w:val="32"/>
          <w:highlight w:val="none"/>
          <w:lang w:val="en-US" w:eastAsia="zh-CN"/>
        </w:rPr>
        <w:t>开具的200份增值税发票价税合计946,615.00 元一致，</w:t>
      </w:r>
      <w:r>
        <w:rPr>
          <w:rFonts w:hint="eastAsia" w:ascii="仿宋" w:hAnsi="仿宋" w:eastAsia="仿宋" w:cs="仿宋"/>
          <w:color w:val="auto"/>
          <w:sz w:val="32"/>
          <w:szCs w:val="32"/>
          <w:lang w:val="en-US" w:eastAsia="zh-CN"/>
        </w:rPr>
        <w:t>2023年4月至今</w:t>
      </w:r>
      <w:r>
        <w:rPr>
          <w:rFonts w:hint="eastAsia" w:ascii="仿宋" w:hAnsi="仿宋" w:eastAsia="仿宋" w:cs="仿宋"/>
          <w:color w:val="auto"/>
          <w:sz w:val="32"/>
          <w:szCs w:val="32"/>
        </w:rPr>
        <w:t>未进行纳税申报。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你公司领用未开具增值税电子普通发票50份，</w:t>
      </w:r>
      <w:r>
        <w:rPr>
          <w:rFonts w:hint="eastAsia" w:ascii="仿宋" w:hAnsi="仿宋" w:eastAsia="仿宋" w:cs="仿宋"/>
          <w:color w:val="auto"/>
          <w:sz w:val="32"/>
          <w:szCs w:val="32"/>
          <w:highlight w:val="none"/>
          <w:lang w:val="en-US" w:eastAsia="zh-CN"/>
        </w:rPr>
        <w:t>发票代码：045002100211，发票号码：69012299-69012348（50份），</w:t>
      </w:r>
      <w:r>
        <w:rPr>
          <w:rFonts w:hint="eastAsia" w:ascii="仿宋" w:hAnsi="仿宋" w:eastAsia="仿宋" w:cs="仿宋"/>
          <w:color w:val="auto"/>
          <w:kern w:val="2"/>
          <w:sz w:val="32"/>
          <w:szCs w:val="32"/>
          <w:lang w:val="en-US" w:eastAsia="zh-CN" w:bidi="ar-SA"/>
        </w:rPr>
        <w:t>发票状态为“失控”。</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auto"/>
          <w:sz w:val="32"/>
          <w:szCs w:val="32"/>
        </w:rPr>
      </w:pPr>
      <w:r>
        <w:rPr>
          <w:rFonts w:hint="eastAsia" w:ascii="仿宋_GB2312" w:hAnsi="仿宋" w:eastAsia="仿宋_GB2312"/>
          <w:color w:val="auto"/>
          <w:sz w:val="32"/>
          <w:szCs w:val="32"/>
          <w:lang w:val="en-US" w:eastAsia="zh-CN"/>
        </w:rPr>
        <w:t>3.你公司未向税务机关报备银行账户，查询你公司在开具发票上留存的银行账户</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中国建设银行股份有限公司广西区分行</w:t>
      </w:r>
      <w:r>
        <w:rPr>
          <w:rFonts w:hint="eastAsia" w:ascii="仿宋" w:hAnsi="仿宋" w:eastAsia="仿宋" w:cs="仿宋"/>
          <w:color w:val="auto"/>
          <w:sz w:val="32"/>
          <w:szCs w:val="32"/>
        </w:rPr>
        <w:t>反馈，账户6462465412076944***</w:t>
      </w:r>
      <w:bookmarkStart w:id="3" w:name="_GoBack"/>
      <w:bookmarkEnd w:id="3"/>
      <w:r>
        <w:rPr>
          <w:rFonts w:hint="eastAsia" w:ascii="仿宋" w:hAnsi="仿宋" w:eastAsia="仿宋" w:cs="仿宋"/>
          <w:color w:val="auto"/>
          <w:sz w:val="32"/>
          <w:szCs w:val="32"/>
        </w:rPr>
        <w:t>不存在。</w:t>
      </w:r>
    </w:p>
    <w:p>
      <w:pPr>
        <w:keepNext w:val="0"/>
        <w:keepLines w:val="0"/>
        <w:pageBreakBefore w:val="0"/>
        <w:widowControl/>
        <w:kinsoku/>
        <w:wordWrap/>
        <w:overflowPunct/>
        <w:topLinePunct w:val="0"/>
        <w:autoSpaceDE/>
        <w:autoSpaceDN/>
        <w:bidi w:val="0"/>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综上，</w:t>
      </w:r>
      <w:r>
        <w:rPr>
          <w:rFonts w:hint="eastAsia" w:ascii="仿宋" w:hAnsi="仿宋" w:eastAsia="仿宋" w:cs="仿宋"/>
          <w:color w:val="auto"/>
          <w:sz w:val="32"/>
          <w:szCs w:val="32"/>
          <w:lang w:eastAsia="zh-CN"/>
        </w:rPr>
        <w:t>你公司</w:t>
      </w:r>
      <w:r>
        <w:rPr>
          <w:rFonts w:hint="eastAsia" w:ascii="仿宋" w:hAnsi="仿宋" w:eastAsia="仿宋" w:cs="仿宋"/>
          <w:color w:val="auto"/>
          <w:sz w:val="32"/>
          <w:szCs w:val="32"/>
        </w:rPr>
        <w:t>开具上述</w:t>
      </w:r>
      <w:r>
        <w:rPr>
          <w:rFonts w:hint="eastAsia" w:ascii="仿宋" w:hAnsi="仿宋" w:eastAsia="仿宋" w:cs="仿宋"/>
          <w:color w:val="auto"/>
          <w:sz w:val="32"/>
          <w:szCs w:val="32"/>
          <w:lang w:val="en-US" w:eastAsia="zh-CN"/>
        </w:rPr>
        <w:t>200</w:t>
      </w:r>
      <w:r>
        <w:rPr>
          <w:rFonts w:hint="eastAsia" w:ascii="仿宋" w:hAnsi="仿宋" w:eastAsia="仿宋" w:cs="仿宋"/>
          <w:color w:val="auto"/>
          <w:sz w:val="32"/>
          <w:szCs w:val="32"/>
        </w:rPr>
        <w:t>份增值税</w:t>
      </w:r>
      <w:r>
        <w:rPr>
          <w:rFonts w:hint="eastAsia" w:ascii="仿宋" w:hAnsi="仿宋" w:eastAsia="仿宋" w:cs="仿宋"/>
          <w:color w:val="auto"/>
          <w:sz w:val="32"/>
          <w:szCs w:val="32"/>
          <w:lang w:eastAsia="zh-CN"/>
        </w:rPr>
        <w:t>电子普通发票</w:t>
      </w:r>
      <w:r>
        <w:rPr>
          <w:rFonts w:hint="eastAsia" w:ascii="仿宋" w:hAnsi="仿宋" w:eastAsia="仿宋" w:cs="仿宋"/>
          <w:color w:val="auto"/>
          <w:sz w:val="32"/>
          <w:szCs w:val="32"/>
        </w:rPr>
        <w:t>，银行账户虚假，无资金收付记录，上述行为属于开具与实际经营业务情况不符的</w:t>
      </w:r>
      <w:r>
        <w:rPr>
          <w:rFonts w:hint="eastAsia" w:ascii="仿宋" w:hAnsi="仿宋" w:eastAsia="仿宋" w:cs="仿宋"/>
          <w:color w:val="auto"/>
          <w:sz w:val="32"/>
          <w:szCs w:val="32"/>
          <w:lang w:eastAsia="zh-CN"/>
        </w:rPr>
        <w:t>增值税普通</w:t>
      </w:r>
      <w:r>
        <w:rPr>
          <w:rFonts w:hint="eastAsia" w:ascii="仿宋" w:hAnsi="仿宋" w:eastAsia="仿宋" w:cs="仿宋"/>
          <w:color w:val="auto"/>
          <w:sz w:val="32"/>
          <w:szCs w:val="32"/>
        </w:rPr>
        <w:t>发票行为，违反了</w:t>
      </w:r>
      <w:r>
        <w:rPr>
          <w:rFonts w:hint="eastAsia" w:ascii="仿宋" w:hAnsi="仿宋" w:eastAsia="仿宋" w:cs="仿宋"/>
          <w:b w:val="0"/>
          <w:bCs w:val="0"/>
          <w:color w:val="auto"/>
          <w:sz w:val="32"/>
          <w:szCs w:val="32"/>
          <w:lang w:val="en-US" w:eastAsia="zh-CN"/>
        </w:rPr>
        <w:t>《中华人民共和国发票管理办法》（</w:t>
      </w:r>
      <w:r>
        <w:rPr>
          <w:rFonts w:hint="eastAsia" w:ascii="仿宋" w:hAnsi="仿宋" w:eastAsia="仿宋" w:cs="仿宋"/>
          <w:color w:val="auto"/>
          <w:sz w:val="32"/>
          <w:szCs w:val="32"/>
        </w:rPr>
        <w:t>财政部</w:t>
      </w:r>
      <w:r>
        <w:rPr>
          <w:rFonts w:hint="eastAsia" w:ascii="仿宋" w:hAnsi="仿宋" w:eastAsia="仿宋" w:cs="仿宋"/>
          <w:color w:val="auto"/>
          <w:sz w:val="32"/>
          <w:szCs w:val="32"/>
          <w:lang w:eastAsia="zh-CN"/>
        </w:rPr>
        <w:t>令</w:t>
      </w:r>
      <w:r>
        <w:rPr>
          <w:rFonts w:hint="eastAsia" w:ascii="仿宋" w:hAnsi="仿宋" w:eastAsia="仿宋" w:cs="仿宋"/>
          <w:color w:val="auto"/>
          <w:sz w:val="32"/>
          <w:szCs w:val="32"/>
        </w:rPr>
        <w:t>第6号</w:t>
      </w:r>
      <w:r>
        <w:rPr>
          <w:rFonts w:hint="eastAsia" w:ascii="仿宋" w:hAnsi="仿宋" w:eastAsia="仿宋" w:cs="仿宋"/>
          <w:b w:val="0"/>
          <w:bCs w:val="0"/>
          <w:color w:val="auto"/>
          <w:sz w:val="32"/>
          <w:szCs w:val="32"/>
          <w:lang w:eastAsia="zh-CN"/>
        </w:rPr>
        <w:t>公布</w:t>
      </w:r>
      <w:r>
        <w:rPr>
          <w:rFonts w:hint="eastAsia" w:ascii="仿宋" w:hAnsi="仿宋" w:eastAsia="仿宋" w:cs="仿宋"/>
          <w:b w:val="0"/>
          <w:bCs w:val="0"/>
          <w:color w:val="auto"/>
          <w:sz w:val="32"/>
          <w:szCs w:val="32"/>
          <w:lang w:val="en-US" w:eastAsia="zh-CN"/>
        </w:rPr>
        <w:t>，国务院令第709号</w:t>
      </w:r>
      <w:r>
        <w:rPr>
          <w:rFonts w:hint="eastAsia" w:ascii="仿宋_GB2312" w:eastAsia="仿宋_GB2312"/>
          <w:color w:val="auto"/>
          <w:sz w:val="32"/>
          <w:szCs w:val="32"/>
          <w:lang w:eastAsia="zh-CN"/>
        </w:rPr>
        <w:t>修订</w:t>
      </w:r>
      <w:r>
        <w:rPr>
          <w:rFonts w:hint="eastAsia" w:ascii="仿宋" w:hAnsi="仿宋" w:eastAsia="仿宋" w:cs="仿宋"/>
          <w:b w:val="0"/>
          <w:bCs w:val="0"/>
          <w:color w:val="auto"/>
          <w:sz w:val="32"/>
          <w:szCs w:val="32"/>
          <w:lang w:val="en-US" w:eastAsia="zh-CN"/>
        </w:rPr>
        <w:t>）第二十二条第一款、第二款第（一）项的规定</w:t>
      </w:r>
      <w:r>
        <w:rPr>
          <w:rFonts w:hint="eastAsia" w:ascii="仿宋" w:hAnsi="仿宋" w:eastAsia="仿宋" w:cs="仿宋"/>
          <w:color w:val="auto"/>
          <w:sz w:val="32"/>
          <w:szCs w:val="32"/>
        </w:rPr>
        <w:t>，属于虚开发票行为。</w:t>
      </w:r>
    </w:p>
    <w:p>
      <w:pPr>
        <w:keepNext w:val="0"/>
        <w:keepLines w:val="0"/>
        <w:pageBreakBefore w:val="0"/>
        <w:kinsoku/>
        <w:wordWrap/>
        <w:overflowPunct/>
        <w:topLinePunct w:val="0"/>
        <w:autoSpaceDE/>
        <w:autoSpaceDN/>
        <w:bidi w:val="0"/>
        <w:snapToGrid/>
        <w:spacing w:line="540" w:lineRule="exact"/>
        <w:ind w:firstLine="607"/>
        <w:textAlignment w:val="auto"/>
        <w:rPr>
          <w:rFonts w:hint="eastAsia" w:ascii="仿宋" w:hAnsi="仿宋" w:eastAsia="仿宋" w:cs="仿宋"/>
          <w:color w:val="auto"/>
          <w:sz w:val="32"/>
          <w:szCs w:val="32"/>
        </w:rPr>
      </w:pPr>
      <w:r>
        <w:rPr>
          <w:rFonts w:hint="eastAsia" w:ascii="仿宋_GB2312" w:eastAsia="仿宋_GB2312"/>
          <w:color w:val="auto"/>
          <w:sz w:val="32"/>
          <w:szCs w:val="32"/>
        </w:rPr>
        <w:t>根据《中华人民共和国发票管理办法》（财政部</w:t>
      </w:r>
      <w:r>
        <w:rPr>
          <w:rFonts w:hint="eastAsia" w:ascii="仿宋_GB2312" w:eastAsia="仿宋_GB2312"/>
          <w:color w:val="auto"/>
          <w:sz w:val="32"/>
          <w:szCs w:val="32"/>
          <w:lang w:eastAsia="zh-CN"/>
        </w:rPr>
        <w:t>令</w:t>
      </w:r>
      <w:r>
        <w:rPr>
          <w:rFonts w:hint="eastAsia" w:ascii="仿宋_GB2312" w:eastAsia="仿宋_GB2312"/>
          <w:color w:val="auto"/>
          <w:sz w:val="32"/>
          <w:szCs w:val="32"/>
        </w:rPr>
        <w:t>第6号</w:t>
      </w:r>
      <w:r>
        <w:rPr>
          <w:rFonts w:hint="eastAsia" w:ascii="仿宋_GB2312" w:eastAsia="仿宋_GB2312"/>
          <w:b w:val="0"/>
          <w:bCs w:val="0"/>
          <w:color w:val="auto"/>
          <w:sz w:val="32"/>
          <w:szCs w:val="32"/>
          <w:lang w:eastAsia="zh-CN"/>
        </w:rPr>
        <w:t>公布</w:t>
      </w:r>
      <w:r>
        <w:rPr>
          <w:rFonts w:hint="eastAsia" w:ascii="仿宋_GB2312" w:eastAsia="仿宋_GB2312"/>
          <w:color w:val="auto"/>
          <w:sz w:val="32"/>
          <w:szCs w:val="32"/>
        </w:rPr>
        <w:t>，国务院令第</w:t>
      </w:r>
      <w:r>
        <w:rPr>
          <w:rFonts w:hint="eastAsia" w:ascii="仿宋_GB2312" w:eastAsia="仿宋_GB2312"/>
          <w:color w:val="auto"/>
          <w:sz w:val="32"/>
          <w:szCs w:val="32"/>
          <w:lang w:val="en-US" w:eastAsia="zh-CN"/>
        </w:rPr>
        <w:t>709</w:t>
      </w:r>
      <w:r>
        <w:rPr>
          <w:rFonts w:hint="eastAsia" w:ascii="仿宋_GB2312" w:eastAsia="仿宋_GB2312"/>
          <w:color w:val="auto"/>
          <w:sz w:val="32"/>
          <w:szCs w:val="32"/>
        </w:rPr>
        <w:t>号</w:t>
      </w:r>
      <w:r>
        <w:rPr>
          <w:rFonts w:hint="eastAsia" w:ascii="仿宋_GB2312" w:eastAsia="仿宋_GB2312"/>
          <w:color w:val="auto"/>
          <w:sz w:val="32"/>
          <w:szCs w:val="32"/>
          <w:lang w:eastAsia="zh-CN"/>
        </w:rPr>
        <w:t>修订</w:t>
      </w:r>
      <w:r>
        <w:rPr>
          <w:rFonts w:hint="eastAsia" w:ascii="仿宋_GB2312" w:eastAsia="仿宋_GB2312"/>
          <w:color w:val="auto"/>
          <w:sz w:val="32"/>
          <w:szCs w:val="32"/>
        </w:rPr>
        <w:t>）第三十</w:t>
      </w:r>
      <w:r>
        <w:rPr>
          <w:rFonts w:hint="eastAsia" w:ascii="仿宋_GB2312" w:eastAsia="仿宋_GB2312"/>
          <w:color w:val="auto"/>
          <w:sz w:val="32"/>
          <w:szCs w:val="32"/>
          <w:lang w:eastAsia="zh-CN"/>
        </w:rPr>
        <w:t>七</w:t>
      </w:r>
      <w:r>
        <w:rPr>
          <w:rFonts w:hint="eastAsia" w:ascii="仿宋_GB2312" w:eastAsia="仿宋_GB2312"/>
          <w:color w:val="auto"/>
          <w:sz w:val="32"/>
          <w:szCs w:val="32"/>
        </w:rPr>
        <w:t>条第一款的规定</w:t>
      </w:r>
      <w:r>
        <w:rPr>
          <w:rFonts w:hint="eastAsia" w:ascii="仿宋_GB2312" w:eastAsia="仿宋_GB2312"/>
          <w:color w:val="auto"/>
          <w:sz w:val="32"/>
          <w:szCs w:val="32"/>
          <w:lang w:eastAsia="zh-CN"/>
        </w:rPr>
        <w:t>，你</w:t>
      </w:r>
      <w:r>
        <w:rPr>
          <w:rFonts w:hint="eastAsia" w:ascii="仿宋_GB2312" w:eastAsia="仿宋_GB2312"/>
          <w:color w:val="auto"/>
          <w:sz w:val="32"/>
          <w:szCs w:val="32"/>
        </w:rPr>
        <w:t>公司前述违法行为符合《国家税务总局广西壮族自治区税务局关于修订&lt;广西壮族自治区税务行政处罚裁量基准&gt;的公告》（国家税务总局广西壮族自治区税务局公告2023年第1号）第38项规定的“特别严重”裁量阶次适用条件，拟对</w:t>
      </w:r>
      <w:r>
        <w:rPr>
          <w:rFonts w:hint="eastAsia" w:ascii="仿宋_GB2312" w:eastAsia="仿宋_GB2312"/>
          <w:color w:val="auto"/>
          <w:sz w:val="32"/>
          <w:szCs w:val="32"/>
          <w:lang w:eastAsia="zh-CN"/>
        </w:rPr>
        <w:t>你</w:t>
      </w:r>
      <w:r>
        <w:rPr>
          <w:rFonts w:hint="eastAsia" w:ascii="仿宋_GB2312" w:eastAsia="仿宋_GB2312"/>
          <w:color w:val="auto"/>
          <w:sz w:val="32"/>
          <w:szCs w:val="32"/>
        </w:rPr>
        <w:t>公司虚开发票行为处以110000元的罚款。</w:t>
      </w:r>
    </w:p>
    <w:p>
      <w:pPr>
        <w:keepNext w:val="0"/>
        <w:keepLines w:val="0"/>
        <w:pageBreakBefore w:val="0"/>
        <w:kinsoku/>
        <w:wordWrap/>
        <w:overflowPunct/>
        <w:topLinePunct w:val="0"/>
        <w:autoSpaceDE/>
        <w:autoSpaceDN/>
        <w:bidi w:val="0"/>
        <w:snapToGrid/>
        <w:spacing w:line="540" w:lineRule="exact"/>
        <w:ind w:firstLine="607"/>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二、你公司有陈述、申辩的权利。请在我局作出税务行政处罚决定之前，到我局进行陈述、申辩或自行提供陈述、申辩材料；逾期不进行陈述、申辩的，视同放弃权利。</w:t>
      </w:r>
    </w:p>
    <w:p>
      <w:pPr>
        <w:keepNext w:val="0"/>
        <w:keepLines w:val="0"/>
        <w:pageBreakBefore w:val="0"/>
        <w:kinsoku/>
        <w:wordWrap/>
        <w:overflowPunct/>
        <w:topLinePunct w:val="0"/>
        <w:autoSpaceDE/>
        <w:autoSpaceDN/>
        <w:bidi w:val="0"/>
        <w:snapToGrid/>
        <w:spacing w:line="540" w:lineRule="exact"/>
        <w:ind w:firstLine="600"/>
        <w:textAlignment w:val="auto"/>
        <w:rPr>
          <w:rFonts w:ascii="仿宋_GB2312" w:hAnsi="仿宋" w:eastAsia="仿宋_GB2312"/>
          <w:kern w:val="0"/>
          <w:sz w:val="32"/>
          <w:szCs w:val="20"/>
        </w:rPr>
      </w:pPr>
      <w:r>
        <w:rPr>
          <w:rFonts w:hint="eastAsia" w:ascii="仿宋_GB2312" w:hAnsi="仿宋" w:eastAsia="仿宋_GB2312"/>
          <w:sz w:val="32"/>
          <w:szCs w:val="24"/>
        </w:rPr>
        <w:t>三、若拟对你公司罚款10000元（含10000元）以上，或符合《中华人民共和国行政处罚法》第六十三条规定的其他情形的，你</w:t>
      </w:r>
      <w:r>
        <w:rPr>
          <w:rFonts w:hint="eastAsia" w:ascii="仿宋_GB2312" w:hAnsi="仿宋" w:eastAsia="仿宋_GB2312"/>
          <w:sz w:val="32"/>
          <w:szCs w:val="24"/>
          <w:lang w:eastAsia="zh-CN"/>
        </w:rPr>
        <w:t>公司</w:t>
      </w:r>
      <w:r>
        <w:rPr>
          <w:rFonts w:hint="eastAsia" w:ascii="仿宋_GB2312" w:hAnsi="仿宋" w:eastAsia="仿宋_GB2312"/>
          <w:sz w:val="32"/>
          <w:szCs w:val="24"/>
        </w:rPr>
        <w:t>有要求听证的权利。可自收到本告知书之日起五个工作日内向我局书面提出听证申请；逾期不提出，视为放弃听证权利。</w:t>
      </w:r>
      <w:r>
        <w:rPr>
          <w:rFonts w:hint="eastAsia" w:ascii="仿宋_GB2312" w:hAnsi="仿宋" w:eastAsia="仿宋_GB2312"/>
          <w:kern w:val="0"/>
          <w:sz w:val="32"/>
          <w:szCs w:val="20"/>
        </w:rPr>
        <w:t xml:space="preserve">                </w:t>
      </w:r>
    </w:p>
    <w:p>
      <w:pPr>
        <w:keepNext w:val="0"/>
        <w:keepLines w:val="0"/>
        <w:pageBreakBefore w:val="0"/>
        <w:kinsoku/>
        <w:wordWrap/>
        <w:overflowPunct/>
        <w:topLinePunct w:val="0"/>
        <w:autoSpaceDE/>
        <w:autoSpaceDN/>
        <w:bidi w:val="0"/>
        <w:adjustRightInd w:val="0"/>
        <w:snapToGrid/>
        <w:spacing w:line="540" w:lineRule="exact"/>
        <w:ind w:firstLine="4800" w:firstLineChars="1500"/>
        <w:jc w:val="left"/>
        <w:textAlignment w:val="auto"/>
        <w:rPr>
          <w:rFonts w:ascii="仿宋_GB2312" w:hAnsi="仿宋" w:eastAsia="仿宋_GB2312"/>
          <w:kern w:val="0"/>
          <w:sz w:val="32"/>
          <w:szCs w:val="20"/>
        </w:rPr>
      </w:pPr>
    </w:p>
    <w:p>
      <w:pPr>
        <w:keepNext w:val="0"/>
        <w:keepLines w:val="0"/>
        <w:pageBreakBefore w:val="0"/>
        <w:kinsoku/>
        <w:wordWrap/>
        <w:overflowPunct/>
        <w:topLinePunct w:val="0"/>
        <w:autoSpaceDE/>
        <w:autoSpaceDN/>
        <w:bidi w:val="0"/>
        <w:adjustRightInd w:val="0"/>
        <w:snapToGrid/>
        <w:spacing w:line="540" w:lineRule="exact"/>
        <w:ind w:firstLine="4800" w:firstLineChars="1500"/>
        <w:jc w:val="left"/>
        <w:textAlignment w:val="auto"/>
        <w:rPr>
          <w:rFonts w:ascii="仿宋_GB2312" w:hAnsi="华文仿宋" w:eastAsia="仿宋_GB2312"/>
          <w:sz w:val="32"/>
          <w:szCs w:val="32"/>
        </w:rPr>
      </w:pPr>
      <w:r>
        <w:rPr>
          <w:rFonts w:hint="eastAsia" w:ascii="仿宋_GB2312" w:hAnsi="仿宋" w:eastAsia="仿宋_GB2312"/>
          <w:kern w:val="0"/>
          <w:sz w:val="32"/>
          <w:szCs w:val="20"/>
        </w:rPr>
        <w:t>二〇</w:t>
      </w:r>
      <w:r>
        <w:rPr>
          <w:rFonts w:hint="eastAsia" w:ascii="仿宋_GB2312" w:hAnsi="仿宋" w:eastAsia="仿宋_GB2312"/>
          <w:kern w:val="0"/>
          <w:sz w:val="32"/>
          <w:szCs w:val="20"/>
          <w:lang w:eastAsia="zh-CN"/>
        </w:rPr>
        <w:t>二四</w:t>
      </w:r>
      <w:r>
        <w:rPr>
          <w:rFonts w:hint="eastAsia" w:ascii="仿宋_GB2312" w:hAnsi="仿宋" w:eastAsia="仿宋_GB2312"/>
          <w:kern w:val="0"/>
          <w:sz w:val="32"/>
          <w:szCs w:val="20"/>
        </w:rPr>
        <w:t>年</w:t>
      </w:r>
      <w:r>
        <w:rPr>
          <w:rFonts w:hint="eastAsia" w:ascii="仿宋_GB2312" w:hAnsi="仿宋" w:eastAsia="仿宋_GB2312"/>
          <w:kern w:val="0"/>
          <w:sz w:val="32"/>
          <w:szCs w:val="20"/>
          <w:lang w:val="en-US" w:eastAsia="zh-CN"/>
        </w:rPr>
        <w:t>十</w:t>
      </w:r>
      <w:r>
        <w:rPr>
          <w:rFonts w:hint="eastAsia" w:ascii="仿宋_GB2312" w:hAnsi="仿宋" w:eastAsia="仿宋_GB2312"/>
          <w:kern w:val="0"/>
          <w:sz w:val="32"/>
          <w:szCs w:val="20"/>
        </w:rPr>
        <w:t>月</w:t>
      </w:r>
      <w:r>
        <w:rPr>
          <w:rFonts w:hint="eastAsia" w:ascii="仿宋_GB2312" w:hAnsi="仿宋" w:eastAsia="仿宋_GB2312"/>
          <w:kern w:val="0"/>
          <w:sz w:val="32"/>
          <w:szCs w:val="20"/>
          <w:lang w:eastAsia="zh-CN"/>
        </w:rPr>
        <w:t>十八</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479" w:rightChars="228"/>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24" w:leftChars="202"/>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043B8F"/>
    <w:rsid w:val="01587FC1"/>
    <w:rsid w:val="015F5F6C"/>
    <w:rsid w:val="01F91F67"/>
    <w:rsid w:val="02D23AF2"/>
    <w:rsid w:val="032531DD"/>
    <w:rsid w:val="036662DD"/>
    <w:rsid w:val="03A716B4"/>
    <w:rsid w:val="040C624D"/>
    <w:rsid w:val="04B9256A"/>
    <w:rsid w:val="05B13D4E"/>
    <w:rsid w:val="072F10D5"/>
    <w:rsid w:val="07686B85"/>
    <w:rsid w:val="07DF2EC0"/>
    <w:rsid w:val="07F1749D"/>
    <w:rsid w:val="07F35FC0"/>
    <w:rsid w:val="08042AD2"/>
    <w:rsid w:val="08704187"/>
    <w:rsid w:val="089D7F7B"/>
    <w:rsid w:val="08D718C8"/>
    <w:rsid w:val="099F303B"/>
    <w:rsid w:val="0A8F0EAA"/>
    <w:rsid w:val="0AEF6352"/>
    <w:rsid w:val="0B400DED"/>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AFD621C"/>
    <w:rsid w:val="1B622311"/>
    <w:rsid w:val="1C155B85"/>
    <w:rsid w:val="1C9D01EE"/>
    <w:rsid w:val="1CAC34DB"/>
    <w:rsid w:val="1CEF4D57"/>
    <w:rsid w:val="1D6F1AC8"/>
    <w:rsid w:val="1D915A39"/>
    <w:rsid w:val="1EAF31B5"/>
    <w:rsid w:val="1F203468"/>
    <w:rsid w:val="1F2A7A2A"/>
    <w:rsid w:val="1F4278AB"/>
    <w:rsid w:val="1F566938"/>
    <w:rsid w:val="1FF54795"/>
    <w:rsid w:val="201E3FEF"/>
    <w:rsid w:val="20355F90"/>
    <w:rsid w:val="209D5005"/>
    <w:rsid w:val="20B77904"/>
    <w:rsid w:val="20C1423B"/>
    <w:rsid w:val="21373440"/>
    <w:rsid w:val="217F77B4"/>
    <w:rsid w:val="218106EF"/>
    <w:rsid w:val="220B3C07"/>
    <w:rsid w:val="22212BAD"/>
    <w:rsid w:val="22711358"/>
    <w:rsid w:val="23274EC9"/>
    <w:rsid w:val="23536B92"/>
    <w:rsid w:val="237A6399"/>
    <w:rsid w:val="241C139F"/>
    <w:rsid w:val="247D4C57"/>
    <w:rsid w:val="252B65CF"/>
    <w:rsid w:val="25BA02C0"/>
    <w:rsid w:val="25F23F1C"/>
    <w:rsid w:val="26B06C4E"/>
    <w:rsid w:val="26B66B0B"/>
    <w:rsid w:val="276F0932"/>
    <w:rsid w:val="27B10378"/>
    <w:rsid w:val="280C1DA7"/>
    <w:rsid w:val="29213ED5"/>
    <w:rsid w:val="292D673D"/>
    <w:rsid w:val="297C4320"/>
    <w:rsid w:val="29B8261D"/>
    <w:rsid w:val="29FE5D43"/>
    <w:rsid w:val="2A052307"/>
    <w:rsid w:val="2A985477"/>
    <w:rsid w:val="2B38783A"/>
    <w:rsid w:val="2B64004E"/>
    <w:rsid w:val="2BFA35B0"/>
    <w:rsid w:val="2C106849"/>
    <w:rsid w:val="2DA72E6F"/>
    <w:rsid w:val="2DE90B32"/>
    <w:rsid w:val="2E2118F8"/>
    <w:rsid w:val="2E79771E"/>
    <w:rsid w:val="2E9A7890"/>
    <w:rsid w:val="2EBD729A"/>
    <w:rsid w:val="2F556804"/>
    <w:rsid w:val="2FE71F0E"/>
    <w:rsid w:val="30590A81"/>
    <w:rsid w:val="30B21D77"/>
    <w:rsid w:val="30D6621A"/>
    <w:rsid w:val="31451E0E"/>
    <w:rsid w:val="315E0458"/>
    <w:rsid w:val="31662B18"/>
    <w:rsid w:val="32B450D0"/>
    <w:rsid w:val="33F428B9"/>
    <w:rsid w:val="349D29D0"/>
    <w:rsid w:val="352C2090"/>
    <w:rsid w:val="35915284"/>
    <w:rsid w:val="374A6DCF"/>
    <w:rsid w:val="37CF7C04"/>
    <w:rsid w:val="37EC5F9E"/>
    <w:rsid w:val="380B72F5"/>
    <w:rsid w:val="383D3737"/>
    <w:rsid w:val="386A7CAC"/>
    <w:rsid w:val="39641191"/>
    <w:rsid w:val="39AB1422"/>
    <w:rsid w:val="39AB4B2D"/>
    <w:rsid w:val="39F6757F"/>
    <w:rsid w:val="3AB009A4"/>
    <w:rsid w:val="3AB952FB"/>
    <w:rsid w:val="3AFC2D8C"/>
    <w:rsid w:val="3AFF7D6C"/>
    <w:rsid w:val="3B546014"/>
    <w:rsid w:val="3C495BD5"/>
    <w:rsid w:val="3C5B4178"/>
    <w:rsid w:val="3D861B47"/>
    <w:rsid w:val="3DD35DF2"/>
    <w:rsid w:val="3E287BFF"/>
    <w:rsid w:val="3E987551"/>
    <w:rsid w:val="3E9F1E59"/>
    <w:rsid w:val="3EEE0973"/>
    <w:rsid w:val="3F4D7DEE"/>
    <w:rsid w:val="3F593763"/>
    <w:rsid w:val="405358E9"/>
    <w:rsid w:val="40B72FD7"/>
    <w:rsid w:val="427D130E"/>
    <w:rsid w:val="42CE2DA5"/>
    <w:rsid w:val="43BB0EF9"/>
    <w:rsid w:val="44761FAC"/>
    <w:rsid w:val="455B1A34"/>
    <w:rsid w:val="463E0550"/>
    <w:rsid w:val="464E7728"/>
    <w:rsid w:val="472C3489"/>
    <w:rsid w:val="477206D5"/>
    <w:rsid w:val="47D0556C"/>
    <w:rsid w:val="488F4CFA"/>
    <w:rsid w:val="48A35DDC"/>
    <w:rsid w:val="4A335934"/>
    <w:rsid w:val="4A51220B"/>
    <w:rsid w:val="4B2140DF"/>
    <w:rsid w:val="4B93262E"/>
    <w:rsid w:val="4BE76B2D"/>
    <w:rsid w:val="4C3208C5"/>
    <w:rsid w:val="4C914CCE"/>
    <w:rsid w:val="4CC83FAD"/>
    <w:rsid w:val="4CD46A77"/>
    <w:rsid w:val="4CD92A87"/>
    <w:rsid w:val="4D5F40C2"/>
    <w:rsid w:val="4E034E06"/>
    <w:rsid w:val="4FFF7178"/>
    <w:rsid w:val="507D0AF4"/>
    <w:rsid w:val="50EB6096"/>
    <w:rsid w:val="50EE2AA6"/>
    <w:rsid w:val="50FE688E"/>
    <w:rsid w:val="51DA3205"/>
    <w:rsid w:val="521A5812"/>
    <w:rsid w:val="536D6420"/>
    <w:rsid w:val="536E5B1B"/>
    <w:rsid w:val="539A7772"/>
    <w:rsid w:val="5545214E"/>
    <w:rsid w:val="55E27662"/>
    <w:rsid w:val="55E44EFE"/>
    <w:rsid w:val="5641677F"/>
    <w:rsid w:val="56B1612C"/>
    <w:rsid w:val="581241F8"/>
    <w:rsid w:val="583A07DE"/>
    <w:rsid w:val="58786E18"/>
    <w:rsid w:val="588772D4"/>
    <w:rsid w:val="58E72D20"/>
    <w:rsid w:val="58F51D5C"/>
    <w:rsid w:val="59093F64"/>
    <w:rsid w:val="591B081F"/>
    <w:rsid w:val="5B1D16A1"/>
    <w:rsid w:val="5BF212F0"/>
    <w:rsid w:val="5C0A73BE"/>
    <w:rsid w:val="5DDF53B8"/>
    <w:rsid w:val="5DEB57F9"/>
    <w:rsid w:val="5E101302"/>
    <w:rsid w:val="5EBE2584"/>
    <w:rsid w:val="5EF64C64"/>
    <w:rsid w:val="5F8C244C"/>
    <w:rsid w:val="606B3F7B"/>
    <w:rsid w:val="60A32C9B"/>
    <w:rsid w:val="61056C82"/>
    <w:rsid w:val="61A77030"/>
    <w:rsid w:val="627E6D65"/>
    <w:rsid w:val="635232BE"/>
    <w:rsid w:val="63654CE1"/>
    <w:rsid w:val="63977A5A"/>
    <w:rsid w:val="63B239CC"/>
    <w:rsid w:val="63E24075"/>
    <w:rsid w:val="63F141C4"/>
    <w:rsid w:val="641E06BB"/>
    <w:rsid w:val="658D299A"/>
    <w:rsid w:val="678F0CD2"/>
    <w:rsid w:val="67F00980"/>
    <w:rsid w:val="67F63430"/>
    <w:rsid w:val="690C5E1E"/>
    <w:rsid w:val="6A1D6AD6"/>
    <w:rsid w:val="6A5524AE"/>
    <w:rsid w:val="6ABA6A40"/>
    <w:rsid w:val="6B1427C6"/>
    <w:rsid w:val="6B6A332F"/>
    <w:rsid w:val="6C680825"/>
    <w:rsid w:val="6D0144EE"/>
    <w:rsid w:val="6D1F3558"/>
    <w:rsid w:val="6D235438"/>
    <w:rsid w:val="6EBE4728"/>
    <w:rsid w:val="6F786E1D"/>
    <w:rsid w:val="6F8E6305"/>
    <w:rsid w:val="6FCF6DB4"/>
    <w:rsid w:val="70FF09AE"/>
    <w:rsid w:val="71446558"/>
    <w:rsid w:val="715A1175"/>
    <w:rsid w:val="71ED792D"/>
    <w:rsid w:val="72242916"/>
    <w:rsid w:val="726365BA"/>
    <w:rsid w:val="727A0C08"/>
    <w:rsid w:val="72926130"/>
    <w:rsid w:val="72DE5F13"/>
    <w:rsid w:val="735209E0"/>
    <w:rsid w:val="74AB05F6"/>
    <w:rsid w:val="759C0571"/>
    <w:rsid w:val="75ED5E87"/>
    <w:rsid w:val="75EF5F82"/>
    <w:rsid w:val="76850944"/>
    <w:rsid w:val="76B02C58"/>
    <w:rsid w:val="76D561F0"/>
    <w:rsid w:val="77943124"/>
    <w:rsid w:val="77AA3D9B"/>
    <w:rsid w:val="77F66E35"/>
    <w:rsid w:val="788D6D3A"/>
    <w:rsid w:val="78E165F0"/>
    <w:rsid w:val="79181EDC"/>
    <w:rsid w:val="79403461"/>
    <w:rsid w:val="79733DC4"/>
    <w:rsid w:val="79EA7E35"/>
    <w:rsid w:val="7A50689B"/>
    <w:rsid w:val="7AE2146C"/>
    <w:rsid w:val="7B6E0969"/>
    <w:rsid w:val="7BF23CC4"/>
    <w:rsid w:val="7CAF6E0C"/>
    <w:rsid w:val="7CF139E4"/>
    <w:rsid w:val="7D8070EE"/>
    <w:rsid w:val="7DB04BC2"/>
    <w:rsid w:val="7DFB7DCB"/>
    <w:rsid w:val="7E921505"/>
    <w:rsid w:val="7EBA155D"/>
    <w:rsid w:val="7EC8498B"/>
    <w:rsid w:val="7FD6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3"/>
    <w:qFormat/>
    <w:uiPriority w:val="0"/>
    <w:pPr>
      <w:keepNext/>
      <w:keepLines/>
      <w:jc w:val="center"/>
      <w:outlineLvl w:val="0"/>
    </w:pPr>
    <w:rPr>
      <w:rFonts w:ascii="Helvetica" w:hAnsi="Helvetica" w:eastAsia="华文中宋"/>
      <w:b/>
      <w:bCs/>
      <w:kern w:val="44"/>
      <w:sz w:val="52"/>
      <w:szCs w:val="44"/>
      <w:lang w:val="en-G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9"/>
    <w:qFormat/>
    <w:uiPriority w:val="0"/>
    <w:pPr>
      <w:spacing w:after="120"/>
    </w:pPr>
    <w:rPr>
      <w:szCs w:val="24"/>
    </w:rPr>
  </w:style>
  <w:style w:type="paragraph" w:styleId="3">
    <w:name w:val="Body Text First Indent"/>
    <w:basedOn w:val="2"/>
    <w:qFormat/>
    <w:uiPriority w:val="0"/>
    <w:pPr>
      <w:spacing w:line="500" w:lineRule="exact"/>
      <w:ind w:firstLine="420"/>
    </w:pPr>
    <w:rPr>
      <w:rFonts w:eastAsia="宋体"/>
      <w:sz w:val="28"/>
    </w:rPr>
  </w:style>
  <w:style w:type="paragraph" w:styleId="5">
    <w:name w:val="Normal Indent"/>
    <w:basedOn w:val="1"/>
    <w:qFormat/>
    <w:uiPriority w:val="0"/>
    <w:pPr>
      <w:ind w:firstLine="420"/>
    </w:pPr>
    <w:rPr>
      <w:szCs w:val="20"/>
    </w:rPr>
  </w:style>
  <w:style w:type="paragraph" w:styleId="6">
    <w:name w:val="Document Map"/>
    <w:basedOn w:val="1"/>
    <w:link w:val="38"/>
    <w:semiHidden/>
    <w:qFormat/>
    <w:uiPriority w:val="0"/>
    <w:pPr>
      <w:shd w:val="clear" w:color="auto" w:fill="000080"/>
    </w:pPr>
    <w:rPr>
      <w:szCs w:val="24"/>
    </w:rPr>
  </w:style>
  <w:style w:type="paragraph" w:styleId="7">
    <w:name w:val="Plain Text"/>
    <w:basedOn w:val="1"/>
    <w:link w:val="42"/>
    <w:qFormat/>
    <w:uiPriority w:val="0"/>
    <w:rPr>
      <w:rFonts w:ascii="宋体" w:hAnsi="Courier New" w:cs="Courier New"/>
      <w:szCs w:val="21"/>
    </w:rPr>
  </w:style>
  <w:style w:type="paragraph" w:styleId="8">
    <w:name w:val="Body Text Indent 2"/>
    <w:basedOn w:val="1"/>
    <w:link w:val="41"/>
    <w:qFormat/>
    <w:uiPriority w:val="0"/>
    <w:pPr>
      <w:ind w:right="-153" w:rightChars="-73" w:firstLine="602" w:firstLineChars="215"/>
    </w:pPr>
    <w:rPr>
      <w:sz w:val="28"/>
      <w:szCs w:val="24"/>
    </w:rPr>
  </w:style>
  <w:style w:type="paragraph" w:styleId="9">
    <w:name w:val="Balloon Text"/>
    <w:basedOn w:val="1"/>
    <w:link w:val="40"/>
    <w:semiHidden/>
    <w:qFormat/>
    <w:uiPriority w:val="0"/>
    <w:rPr>
      <w:sz w:val="18"/>
      <w:szCs w:val="18"/>
    </w:rPr>
  </w:style>
  <w:style w:type="paragraph" w:styleId="10">
    <w:name w:val="footer"/>
    <w:basedOn w:val="1"/>
    <w:link w:val="2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Tahoma" w:hAnsi="Tahoma" w:eastAsia="Times New Roman"/>
      <w:kern w:val="0"/>
      <w:sz w:val="24"/>
      <w:szCs w:val="20"/>
      <w:lang w:val="en-US" w:eastAsia="zh-CN"/>
    </w:rPr>
  </w:style>
  <w:style w:type="character" w:customStyle="1" w:styleId="17">
    <w:name w:val="页眉 Char"/>
    <w:link w:val="11"/>
    <w:qFormat/>
    <w:uiPriority w:val="0"/>
    <w:rPr>
      <w:sz w:val="18"/>
      <w:szCs w:val="18"/>
    </w:rPr>
  </w:style>
  <w:style w:type="character" w:customStyle="1" w:styleId="18">
    <w:name w:val="页脚 Char"/>
    <w:link w:val="10"/>
    <w:qFormat/>
    <w:uiPriority w:val="0"/>
    <w:rPr>
      <w:sz w:val="18"/>
      <w:szCs w:val="18"/>
    </w:rPr>
  </w:style>
  <w:style w:type="character" w:customStyle="1" w:styleId="19">
    <w:name w:val="页眉 Char1"/>
    <w:basedOn w:val="15"/>
    <w:link w:val="11"/>
    <w:semiHidden/>
    <w:qFormat/>
    <w:uiPriority w:val="99"/>
    <w:rPr>
      <w:rFonts w:ascii="Times New Roman" w:hAnsi="Times New Roman" w:eastAsia="宋体" w:cs="Times New Roman"/>
      <w:sz w:val="18"/>
      <w:szCs w:val="18"/>
    </w:rPr>
  </w:style>
  <w:style w:type="character" w:customStyle="1" w:styleId="20">
    <w:name w:val="页脚 Char1"/>
    <w:basedOn w:val="15"/>
    <w:link w:val="10"/>
    <w:semiHidden/>
    <w:qFormat/>
    <w:uiPriority w:val="99"/>
    <w:rPr>
      <w:rFonts w:ascii="Times New Roman" w:hAnsi="Times New Roman" w:eastAsia="宋体" w:cs="Times New Roman"/>
      <w:sz w:val="18"/>
      <w:szCs w:val="18"/>
    </w:rPr>
  </w:style>
  <w:style w:type="paragraph" w:customStyle="1" w:styleId="21">
    <w:name w:val="Char Char Char"/>
    <w:basedOn w:val="1"/>
    <w:qFormat/>
    <w:uiPriority w:val="0"/>
    <w:rPr>
      <w:szCs w:val="24"/>
    </w:rPr>
  </w:style>
  <w:style w:type="character" w:customStyle="1" w:styleId="22">
    <w:name w:val="font31"/>
    <w:basedOn w:val="15"/>
    <w:qFormat/>
    <w:uiPriority w:val="0"/>
    <w:rPr>
      <w:rFonts w:hint="eastAsia" w:ascii="宋体" w:hAnsi="宋体" w:eastAsia="宋体" w:cs="宋体"/>
      <w:color w:val="000000"/>
      <w:sz w:val="14"/>
      <w:szCs w:val="14"/>
      <w:u w:val="none"/>
    </w:rPr>
  </w:style>
  <w:style w:type="character" w:customStyle="1" w:styleId="23">
    <w:name w:val="font51"/>
    <w:basedOn w:val="15"/>
    <w:qFormat/>
    <w:uiPriority w:val="0"/>
    <w:rPr>
      <w:rFonts w:hint="default" w:ascii="Verdana" w:hAnsi="Verdana" w:cs="Verdana"/>
      <w:color w:val="000000"/>
      <w:sz w:val="14"/>
      <w:szCs w:val="14"/>
      <w:u w:val="none"/>
    </w:rPr>
  </w:style>
  <w:style w:type="character" w:customStyle="1" w:styleId="24">
    <w:name w:val="font111"/>
    <w:basedOn w:val="15"/>
    <w:qFormat/>
    <w:uiPriority w:val="0"/>
    <w:rPr>
      <w:rFonts w:hint="eastAsia" w:ascii="宋体" w:hAnsi="宋体" w:eastAsia="宋体" w:cs="宋体"/>
      <w:color w:val="000000"/>
      <w:sz w:val="12"/>
      <w:szCs w:val="12"/>
      <w:u w:val="none"/>
    </w:rPr>
  </w:style>
  <w:style w:type="character" w:customStyle="1" w:styleId="25">
    <w:name w:val="font121"/>
    <w:basedOn w:val="15"/>
    <w:qFormat/>
    <w:uiPriority w:val="0"/>
    <w:rPr>
      <w:rFonts w:hint="default" w:ascii="Verdana" w:hAnsi="Verdana" w:cs="Verdana"/>
      <w:color w:val="000000"/>
      <w:sz w:val="12"/>
      <w:szCs w:val="12"/>
      <w:u w:val="none"/>
    </w:rPr>
  </w:style>
  <w:style w:type="character" w:customStyle="1" w:styleId="26">
    <w:name w:val="font101"/>
    <w:basedOn w:val="15"/>
    <w:qFormat/>
    <w:uiPriority w:val="0"/>
    <w:rPr>
      <w:rFonts w:hint="eastAsia" w:ascii="宋体" w:hAnsi="宋体" w:eastAsia="宋体" w:cs="宋体"/>
      <w:color w:val="000000"/>
      <w:sz w:val="14"/>
      <w:szCs w:val="14"/>
      <w:u w:val="none"/>
    </w:rPr>
  </w:style>
  <w:style w:type="character" w:customStyle="1" w:styleId="27">
    <w:name w:val="font61"/>
    <w:basedOn w:val="15"/>
    <w:qFormat/>
    <w:uiPriority w:val="0"/>
    <w:rPr>
      <w:rFonts w:hint="default" w:ascii="Verdana" w:hAnsi="Verdana" w:cs="Verdana"/>
      <w:color w:val="000000"/>
      <w:sz w:val="14"/>
      <w:szCs w:val="14"/>
      <w:u w:val="none"/>
    </w:rPr>
  </w:style>
  <w:style w:type="character" w:customStyle="1" w:styleId="28">
    <w:name w:val="font151"/>
    <w:basedOn w:val="15"/>
    <w:qFormat/>
    <w:uiPriority w:val="0"/>
    <w:rPr>
      <w:rFonts w:hint="eastAsia" w:ascii="宋体" w:hAnsi="宋体" w:eastAsia="宋体" w:cs="宋体"/>
      <w:color w:val="000000"/>
      <w:sz w:val="12"/>
      <w:szCs w:val="12"/>
      <w:u w:val="none"/>
    </w:rPr>
  </w:style>
  <w:style w:type="character" w:customStyle="1" w:styleId="29">
    <w:name w:val="font141"/>
    <w:basedOn w:val="15"/>
    <w:qFormat/>
    <w:uiPriority w:val="0"/>
    <w:rPr>
      <w:rFonts w:hint="default" w:ascii="Verdana" w:hAnsi="Verdana" w:cs="Verdana"/>
      <w:color w:val="000000"/>
      <w:sz w:val="12"/>
      <w:szCs w:val="12"/>
      <w:u w:val="none"/>
    </w:rPr>
  </w:style>
  <w:style w:type="character" w:customStyle="1" w:styleId="30">
    <w:name w:val="font161"/>
    <w:basedOn w:val="15"/>
    <w:qFormat/>
    <w:uiPriority w:val="0"/>
    <w:rPr>
      <w:rFonts w:hint="eastAsia" w:ascii="宋体" w:hAnsi="宋体" w:eastAsia="宋体" w:cs="宋体"/>
      <w:color w:val="C00000"/>
      <w:sz w:val="12"/>
      <w:szCs w:val="12"/>
      <w:u w:val="none"/>
    </w:rPr>
  </w:style>
  <w:style w:type="character" w:customStyle="1" w:styleId="31">
    <w:name w:val="font131"/>
    <w:basedOn w:val="15"/>
    <w:qFormat/>
    <w:uiPriority w:val="0"/>
    <w:rPr>
      <w:rFonts w:hint="default" w:ascii="Verdana" w:hAnsi="Verdana" w:cs="Verdana"/>
      <w:color w:val="C00000"/>
      <w:sz w:val="12"/>
      <w:szCs w:val="12"/>
      <w:u w:val="none"/>
    </w:rPr>
  </w:style>
  <w:style w:type="character" w:customStyle="1" w:styleId="32">
    <w:name w:val="font21"/>
    <w:basedOn w:val="15"/>
    <w:qFormat/>
    <w:uiPriority w:val="0"/>
    <w:rPr>
      <w:rFonts w:hint="default" w:ascii="Verdana" w:hAnsi="Verdana" w:cs="Verdana"/>
      <w:color w:val="000000"/>
      <w:sz w:val="14"/>
      <w:szCs w:val="14"/>
      <w:u w:val="none"/>
    </w:rPr>
  </w:style>
  <w:style w:type="character" w:customStyle="1" w:styleId="33">
    <w:name w:val="标题 1 Char"/>
    <w:basedOn w:val="15"/>
    <w:link w:val="4"/>
    <w:qFormat/>
    <w:uiPriority w:val="0"/>
    <w:rPr>
      <w:rFonts w:ascii="Helvetica" w:hAnsi="Helvetica" w:eastAsia="华文中宋"/>
      <w:b/>
      <w:bCs/>
      <w:kern w:val="44"/>
      <w:sz w:val="52"/>
      <w:szCs w:val="44"/>
      <w:lang w:val="en-GB"/>
    </w:rPr>
  </w:style>
  <w:style w:type="character" w:customStyle="1" w:styleId="34">
    <w:name w:val="纯文本 Char"/>
    <w:link w:val="7"/>
    <w:qFormat/>
    <w:locked/>
    <w:uiPriority w:val="0"/>
    <w:rPr>
      <w:rFonts w:ascii="宋体" w:hAnsi="Courier New" w:cs="Courier New"/>
      <w:kern w:val="2"/>
      <w:sz w:val="21"/>
      <w:szCs w:val="21"/>
    </w:rPr>
  </w:style>
  <w:style w:type="character" w:customStyle="1" w:styleId="35">
    <w:name w:val="font11"/>
    <w:basedOn w:val="15"/>
    <w:qFormat/>
    <w:uiPriority w:val="0"/>
    <w:rPr>
      <w:rFonts w:hint="eastAsia" w:ascii="宋体" w:hAnsi="宋体" w:eastAsia="宋体" w:cs="宋体"/>
      <w:color w:val="000000"/>
      <w:sz w:val="18"/>
      <w:szCs w:val="18"/>
      <w:u w:val="none"/>
    </w:rPr>
  </w:style>
  <w:style w:type="character" w:customStyle="1" w:styleId="36">
    <w:name w:val="content1"/>
    <w:basedOn w:val="15"/>
    <w:qFormat/>
    <w:uiPriority w:val="0"/>
    <w:rPr>
      <w:rFonts w:hint="default" w:ascii="Tahoma" w:hAnsi="Tahoma" w:cs="Tahoma"/>
      <w:sz w:val="21"/>
      <w:szCs w:val="21"/>
    </w:rPr>
  </w:style>
  <w:style w:type="character" w:customStyle="1" w:styleId="37">
    <w:name w:val="Char Char1"/>
    <w:basedOn w:val="15"/>
    <w:qFormat/>
    <w:uiPriority w:val="0"/>
    <w:rPr>
      <w:rFonts w:ascii="宋体" w:hAnsi="Courier New" w:cs="Courier New"/>
      <w:kern w:val="2"/>
      <w:sz w:val="21"/>
      <w:szCs w:val="21"/>
    </w:rPr>
  </w:style>
  <w:style w:type="character" w:customStyle="1" w:styleId="38">
    <w:name w:val="文档结构图 Char"/>
    <w:basedOn w:val="15"/>
    <w:link w:val="6"/>
    <w:semiHidden/>
    <w:qFormat/>
    <w:uiPriority w:val="0"/>
    <w:rPr>
      <w:kern w:val="2"/>
      <w:sz w:val="21"/>
      <w:szCs w:val="24"/>
      <w:shd w:val="clear" w:color="auto" w:fill="000080"/>
    </w:rPr>
  </w:style>
  <w:style w:type="character" w:customStyle="1" w:styleId="39">
    <w:name w:val="正文文本 Char"/>
    <w:basedOn w:val="15"/>
    <w:link w:val="2"/>
    <w:qFormat/>
    <w:uiPriority w:val="0"/>
    <w:rPr>
      <w:kern w:val="2"/>
      <w:sz w:val="21"/>
      <w:szCs w:val="24"/>
    </w:rPr>
  </w:style>
  <w:style w:type="character" w:customStyle="1" w:styleId="40">
    <w:name w:val="批注框文本 Char"/>
    <w:basedOn w:val="15"/>
    <w:link w:val="9"/>
    <w:semiHidden/>
    <w:qFormat/>
    <w:uiPriority w:val="0"/>
    <w:rPr>
      <w:kern w:val="2"/>
      <w:sz w:val="18"/>
      <w:szCs w:val="18"/>
    </w:rPr>
  </w:style>
  <w:style w:type="character" w:customStyle="1" w:styleId="41">
    <w:name w:val="正文文本缩进 2 Char"/>
    <w:basedOn w:val="15"/>
    <w:link w:val="8"/>
    <w:qFormat/>
    <w:uiPriority w:val="0"/>
    <w:rPr>
      <w:kern w:val="2"/>
      <w:sz w:val="28"/>
      <w:szCs w:val="24"/>
    </w:rPr>
  </w:style>
  <w:style w:type="character" w:customStyle="1" w:styleId="42">
    <w:name w:val="纯文本 Char1"/>
    <w:basedOn w:val="15"/>
    <w:link w:val="7"/>
    <w:semiHidden/>
    <w:qFormat/>
    <w:uiPriority w:val="99"/>
    <w:rPr>
      <w:rFonts w:ascii="宋体" w:hAnsi="Courier New" w:cs="Courier New"/>
      <w:kern w:val="2"/>
      <w:sz w:val="21"/>
      <w:szCs w:val="21"/>
    </w:rPr>
  </w:style>
  <w:style w:type="paragraph" w:customStyle="1" w:styleId="43">
    <w:name w:val="Char"/>
    <w:basedOn w:val="1"/>
    <w:qFormat/>
    <w:uiPriority w:val="0"/>
    <w:rPr>
      <w:szCs w:val="24"/>
    </w:rPr>
  </w:style>
  <w:style w:type="paragraph" w:customStyle="1" w:styleId="44">
    <w:name w:val="Char Char Char Char"/>
    <w:basedOn w:val="1"/>
    <w:qFormat/>
    <w:uiPriority w:val="0"/>
    <w:pPr>
      <w:spacing w:before="120" w:after="120" w:line="360" w:lineRule="auto"/>
      <w:ind w:firstLine="420"/>
    </w:pPr>
    <w:rPr>
      <w:rFonts w:ascii="Tahoma" w:hAnsi="Tahoma"/>
      <w:sz w:val="28"/>
      <w:szCs w:val="20"/>
    </w:rPr>
  </w:style>
  <w:style w:type="paragraph" w:customStyle="1" w:styleId="45">
    <w:name w:val="Char1 Char Char Char"/>
    <w:basedOn w:val="6"/>
    <w:qFormat/>
    <w:uiPriority w:val="0"/>
    <w:rPr>
      <w:rFonts w:ascii="Tahoma" w:hAnsi="Tahoma"/>
      <w:sz w:val="24"/>
    </w:rPr>
  </w:style>
  <w:style w:type="paragraph" w:customStyle="1" w:styleId="46">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0</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cp:lastPrinted>2024-09-14T04:24:00Z</cp:lastPrinted>
  <dcterms:modified xsi:type="dcterms:W3CDTF">2024-10-29T01:51:01Z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