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1261"/>
      <w:bookmarkStart w:id="1" w:name="_Toc33370868"/>
      <w:bookmarkStart w:id="2" w:name="_Toc33372011"/>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10071</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napToGrid/>
        <w:spacing w:line="540" w:lineRule="exact"/>
        <w:textAlignment w:val="auto"/>
        <w:rPr>
          <w:rFonts w:hint="eastAsia" w:ascii="仿宋_GB2312" w:eastAsia="仿宋_GB2312"/>
          <w:sz w:val="32"/>
        </w:rPr>
      </w:pPr>
      <w:r>
        <w:rPr>
          <w:rFonts w:hint="eastAsia" w:ascii="仿宋_GB2312" w:eastAsia="仿宋_GB2312"/>
          <w:sz w:val="32"/>
          <w:szCs w:val="32"/>
        </w:rPr>
        <w:t>南宁魏宏昊鑫酒店管理有限公司（</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eastAsia="仿宋_GB2312"/>
          <w:color w:val="auto"/>
          <w:sz w:val="32"/>
          <w:szCs w:val="32"/>
          <w:lang w:eastAsia="zh-CN"/>
        </w:rPr>
        <w:t>91450108MAA7T37H1A</w:t>
      </w:r>
      <w:r>
        <w:rPr>
          <w:rFonts w:hint="eastAsia" w:ascii="仿宋_GB2312" w:hAnsi="仿宋" w:eastAsia="仿宋_GB2312"/>
          <w:spacing w:val="-20"/>
          <w:sz w:val="32"/>
          <w:szCs w:val="32"/>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color w:val="auto"/>
          <w:sz w:val="32"/>
          <w:szCs w:val="32"/>
        </w:rPr>
        <w:t>中国（广西）自由贸易试验区南宁片区金龙路8号16号楼2层T1233号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 xml:space="preserve">一、税务行政处罚的事实、理由、依据及拟作出的处罚决定:                                              </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（一）你公司属于走逃（失联）企业</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你公司未在税务登记注册地址和生产经营地址经营，法定代表人、财务负责人、办税人电话无法联系,</w:t>
      </w:r>
      <w:r>
        <w:rPr>
          <w:rFonts w:hint="eastAsia" w:ascii="仿宋" w:hAnsi="仿宋" w:eastAsia="仿宋" w:cs="仿宋"/>
          <w:color w:val="auto"/>
          <w:sz w:val="32"/>
          <w:szCs w:val="32"/>
          <w:lang w:val="en-US" w:eastAsia="zh-CN"/>
        </w:rPr>
        <w:t>2024年9月1日</w:t>
      </w:r>
      <w:r>
        <w:rPr>
          <w:rFonts w:hint="eastAsia" w:ascii="仿宋" w:hAnsi="仿宋" w:eastAsia="仿宋" w:cs="仿宋"/>
          <w:color w:val="auto"/>
          <w:sz w:val="32"/>
          <w:szCs w:val="32"/>
        </w:rPr>
        <w:t>被主管税务机关</w:t>
      </w:r>
      <w:r>
        <w:rPr>
          <w:rFonts w:hint="eastAsia" w:ascii="仿宋" w:hAnsi="仿宋" w:eastAsia="仿宋" w:cs="仿宋"/>
          <w:color w:val="auto"/>
          <w:sz w:val="32"/>
          <w:szCs w:val="32"/>
          <w:lang w:eastAsia="zh-CN"/>
        </w:rPr>
        <w:t>认定为非正常户</w:t>
      </w:r>
      <w:r>
        <w:rPr>
          <w:rFonts w:hint="eastAsia" w:ascii="仿宋" w:hAnsi="仿宋" w:eastAsia="仿宋" w:cs="仿宋"/>
          <w:color w:val="auto"/>
          <w:sz w:val="32"/>
          <w:szCs w:val="32"/>
        </w:rPr>
        <w:t>。至检查结束止，你公司未配合税务检查，也未按要求提供相关涉税资料。</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_GB2312" w:hAnsi="仿宋" w:eastAsia="仿宋_GB2312" w:cs="Times New Roman"/>
          <w:color w:val="auto"/>
          <w:sz w:val="32"/>
          <w:szCs w:val="32"/>
          <w:lang w:eastAsia="zh-CN"/>
        </w:rPr>
        <w:t>你公司存在虚开增值税发票问题</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取得增值税发票情况</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你公司</w:t>
      </w:r>
      <w:r>
        <w:rPr>
          <w:rFonts w:hint="eastAsia" w:ascii="仿宋_GB2312" w:eastAsia="仿宋_GB2312"/>
          <w:color w:val="auto"/>
          <w:sz w:val="32"/>
          <w:szCs w:val="32"/>
          <w:lang w:eastAsia="zh-CN"/>
        </w:rPr>
        <w:t>检查所属期内</w:t>
      </w:r>
      <w:r>
        <w:rPr>
          <w:rFonts w:hint="eastAsia" w:ascii="仿宋" w:hAnsi="仿宋" w:eastAsia="仿宋" w:cs="仿宋"/>
          <w:color w:val="auto"/>
          <w:sz w:val="32"/>
          <w:szCs w:val="32"/>
          <w:lang w:val="en-US" w:eastAsia="zh-CN"/>
        </w:rPr>
        <w:t>未发现取得由上游公司开具的增值税专用发票认证抵扣记录及取得普通发票记录。</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2.开具增值税发票情况</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你公司2022年11月至2023年4月向主管税务机关领用增值税电子普通发票200份，发票代码：045002000111，发票号码：87187637-87187686（50份）、88447995-88448044（50份）；发票代码：045002100211，发票号码：68600424-68600473（50份）、68818825-68818874（50份）。</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你公司2023年1月至5月开具增值税电子普通发票173份，发票代码：045002000111，发票号码：87187637-87187686（50份），88447995-88448044（50份）；发票代码：045002100211，发票号码：68600424-68600473（50份），68818825-68818847（23份）；发票金额1475942.84元，税额19311.86元，价税合计1495254.7元；货物名称为*餐饮服务*餐费、*会展服务*会议费、*企业管理服务*物业费等，</w:t>
      </w:r>
      <w:r>
        <w:rPr>
          <w:rFonts w:hint="eastAsia" w:ascii="仿宋_GB2312" w:hAnsi="Times New Roman" w:eastAsia="仿宋_GB2312" w:cs="Times New Roman"/>
          <w:color w:val="000000"/>
          <w:sz w:val="32"/>
          <w:szCs w:val="32"/>
          <w:lang w:val="en-US" w:eastAsia="zh-CN"/>
        </w:rPr>
        <w:t>受票单位</w:t>
      </w:r>
      <w:r>
        <w:rPr>
          <w:rFonts w:hint="eastAsia" w:ascii="仿宋" w:hAnsi="仿宋" w:eastAsia="仿宋" w:cs="仿宋"/>
          <w:color w:val="auto"/>
          <w:sz w:val="32"/>
          <w:szCs w:val="32"/>
          <w:lang w:val="en-US" w:eastAsia="zh-CN"/>
        </w:rPr>
        <w:t>：北京安荣科技有限公司、北京笔克联动咨询有限公司、北京恒泰博车网络拍卖有限公司等。经核查，你公司2022年10-12月税款所属期零申报，未开具发票；2023年1-3月税款所属期申报免税销售额1,041,065.70元，与2023年1-3月开票金额1,041,065.70元一致，2023年4月至今税款所属期未申报。</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你公司领用未开具增值税电子普通发票27份，发票代码：045002100211，发票号码：68818848—68818874（27份），发票状态为“失控”。</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 w:eastAsia="仿宋_GB2312"/>
          <w:color w:val="auto"/>
          <w:sz w:val="32"/>
          <w:szCs w:val="32"/>
          <w:lang w:val="en-US" w:eastAsia="zh-CN"/>
        </w:rPr>
        <w:t>3.你公司未向税务机关报备银行账户，查询你公司在开具发票上留存的银行账户</w:t>
      </w:r>
      <w:r>
        <w:rPr>
          <w:rFonts w:hint="eastAsia" w:ascii="仿宋" w:hAnsi="仿宋" w:eastAsia="仿宋" w:cs="仿宋"/>
          <w:color w:val="auto"/>
          <w:sz w:val="32"/>
          <w:szCs w:val="32"/>
          <w:lang w:val="en-US" w:eastAsia="zh-CN"/>
        </w:rPr>
        <w:t>，兴业银行股份有限公司南宁分行反馈，账户497010100632928***</w:t>
      </w:r>
      <w:bookmarkStart w:id="3" w:name="_GoBack"/>
      <w:bookmarkEnd w:id="3"/>
      <w:r>
        <w:rPr>
          <w:rFonts w:hint="eastAsia" w:ascii="仿宋" w:hAnsi="仿宋" w:eastAsia="仿宋" w:cs="仿宋"/>
          <w:color w:val="auto"/>
          <w:sz w:val="32"/>
          <w:szCs w:val="32"/>
          <w:lang w:val="en-US" w:eastAsia="zh-CN"/>
        </w:rPr>
        <w:t>不存在。</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综上，你公司开具上述173份增值税电子普通发票，虚假填列增值税纳税申报表“免税销售额”栏次，且银行账户虚假，无收取受票方资金记录，上述行为属于开具与实际经营业务情况不符的增值税普通发票行为，违反了《中华人民共和国发票管理办法》（财政部令第6号公布，国务院令第709号</w:t>
      </w:r>
      <w:r>
        <w:rPr>
          <w:rFonts w:hint="eastAsia" w:ascii="仿宋_GB2312" w:hAnsi="仿宋_GB2312" w:eastAsia="仿宋_GB2312" w:cs="仿宋_GB2312"/>
          <w:sz w:val="32"/>
          <w:szCs w:val="32"/>
        </w:rPr>
        <w:t>修订</w:t>
      </w:r>
      <w:r>
        <w:rPr>
          <w:rFonts w:hint="eastAsia" w:ascii="仿宋" w:hAnsi="仿宋" w:eastAsia="仿宋" w:cs="仿宋"/>
          <w:color w:val="auto"/>
          <w:sz w:val="32"/>
          <w:szCs w:val="32"/>
          <w:lang w:val="en-US" w:eastAsia="zh-CN"/>
        </w:rPr>
        <w:t>）第二十二条第一款、第二款第（一）项的规定，属于虚开发票行为</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_GB2312" w:eastAsia="仿宋_GB2312"/>
          <w:color w:val="auto"/>
          <w:sz w:val="32"/>
          <w:szCs w:val="32"/>
        </w:rPr>
        <w:t>根据</w:t>
      </w:r>
      <w:r>
        <w:rPr>
          <w:rFonts w:hint="eastAsia" w:ascii="仿宋_GB2312" w:eastAsia="仿宋_GB2312"/>
          <w:b w:val="0"/>
          <w:bCs w:val="0"/>
          <w:color w:val="auto"/>
          <w:sz w:val="32"/>
          <w:szCs w:val="32"/>
        </w:rPr>
        <w:t>《中华人民共和国发票管理办法》（</w:t>
      </w:r>
      <w:r>
        <w:rPr>
          <w:rFonts w:hint="eastAsia" w:ascii="仿宋_GB2312" w:eastAsia="仿宋_GB2312"/>
          <w:color w:val="auto"/>
          <w:sz w:val="32"/>
          <w:szCs w:val="32"/>
        </w:rPr>
        <w:t>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eastAsia="仿宋_GB2312"/>
          <w:color w:val="auto"/>
          <w:sz w:val="32"/>
          <w:szCs w:val="32"/>
        </w:rPr>
        <w:t>，国务院令第709号</w:t>
      </w:r>
      <w:r>
        <w:rPr>
          <w:rFonts w:hint="eastAsia" w:ascii="仿宋_GB2312" w:hAnsi="仿宋_GB2312" w:eastAsia="仿宋_GB2312" w:cs="仿宋_GB2312"/>
          <w:sz w:val="32"/>
          <w:szCs w:val="32"/>
        </w:rPr>
        <w:t>修订</w:t>
      </w:r>
      <w:r>
        <w:rPr>
          <w:rFonts w:hint="eastAsia" w:ascii="仿宋_GB2312" w:eastAsia="仿宋_GB2312"/>
          <w:color w:val="auto"/>
          <w:sz w:val="32"/>
          <w:szCs w:val="32"/>
        </w:rPr>
        <w:t>）第三十七条第一款的规定</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前述违法行为符合</w:t>
      </w:r>
      <w:r>
        <w:rPr>
          <w:rFonts w:hint="eastAsia" w:ascii="仿宋_GB2312" w:hAnsi="仿宋_GB2312" w:eastAsia="仿宋_GB2312" w:cs="仿宋_GB2312"/>
          <w:sz w:val="32"/>
          <w:szCs w:val="32"/>
        </w:rPr>
        <w:t>《国家税务总局广西壮族自治区税务局关于修订&lt;广西壮族自治区税务行政处罚裁量基准&gt;的公告》（国家税务总局广西壮族自治区税务局公告2023年第1号）</w:t>
      </w:r>
      <w:r>
        <w:rPr>
          <w:rFonts w:hint="eastAsia" w:ascii="仿宋_GB2312" w:eastAsia="仿宋_GB2312"/>
          <w:color w:val="auto"/>
          <w:sz w:val="32"/>
          <w:szCs w:val="32"/>
        </w:rPr>
        <w:t>第38项规定的“特别严重”裁量阶次适用条件，拟对</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虚开发票行为处以110000元的罚款。</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二、你公司有陈述、申辩的权利。请在我局作出税务行政处罚决定之前，到我局进行陈述、申辩或自行提供陈述、申辩材料；逾期不进行陈述、申辩的，视同放弃权利。</w:t>
      </w:r>
    </w:p>
    <w:p>
      <w:pPr>
        <w:keepNext w:val="0"/>
        <w:keepLines w:val="0"/>
        <w:pageBreakBefore w:val="0"/>
        <w:kinsoku/>
        <w:wordWrap/>
        <w:overflowPunct/>
        <w:topLinePunct w:val="0"/>
        <w:autoSpaceDE/>
        <w:autoSpaceDN/>
        <w:bidi w:val="0"/>
        <w:snapToGrid/>
        <w:spacing w:line="54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keepNext w:val="0"/>
        <w:keepLines w:val="0"/>
        <w:pageBreakBefore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仿宋" w:eastAsia="仿宋_GB2312"/>
          <w:kern w:val="0"/>
          <w:sz w:val="32"/>
          <w:szCs w:val="20"/>
        </w:rPr>
      </w:pPr>
    </w:p>
    <w:p>
      <w:pPr>
        <w:keepNext w:val="0"/>
        <w:keepLines w:val="0"/>
        <w:pageBreakBefore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2531DD"/>
    <w:rsid w:val="036662DD"/>
    <w:rsid w:val="03A716B4"/>
    <w:rsid w:val="040C624D"/>
    <w:rsid w:val="04301350"/>
    <w:rsid w:val="04B9256A"/>
    <w:rsid w:val="05B13D4E"/>
    <w:rsid w:val="072F10D5"/>
    <w:rsid w:val="07686B85"/>
    <w:rsid w:val="07DF2EC0"/>
    <w:rsid w:val="07F1749D"/>
    <w:rsid w:val="07F35FC0"/>
    <w:rsid w:val="08042AD2"/>
    <w:rsid w:val="08704187"/>
    <w:rsid w:val="089D7F7B"/>
    <w:rsid w:val="08D718C8"/>
    <w:rsid w:val="099F303B"/>
    <w:rsid w:val="0A1A10B7"/>
    <w:rsid w:val="0A8F0EAA"/>
    <w:rsid w:val="0AEF6352"/>
    <w:rsid w:val="0B400DED"/>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AC37C4A"/>
    <w:rsid w:val="1AFD621C"/>
    <w:rsid w:val="1B622311"/>
    <w:rsid w:val="1C155B85"/>
    <w:rsid w:val="1C9D01EE"/>
    <w:rsid w:val="1CAC34DB"/>
    <w:rsid w:val="1CEF4D57"/>
    <w:rsid w:val="1D6F1AC8"/>
    <w:rsid w:val="1D915A39"/>
    <w:rsid w:val="1EAF31B5"/>
    <w:rsid w:val="1F203468"/>
    <w:rsid w:val="1F4278AB"/>
    <w:rsid w:val="1F566938"/>
    <w:rsid w:val="1FF54795"/>
    <w:rsid w:val="20355F90"/>
    <w:rsid w:val="209D5005"/>
    <w:rsid w:val="20B77904"/>
    <w:rsid w:val="20C1423B"/>
    <w:rsid w:val="21373440"/>
    <w:rsid w:val="214532B0"/>
    <w:rsid w:val="217F77B4"/>
    <w:rsid w:val="218106EF"/>
    <w:rsid w:val="220B3C07"/>
    <w:rsid w:val="22212BAD"/>
    <w:rsid w:val="22711358"/>
    <w:rsid w:val="23274EC9"/>
    <w:rsid w:val="23536B92"/>
    <w:rsid w:val="237A6399"/>
    <w:rsid w:val="241C139F"/>
    <w:rsid w:val="247D4C57"/>
    <w:rsid w:val="252B65CF"/>
    <w:rsid w:val="25BA02C0"/>
    <w:rsid w:val="25F23F1C"/>
    <w:rsid w:val="26B06C4E"/>
    <w:rsid w:val="26B66B0B"/>
    <w:rsid w:val="276F0932"/>
    <w:rsid w:val="27B10378"/>
    <w:rsid w:val="280C1DA7"/>
    <w:rsid w:val="29213ED5"/>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B62D32"/>
    <w:rsid w:val="30D6621A"/>
    <w:rsid w:val="31451E0E"/>
    <w:rsid w:val="31662B18"/>
    <w:rsid w:val="32B450D0"/>
    <w:rsid w:val="33F428B9"/>
    <w:rsid w:val="349D29D0"/>
    <w:rsid w:val="352C2090"/>
    <w:rsid w:val="35915284"/>
    <w:rsid w:val="36A4489C"/>
    <w:rsid w:val="374A6DCF"/>
    <w:rsid w:val="37CF7C04"/>
    <w:rsid w:val="37EC5F9E"/>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9F1E59"/>
    <w:rsid w:val="3EEE0973"/>
    <w:rsid w:val="3F4D7DEE"/>
    <w:rsid w:val="3F593763"/>
    <w:rsid w:val="405358E9"/>
    <w:rsid w:val="40B72FD7"/>
    <w:rsid w:val="427D130E"/>
    <w:rsid w:val="42CE2DA5"/>
    <w:rsid w:val="43BB0EF9"/>
    <w:rsid w:val="44761FAC"/>
    <w:rsid w:val="455B1A34"/>
    <w:rsid w:val="463E0550"/>
    <w:rsid w:val="464E7728"/>
    <w:rsid w:val="472C3489"/>
    <w:rsid w:val="477206D5"/>
    <w:rsid w:val="47D0556C"/>
    <w:rsid w:val="488F4CFA"/>
    <w:rsid w:val="48A35DDC"/>
    <w:rsid w:val="4A335934"/>
    <w:rsid w:val="4A51220B"/>
    <w:rsid w:val="4B2140DF"/>
    <w:rsid w:val="4B93262E"/>
    <w:rsid w:val="4C3208C5"/>
    <w:rsid w:val="4C914CCE"/>
    <w:rsid w:val="4CD46A77"/>
    <w:rsid w:val="4CD92A87"/>
    <w:rsid w:val="4D5F40C2"/>
    <w:rsid w:val="4E034E06"/>
    <w:rsid w:val="4FFF7178"/>
    <w:rsid w:val="507D0AF4"/>
    <w:rsid w:val="50EB6096"/>
    <w:rsid w:val="50EE2AA6"/>
    <w:rsid w:val="50FE688E"/>
    <w:rsid w:val="51DA3205"/>
    <w:rsid w:val="521A5812"/>
    <w:rsid w:val="536D6420"/>
    <w:rsid w:val="536E5B1B"/>
    <w:rsid w:val="539A7772"/>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1D6AD6"/>
    <w:rsid w:val="6A5524AE"/>
    <w:rsid w:val="6ABA6A40"/>
    <w:rsid w:val="6B1427C6"/>
    <w:rsid w:val="6B6A332F"/>
    <w:rsid w:val="6C680825"/>
    <w:rsid w:val="6D0144EE"/>
    <w:rsid w:val="6D1F3558"/>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4A7217"/>
    <w:rsid w:val="759C0571"/>
    <w:rsid w:val="75ED5E87"/>
    <w:rsid w:val="75EF5F82"/>
    <w:rsid w:val="76850944"/>
    <w:rsid w:val="76B02C58"/>
    <w:rsid w:val="76D561F0"/>
    <w:rsid w:val="77943124"/>
    <w:rsid w:val="77AA3D9B"/>
    <w:rsid w:val="77F66E35"/>
    <w:rsid w:val="782C1A96"/>
    <w:rsid w:val="788D6D3A"/>
    <w:rsid w:val="78E165F0"/>
    <w:rsid w:val="79181EDC"/>
    <w:rsid w:val="79403461"/>
    <w:rsid w:val="79733DC4"/>
    <w:rsid w:val="79EA7E35"/>
    <w:rsid w:val="7A50689B"/>
    <w:rsid w:val="7AE2146C"/>
    <w:rsid w:val="7B6E0969"/>
    <w:rsid w:val="7BF23CC4"/>
    <w:rsid w:val="7C4D6698"/>
    <w:rsid w:val="7CAF6E0C"/>
    <w:rsid w:val="7CF139E4"/>
    <w:rsid w:val="7D8070EE"/>
    <w:rsid w:val="7DB04BC2"/>
    <w:rsid w:val="7DFB7DCB"/>
    <w:rsid w:val="7E921505"/>
    <w:rsid w:val="7EBA155D"/>
    <w:rsid w:val="7EC8498B"/>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2024-10-23T03:56:00Z</cp:lastPrinted>
  <dcterms:modified xsi:type="dcterms:W3CDTF">2024-10-29T01:54:27Z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