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color w:val="auto"/>
          <w:spacing w:val="-24"/>
          <w:sz w:val="52"/>
          <w:szCs w:val="52"/>
        </w:rPr>
      </w:pPr>
      <w:r>
        <w:rPr>
          <w:rFonts w:hint="eastAsia" w:ascii="华文中宋" w:hAnsi="华文中宋" w:eastAsia="华文中宋" w:cs="华文中宋"/>
          <w:b/>
          <w:color w:val="auto"/>
          <w:spacing w:val="-24"/>
          <w:sz w:val="52"/>
          <w:szCs w:val="52"/>
        </w:rPr>
        <w:t>国家税务总局</w:t>
      </w:r>
      <w:r>
        <w:rPr>
          <w:rFonts w:hint="eastAsia" w:ascii="华文中宋" w:hAnsi="华文中宋" w:eastAsia="华文中宋" w:cs="华文中宋"/>
          <w:b/>
          <w:bCs/>
          <w:color w:val="auto"/>
          <w:spacing w:val="-24"/>
          <w:sz w:val="52"/>
          <w:szCs w:val="52"/>
        </w:rPr>
        <w:t>南宁市税务局稽查局</w:t>
      </w:r>
    </w:p>
    <w:p>
      <w:pPr>
        <w:adjustRightInd w:val="0"/>
        <w:snapToGrid w:val="0"/>
        <w:spacing w:line="1000" w:lineRule="exact"/>
        <w:jc w:val="center"/>
        <w:rPr>
          <w:rFonts w:ascii="华文中宋" w:hAnsi="华文中宋" w:eastAsia="华文中宋" w:cs="华文中宋"/>
          <w:b/>
          <w:bCs/>
          <w:color w:val="auto"/>
          <w:spacing w:val="-24"/>
          <w:sz w:val="72"/>
          <w:szCs w:val="72"/>
        </w:rPr>
      </w:pPr>
      <w:r>
        <w:rPr>
          <w:rFonts w:hint="eastAsia" w:ascii="华文中宋" w:hAnsi="华文中宋" w:eastAsia="华文中宋" w:cs="华文中宋"/>
          <w:b/>
          <w:bCs/>
          <w:color w:val="auto"/>
          <w:spacing w:val="-24"/>
          <w:sz w:val="72"/>
          <w:szCs w:val="72"/>
        </w:rPr>
        <w:t>税务行政处罚事项告知书</w:t>
      </w:r>
    </w:p>
    <w:p>
      <w:pPr>
        <w:adjustRightInd w:val="0"/>
        <w:snapToGrid w:val="0"/>
        <w:spacing w:line="800" w:lineRule="exact"/>
        <w:jc w:val="center"/>
        <w:rPr>
          <w:rFonts w:ascii="仿宋_GB2312" w:eastAsia="仿宋_GB2312"/>
          <w:color w:val="auto"/>
          <w:spacing w:val="20"/>
          <w:sz w:val="32"/>
        </w:rPr>
      </w:pPr>
      <w:bookmarkStart w:id="0" w:name="_Toc33370868"/>
      <w:bookmarkStart w:id="1" w:name="_Toc33372011"/>
      <w:bookmarkStart w:id="2" w:name="_Toc33371261"/>
      <w:r>
        <w:rPr>
          <w:rFonts w:hint="eastAsia" w:ascii="仿宋_GB2312" w:eastAsia="仿宋_GB2312"/>
          <w:color w:val="auto"/>
          <w:spacing w:val="20"/>
          <w:sz w:val="32"/>
          <w:szCs w:val="32"/>
        </w:rPr>
        <w:t>南市税</w:t>
      </w:r>
      <w:r>
        <w:rPr>
          <w:rFonts w:hint="eastAsia" w:ascii="仿宋_GB2312" w:eastAsia="仿宋_GB2312"/>
          <w:color w:val="auto"/>
          <w:spacing w:val="20"/>
          <w:sz w:val="32"/>
        </w:rPr>
        <w:t>稽罚告〔20</w:t>
      </w:r>
      <w:r>
        <w:rPr>
          <w:rFonts w:hint="eastAsia" w:ascii="仿宋_GB2312" w:hAnsi="仿宋_GB2312" w:eastAsia="仿宋_GB2312" w:cs="仿宋_GB2312"/>
          <w:color w:val="auto"/>
          <w:spacing w:val="20"/>
          <w:sz w:val="32"/>
          <w:lang w:val="en-US" w:eastAsia="zh-CN"/>
        </w:rPr>
        <w:t>24</w:t>
      </w:r>
      <w:r>
        <w:rPr>
          <w:rFonts w:hint="eastAsia" w:ascii="仿宋_GB2312" w:eastAsia="仿宋_GB2312"/>
          <w:color w:val="auto"/>
          <w:spacing w:val="20"/>
          <w:sz w:val="32"/>
        </w:rPr>
        <w:t>〕</w:t>
      </w:r>
      <w:bookmarkEnd w:id="0"/>
      <w:bookmarkEnd w:id="1"/>
      <w:bookmarkEnd w:id="2"/>
      <w:r>
        <w:rPr>
          <w:rFonts w:hint="eastAsia" w:ascii="仿宋_GB2312" w:hAnsi="仿宋_GB2312" w:eastAsia="仿宋_GB2312" w:cs="仿宋_GB2312"/>
          <w:color w:val="auto"/>
          <w:spacing w:val="20"/>
          <w:sz w:val="32"/>
        </w:rPr>
        <w:t>10092</w:t>
      </w:r>
      <w:r>
        <w:rPr>
          <w:rFonts w:hint="eastAsia" w:ascii="仿宋_GB2312" w:eastAsia="仿宋_GB2312"/>
          <w:color w:val="auto"/>
          <w:spacing w:val="20"/>
          <w:sz w:val="32"/>
        </w:rPr>
        <w:t>号</w:t>
      </w:r>
    </w:p>
    <w:p>
      <w:pPr>
        <w:spacing w:line="600" w:lineRule="exact"/>
        <w:rPr>
          <w:rFonts w:hint="eastAsia" w:ascii="仿宋_GB2312" w:hAnsi="仿宋_GB2312" w:eastAsia="仿宋_GB2312" w:cs="仿宋_GB2312"/>
          <w:color w:val="auto"/>
          <w:sz w:val="32"/>
          <w:szCs w:val="32"/>
        </w:rPr>
      </w:pPr>
    </w:p>
    <w:p>
      <w:pPr>
        <w:spacing w:line="600" w:lineRule="exact"/>
        <w:rPr>
          <w:rFonts w:ascii="仿宋_GB2312" w:eastAsia="仿宋_GB2312"/>
          <w:color w:val="auto"/>
          <w:sz w:val="32"/>
        </w:rPr>
      </w:pPr>
      <w:r>
        <w:rPr>
          <w:rFonts w:hint="eastAsia" w:ascii="仿宋_GB2312" w:eastAsia="仿宋_GB2312"/>
          <w:color w:val="auto"/>
          <w:sz w:val="32"/>
          <w:szCs w:val="32"/>
        </w:rPr>
        <w:t>南宁鼎益富馨餐饮管理有限</w:t>
      </w:r>
      <w:r>
        <w:rPr>
          <w:rFonts w:hint="eastAsia" w:ascii="仿宋_GB2312" w:hAnsi="仿宋_GB2312" w:eastAsia="仿宋_GB2312" w:cs="仿宋_GB2312"/>
          <w:color w:val="auto"/>
          <w:sz w:val="32"/>
          <w:szCs w:val="32"/>
        </w:rPr>
        <w:t>公司</w:t>
      </w:r>
      <w:r>
        <w:rPr>
          <w:rFonts w:hint="eastAsia" w:ascii="仿宋_GB2312" w:hAnsi="宋体" w:eastAsia="仿宋_GB2312"/>
          <w:color w:val="auto"/>
          <w:sz w:val="32"/>
          <w:szCs w:val="32"/>
        </w:rPr>
        <w:t>（纳税人识别号：</w:t>
      </w:r>
      <w:r>
        <w:rPr>
          <w:rFonts w:hint="eastAsia" w:ascii="仿宋_GB2312" w:eastAsia="仿宋_GB2312"/>
          <w:color w:val="auto"/>
          <w:sz w:val="32"/>
          <w:szCs w:val="32"/>
          <w:lang w:eastAsia="zh-CN"/>
        </w:rPr>
        <w:t>91450100MACB96CX05</w:t>
      </w:r>
      <w:r>
        <w:rPr>
          <w:rFonts w:hint="eastAsia" w:ascii="仿宋_GB2312" w:hAnsi="宋体" w:eastAsia="仿宋_GB2312"/>
          <w:color w:val="auto"/>
          <w:sz w:val="32"/>
          <w:szCs w:val="32"/>
        </w:rPr>
        <w:t>）</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rPr>
      </w:pPr>
      <w:r>
        <w:rPr>
          <w:rFonts w:hint="eastAsia" w:ascii="仿宋_GB2312" w:eastAsia="仿宋_GB2312"/>
          <w:color w:val="auto"/>
          <w:sz w:val="32"/>
        </w:rPr>
        <w:t>对你公司（地址：</w:t>
      </w:r>
      <w:r>
        <w:rPr>
          <w:rFonts w:hint="eastAsia" w:ascii="仿宋_GB2312" w:eastAsia="仿宋_GB2312"/>
          <w:color w:val="auto"/>
          <w:sz w:val="32"/>
          <w:szCs w:val="32"/>
        </w:rPr>
        <w:t>南宁市西乡塘区南宁市万秀北路13号202号房</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color w:val="auto"/>
          <w:sz w:val="32"/>
        </w:rPr>
      </w:pPr>
      <w:r>
        <w:rPr>
          <w:rFonts w:hint="eastAsia" w:ascii="仿宋_GB2312" w:eastAsia="仿宋_GB2312"/>
          <w:color w:val="auto"/>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color w:val="auto"/>
          <w:sz w:val="32"/>
          <w:szCs w:val="32"/>
        </w:rPr>
      </w:pPr>
      <w:r>
        <w:rPr>
          <w:rFonts w:hint="eastAsia" w:ascii="仿宋_GB2312" w:hAnsi="仿宋" w:eastAsia="仿宋_GB2312"/>
          <w:color w:val="auto"/>
          <w:sz w:val="32"/>
          <w:szCs w:val="24"/>
        </w:rPr>
        <w:t>（一）</w:t>
      </w:r>
      <w:r>
        <w:rPr>
          <w:rFonts w:hint="eastAsia" w:ascii="仿宋_GB2312" w:eastAsia="仿宋_GB2312"/>
          <w:color w:val="auto"/>
          <w:sz w:val="32"/>
        </w:rPr>
        <w:t>你公司</w:t>
      </w:r>
      <w:r>
        <w:rPr>
          <w:rFonts w:hint="eastAsia" w:ascii="仿宋_GB2312" w:eastAsia="仿宋_GB2312"/>
          <w:color w:val="auto"/>
          <w:sz w:val="32"/>
          <w:szCs w:val="32"/>
        </w:rPr>
        <w:t>为走逃（失联）企业。</w:t>
      </w:r>
    </w:p>
    <w:p>
      <w:pPr>
        <w:spacing w:line="62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你公司未在税务登记注册地址和生产经营地址经营，法定代表人、财务负责人、办税人电话无法联系 ,</w:t>
      </w:r>
      <w:r>
        <w:rPr>
          <w:rFonts w:hint="eastAsia" w:ascii="仿宋_GB2312" w:hAnsi="仿宋" w:eastAsia="仿宋_GB2312"/>
          <w:color w:val="auto"/>
          <w:sz w:val="32"/>
          <w:szCs w:val="32"/>
        </w:rPr>
        <w:t xml:space="preserve"> </w:t>
      </w:r>
      <w:r>
        <w:rPr>
          <w:rFonts w:hint="eastAsia" w:ascii="仿宋_GB2312" w:eastAsia="仿宋_GB2312"/>
          <w:color w:val="auto"/>
          <w:sz w:val="32"/>
          <w:szCs w:val="32"/>
          <w:lang w:eastAsia="zh-CN"/>
        </w:rPr>
        <w:t>主管税务机关已于</w:t>
      </w:r>
      <w:r>
        <w:rPr>
          <w:rFonts w:hint="eastAsia" w:ascii="仿宋_GB2312" w:eastAsia="仿宋_GB2312"/>
          <w:color w:val="auto"/>
          <w:sz w:val="32"/>
          <w:szCs w:val="32"/>
          <w:lang w:val="en-US" w:eastAsia="zh-CN"/>
        </w:rPr>
        <w:t>2024年8月30日出具失联证明</w:t>
      </w:r>
      <w:r>
        <w:rPr>
          <w:rFonts w:hint="eastAsia" w:ascii="仿宋_GB2312" w:hAnsi="宋体" w:eastAsia="仿宋_GB2312"/>
          <w:color w:val="auto"/>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hAnsi="宋体" w:eastAsia="仿宋_GB2312"/>
          <w:b w:val="0"/>
          <w:bCs w:val="0"/>
          <w:color w:val="auto"/>
          <w:sz w:val="32"/>
          <w:szCs w:val="32"/>
          <w:lang w:eastAsia="zh-CN"/>
        </w:rPr>
        <w:t>（二）</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存在虚开增值税发票问题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经查询，</w:t>
      </w:r>
      <w:r>
        <w:rPr>
          <w:rFonts w:hint="eastAsia" w:ascii="仿宋_GB2312" w:hAnsi="仿宋" w:eastAsia="仿宋_GB2312"/>
          <w:color w:val="auto"/>
          <w:sz w:val="32"/>
          <w:szCs w:val="32"/>
          <w:lang w:eastAsia="zh-CN"/>
        </w:rPr>
        <w:t>你公司</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日至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 w:eastAsia="仿宋_GB2312"/>
          <w:color w:val="auto"/>
          <w:sz w:val="32"/>
          <w:szCs w:val="32"/>
          <w:highlight w:val="none"/>
        </w:rPr>
        <w:t>期</w:t>
      </w:r>
      <w:r>
        <w:rPr>
          <w:rFonts w:hint="eastAsia" w:ascii="仿宋_GB2312" w:hAnsi="仿宋" w:eastAsia="仿宋_GB2312"/>
          <w:color w:val="auto"/>
          <w:sz w:val="32"/>
          <w:szCs w:val="32"/>
        </w:rPr>
        <w:t>间，未发现取得由上游公司开具的增值税专用发票认证抵扣记录及取得普通发票记录。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highlight w:val="none"/>
          <w:lang w:val="en-US" w:eastAsia="zh-CN"/>
        </w:rPr>
        <w:t>你公司2023年3月至2023年9月向主管税务机关领用增值税电子普通发票206份，发票代码：045002100211，发票号码：71464928～71464977（50份）、73478043～73478076（34份）、73794423～73794460（38份）、74241532～74241565（34份）、75975506～75975555（50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经查询，你公司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9月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206</w:t>
      </w:r>
      <w:r>
        <w:rPr>
          <w:rFonts w:hint="eastAsia" w:ascii="仿宋_GB2312" w:hAnsi="仿宋_GB2312" w:eastAsia="仿宋_GB2312" w:cs="仿宋_GB2312"/>
          <w:color w:val="auto"/>
          <w:sz w:val="32"/>
          <w:szCs w:val="32"/>
        </w:rPr>
        <w:t>份，发票代码：045002100211，发票号码：</w:t>
      </w:r>
      <w:r>
        <w:rPr>
          <w:rFonts w:hint="eastAsia" w:ascii="仿宋_GB2312" w:hAnsi="Times New Roman" w:eastAsia="仿宋_GB2312" w:cs="Times New Roman"/>
          <w:color w:val="auto"/>
          <w:sz w:val="32"/>
          <w:szCs w:val="32"/>
          <w:highlight w:val="none"/>
          <w:lang w:val="en-US" w:eastAsia="zh-CN"/>
        </w:rPr>
        <w:t>71464928～71464977（50份）、73478043～73478076（34份）、73794423～73794460（38份）、74241532～74241565（34份）、75975506～75975555（50份）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开票</w:t>
      </w:r>
      <w:r>
        <w:rPr>
          <w:rFonts w:hint="eastAsia" w:ascii="仿宋_GB2312" w:eastAsia="仿宋_GB2312"/>
          <w:color w:val="auto"/>
          <w:sz w:val="32"/>
          <w:szCs w:val="32"/>
          <w:lang w:val="en-US" w:eastAsia="zh-CN"/>
        </w:rPr>
        <w:t>金额1,209,495.96元，税额12,094.95元，价税合计1,221,590.91元</w:t>
      </w:r>
      <w:r>
        <w:rPr>
          <w:rFonts w:hint="eastAsia" w:ascii="仿宋_GB2312" w:hAnsi="仿宋_GB2312" w:eastAsia="仿宋_GB2312" w:cs="仿宋_GB2312"/>
          <w:color w:val="auto"/>
          <w:sz w:val="32"/>
          <w:szCs w:val="32"/>
        </w:rPr>
        <w:t>，货物名称为</w:t>
      </w:r>
      <w:r>
        <w:rPr>
          <w:rFonts w:hint="eastAsia" w:ascii="仿宋_GB2312" w:hAnsi="仿宋_GB2312" w:eastAsia="仿宋_GB2312" w:cs="仿宋_GB2312"/>
          <w:color w:val="auto"/>
          <w:sz w:val="32"/>
          <w:szCs w:val="32"/>
          <w:lang w:eastAsia="zh-CN"/>
        </w:rPr>
        <w:t>*餐饮服务*餐费、*餐饮服务*餐饮、*餐饮服务*餐饮费，</w:t>
      </w:r>
      <w:r>
        <w:rPr>
          <w:rFonts w:hint="eastAsia" w:ascii="仿宋_GB2312" w:hAnsi="仿宋_GB2312" w:eastAsia="仿宋_GB2312" w:cs="仿宋_GB2312"/>
          <w:color w:val="auto"/>
          <w:sz w:val="32"/>
          <w:szCs w:val="32"/>
        </w:rPr>
        <w:t>购货单位名称：安信联合物流有限公司上海分公司、保利长大工程有限公司、北部湾财产保险股份有限公司广西分公司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117家公司</w:t>
      </w:r>
      <w:r>
        <w:rPr>
          <w:rFonts w:hint="eastAsia" w:ascii="仿宋_GB2312" w:eastAsia="仿宋_GB2312"/>
          <w:color w:val="auto"/>
          <w:sz w:val="32"/>
          <w:szCs w:val="32"/>
        </w:rPr>
        <w:t>。</w:t>
      </w:r>
      <w:r>
        <w:rPr>
          <w:rFonts w:hint="eastAsia" w:ascii="仿宋_GB2312" w:eastAsia="仿宋_GB2312"/>
          <w:color w:val="auto"/>
          <w:sz w:val="32"/>
          <w:szCs w:val="32"/>
          <w:highlight w:val="none"/>
          <w:lang w:val="en-US" w:eastAsia="zh-CN"/>
        </w:rPr>
        <w:t>经核查，你公司2023年4月至6月开具的45份增值税发票价税合计273,646.00元，与你公司2023年4至6月（所属期）申报免税额273,646.00</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一致。2023年7月至9月开具的161份增值税发票价税合计947,944.91元，与你公司2023年7至9月（所属期）申报免税额947,944.91</w:t>
      </w:r>
      <w:r>
        <w:rPr>
          <w:rFonts w:hint="eastAsia" w:ascii="仿宋_GB2312" w:hAnsi="Times New Roman" w:eastAsia="仿宋_GB2312" w:cs="Times New Roman"/>
          <w:color w:val="auto"/>
          <w:sz w:val="32"/>
          <w:szCs w:val="32"/>
          <w:highlight w:val="none"/>
          <w:lang w:val="en-US" w:eastAsia="zh-CN"/>
        </w:rPr>
        <w:t>元</w:t>
      </w:r>
      <w:r>
        <w:rPr>
          <w:rFonts w:hint="eastAsia" w:ascii="仿宋_GB2312" w:eastAsia="仿宋_GB2312"/>
          <w:color w:val="auto"/>
          <w:sz w:val="32"/>
          <w:szCs w:val="32"/>
          <w:highlight w:val="none"/>
          <w:lang w:val="en-US" w:eastAsia="zh-CN"/>
        </w:rPr>
        <w:t>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经查询，</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未向税务机关报备银行账号，</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在开具发票上留存的银行账户：中国银行股份有限公司南宁市东葛东支行349369521***、中国农业银行广西区分行6622738412093920***</w:t>
      </w:r>
      <w:bookmarkStart w:id="3" w:name="_GoBack"/>
      <w:bookmarkEnd w:id="3"/>
      <w:r>
        <w:rPr>
          <w:rFonts w:hint="eastAsia" w:ascii="仿宋_GB2312" w:eastAsia="仿宋_GB2312"/>
          <w:color w:val="auto"/>
          <w:sz w:val="32"/>
          <w:szCs w:val="32"/>
        </w:rPr>
        <w:t>，经中国银行股份有限公司南宁市东葛东支行</w:t>
      </w:r>
      <w:r>
        <w:rPr>
          <w:rFonts w:hint="eastAsia" w:ascii="仿宋_GB2312" w:eastAsia="仿宋_GB2312"/>
          <w:color w:val="auto"/>
          <w:sz w:val="32"/>
          <w:szCs w:val="32"/>
          <w:lang w:eastAsia="zh-CN"/>
        </w:rPr>
        <w:t>、</w:t>
      </w:r>
      <w:r>
        <w:rPr>
          <w:rFonts w:hint="eastAsia" w:ascii="仿宋_GB2312" w:eastAsia="仿宋_GB2312"/>
          <w:color w:val="auto"/>
          <w:sz w:val="32"/>
          <w:szCs w:val="32"/>
        </w:rPr>
        <w:t>中国农业银行广西区分行反馈，</w:t>
      </w:r>
      <w:r>
        <w:rPr>
          <w:rFonts w:hint="eastAsia" w:ascii="仿宋_GB2312" w:eastAsia="仿宋_GB2312"/>
          <w:color w:val="auto"/>
          <w:sz w:val="32"/>
          <w:szCs w:val="32"/>
          <w:lang w:eastAsia="zh-CN"/>
        </w:rPr>
        <w:t>上述</w:t>
      </w:r>
      <w:r>
        <w:rPr>
          <w:rFonts w:hint="eastAsia" w:ascii="仿宋_GB2312" w:eastAsia="仿宋_GB2312"/>
          <w:color w:val="auto"/>
          <w:sz w:val="32"/>
          <w:szCs w:val="32"/>
        </w:rPr>
        <w:t>账户不存在。</w:t>
      </w:r>
    </w:p>
    <w:p>
      <w:pPr>
        <w:keepNext w:val="0"/>
        <w:keepLines w:val="0"/>
        <w:pageBreakBefore w:val="0"/>
        <w:widowControl w:val="0"/>
        <w:kinsoku/>
        <w:wordWrap/>
        <w:overflowPunct/>
        <w:topLinePunct w:val="0"/>
        <w:autoSpaceDE/>
        <w:autoSpaceDN/>
        <w:bidi w:val="0"/>
        <w:snapToGrid w:val="0"/>
        <w:spacing w:line="580" w:lineRule="exact"/>
        <w:ind w:firstLine="640"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206</w:t>
      </w:r>
      <w:r>
        <w:rPr>
          <w:rFonts w:hint="eastAsia" w:ascii="仿宋_GB2312" w:eastAsia="仿宋_GB2312"/>
          <w:color w:val="auto"/>
          <w:sz w:val="32"/>
          <w:szCs w:val="32"/>
        </w:rPr>
        <w:t>份增值税电子</w:t>
      </w:r>
      <w:r>
        <w:rPr>
          <w:rFonts w:hint="eastAsia" w:ascii="仿宋_GB2312" w:eastAsia="仿宋_GB2312"/>
          <w:color w:val="auto"/>
          <w:sz w:val="32"/>
          <w:szCs w:val="32"/>
          <w:lang w:eastAsia="zh-CN"/>
        </w:rPr>
        <w:t>普通发票</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highlight w:val="none"/>
          <w:lang w:val="en-US" w:eastAsia="zh-CN"/>
        </w:rPr>
        <w:t>虚假填列增值税纳税申报表“免税销售额”栏次，银行账户虚假，无收取受票方资金记录。</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20" w:lineRule="exact"/>
        <w:ind w:firstLine="656" w:firstLineChars="205"/>
        <w:jc w:val="left"/>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根据《中华人民共和国发票管理办法》（</w:t>
      </w:r>
      <w:r>
        <w:rPr>
          <w:rFonts w:hint="eastAsia" w:ascii="仿宋_GB2312" w:eastAsia="仿宋_GB2312"/>
          <w:color w:val="auto"/>
          <w:sz w:val="32"/>
          <w:szCs w:val="32"/>
          <w:highlight w:val="none"/>
          <w:lang w:eastAsia="zh-CN"/>
        </w:rPr>
        <w:t>财政部令第</w:t>
      </w:r>
      <w:r>
        <w:rPr>
          <w:rFonts w:hint="eastAsia" w:ascii="仿宋_GB2312" w:eastAsia="仿宋_GB2312"/>
          <w:color w:val="auto"/>
          <w:sz w:val="32"/>
          <w:szCs w:val="32"/>
          <w:highlight w:val="none"/>
          <w:lang w:val="en-US" w:eastAsia="zh-CN"/>
        </w:rPr>
        <w:t>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hAnsi="宋体" w:eastAsia="仿宋_GB2312"/>
          <w:color w:val="auto"/>
          <w:sz w:val="32"/>
          <w:szCs w:val="32"/>
        </w:rPr>
        <w:t>）第三十</w:t>
      </w:r>
      <w:r>
        <w:rPr>
          <w:rFonts w:hint="eastAsia" w:ascii="仿宋_GB2312" w:hAnsi="宋体" w:eastAsia="仿宋_GB2312"/>
          <w:color w:val="auto"/>
          <w:sz w:val="32"/>
          <w:szCs w:val="32"/>
          <w:lang w:eastAsia="zh-CN"/>
        </w:rPr>
        <w:t>五</w:t>
      </w:r>
      <w:r>
        <w:rPr>
          <w:rFonts w:hint="eastAsia" w:ascii="仿宋_GB2312" w:hAnsi="宋体" w:eastAsia="仿宋_GB2312"/>
          <w:color w:val="auto"/>
          <w:sz w:val="32"/>
          <w:szCs w:val="32"/>
        </w:rPr>
        <w:t>条第一款的规定，</w:t>
      </w:r>
      <w:r>
        <w:rPr>
          <w:rFonts w:hint="eastAsia" w:ascii="仿宋_GB2312" w:hAnsi="宋体"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color w:val="auto"/>
          <w:sz w:val="32"/>
          <w:szCs w:val="32"/>
        </w:rPr>
        <w:t>拟对你公司虚开发票行为处以</w:t>
      </w:r>
      <w:r>
        <w:rPr>
          <w:rFonts w:hint="eastAsia" w:ascii="仿宋_GB2312" w:hAnsi="仿宋" w:eastAsia="仿宋_GB2312"/>
          <w:color w:val="auto"/>
          <w:sz w:val="32"/>
          <w:szCs w:val="32"/>
          <w:lang w:val="en-US" w:eastAsia="zh-CN"/>
        </w:rPr>
        <w:t>110000</w:t>
      </w:r>
      <w:r>
        <w:rPr>
          <w:rFonts w:hint="eastAsia" w:ascii="仿宋_GB2312" w:hAnsi="宋体" w:eastAsia="仿宋_GB2312"/>
          <w:color w:val="auto"/>
          <w:sz w:val="32"/>
          <w:szCs w:val="32"/>
        </w:rPr>
        <w:t>元的罚款。</w:t>
      </w:r>
    </w:p>
    <w:p>
      <w:pPr>
        <w:spacing w:line="620" w:lineRule="exact"/>
        <w:ind w:firstLine="579"/>
        <w:rPr>
          <w:rFonts w:ascii="仿宋_GB2312" w:hAnsi="仿宋" w:eastAsia="仿宋_GB2312"/>
          <w:color w:val="auto"/>
          <w:sz w:val="32"/>
          <w:szCs w:val="24"/>
        </w:rPr>
      </w:pPr>
      <w:r>
        <w:rPr>
          <w:rFonts w:hint="eastAsia" w:ascii="仿宋_GB2312" w:hAnsi="仿宋" w:eastAsia="仿宋_GB2312"/>
          <w:color w:val="auto"/>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color w:val="auto"/>
          <w:kern w:val="0"/>
          <w:sz w:val="32"/>
          <w:szCs w:val="20"/>
        </w:rPr>
      </w:pPr>
      <w:r>
        <w:rPr>
          <w:rFonts w:hint="eastAsia" w:ascii="仿宋_GB2312" w:hAnsi="仿宋" w:eastAsia="仿宋_GB2312"/>
          <w:color w:val="auto"/>
          <w:sz w:val="32"/>
          <w:szCs w:val="24"/>
        </w:rPr>
        <w:t>三、若拟对你公司罚款10000元（含10000元）以上，或符合《中华人民共和国行政处罚法》第六十三条规定的其他情形的，你</w:t>
      </w:r>
      <w:r>
        <w:rPr>
          <w:rFonts w:hint="eastAsia" w:ascii="仿宋_GB2312" w:hAnsi="仿宋" w:eastAsia="仿宋_GB2312"/>
          <w:color w:val="auto"/>
          <w:sz w:val="32"/>
          <w:szCs w:val="24"/>
          <w:lang w:eastAsia="zh-CN"/>
        </w:rPr>
        <w:t>公司</w:t>
      </w:r>
      <w:r>
        <w:rPr>
          <w:rFonts w:hint="eastAsia" w:ascii="仿宋_GB2312" w:hAnsi="仿宋" w:eastAsia="仿宋_GB2312"/>
          <w:color w:val="auto"/>
          <w:sz w:val="32"/>
          <w:szCs w:val="24"/>
        </w:rPr>
        <w:t>有要求听证的权利。可自收到本告知书之日起五个工作日内向我局书面提出听证申请；逾期不提出，视为放弃听证权利。</w:t>
      </w:r>
      <w:r>
        <w:rPr>
          <w:rFonts w:hint="eastAsia" w:ascii="仿宋_GB2312" w:hAnsi="仿宋" w:eastAsia="仿宋_GB2312"/>
          <w:color w:val="auto"/>
          <w:kern w:val="0"/>
          <w:sz w:val="32"/>
          <w:szCs w:val="20"/>
        </w:rPr>
        <w:t xml:space="preserve">                </w:t>
      </w:r>
    </w:p>
    <w:p>
      <w:pPr>
        <w:adjustRightInd w:val="0"/>
        <w:ind w:firstLine="4800" w:firstLineChars="1500"/>
        <w:jc w:val="left"/>
        <w:rPr>
          <w:rFonts w:ascii="仿宋_GB2312" w:hAnsi="仿宋" w:eastAsia="仿宋_GB2312"/>
          <w:color w:val="auto"/>
          <w:kern w:val="0"/>
          <w:sz w:val="32"/>
          <w:szCs w:val="20"/>
        </w:rPr>
      </w:pPr>
    </w:p>
    <w:p>
      <w:pPr>
        <w:adjustRightInd w:val="0"/>
        <w:ind w:firstLine="4800" w:firstLineChars="1500"/>
        <w:jc w:val="left"/>
        <w:rPr>
          <w:rFonts w:ascii="仿宋_GB2312" w:hAnsi="华文仿宋" w:eastAsia="仿宋_GB2312"/>
          <w:color w:val="auto"/>
          <w:sz w:val="32"/>
          <w:szCs w:val="32"/>
        </w:rPr>
      </w:pPr>
      <w:r>
        <w:rPr>
          <w:rFonts w:hint="eastAsia" w:ascii="仿宋_GB2312" w:hAnsi="仿宋" w:eastAsia="仿宋_GB2312"/>
          <w:color w:val="auto"/>
          <w:kern w:val="0"/>
          <w:sz w:val="32"/>
          <w:szCs w:val="20"/>
        </w:rPr>
        <w:t>二〇</w:t>
      </w:r>
      <w:r>
        <w:rPr>
          <w:rFonts w:hint="eastAsia" w:ascii="仿宋_GB2312" w:hAnsi="仿宋" w:eastAsia="仿宋_GB2312"/>
          <w:color w:val="auto"/>
          <w:kern w:val="0"/>
          <w:sz w:val="32"/>
          <w:szCs w:val="20"/>
          <w:lang w:eastAsia="zh-CN"/>
        </w:rPr>
        <w:t>二四</w:t>
      </w:r>
      <w:r>
        <w:rPr>
          <w:rFonts w:hint="eastAsia" w:ascii="仿宋_GB2312" w:hAnsi="仿宋" w:eastAsia="仿宋_GB2312"/>
          <w:color w:val="auto"/>
          <w:kern w:val="0"/>
          <w:sz w:val="32"/>
          <w:szCs w:val="20"/>
        </w:rPr>
        <w:t>年</w:t>
      </w:r>
      <w:r>
        <w:rPr>
          <w:rFonts w:hint="eastAsia" w:ascii="仿宋_GB2312" w:hAnsi="仿宋" w:eastAsia="仿宋_GB2312"/>
          <w:color w:val="auto"/>
          <w:kern w:val="0"/>
          <w:sz w:val="32"/>
          <w:szCs w:val="20"/>
          <w:lang w:eastAsia="zh-CN"/>
        </w:rPr>
        <w:t>十</w:t>
      </w:r>
      <w:r>
        <w:rPr>
          <w:rFonts w:hint="eastAsia" w:ascii="仿宋_GB2312" w:hAnsi="仿宋" w:eastAsia="仿宋_GB2312"/>
          <w:color w:val="auto"/>
          <w:kern w:val="0"/>
          <w:sz w:val="32"/>
          <w:szCs w:val="20"/>
        </w:rPr>
        <w:t>月</w:t>
      </w:r>
      <w:r>
        <w:rPr>
          <w:rFonts w:hint="eastAsia" w:ascii="仿宋_GB2312" w:hAnsi="仿宋" w:eastAsia="仿宋_GB2312"/>
          <w:color w:val="auto"/>
          <w:kern w:val="0"/>
          <w:sz w:val="32"/>
          <w:szCs w:val="20"/>
          <w:lang w:eastAsia="zh-CN"/>
        </w:rPr>
        <w:t>十八</w:t>
      </w:r>
      <w:r>
        <w:rPr>
          <w:rFonts w:hint="eastAsia" w:ascii="仿宋_GB2312" w:hAnsi="仿宋" w:eastAsia="仿宋_GB2312"/>
          <w:color w:val="auto"/>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6F79EC"/>
    <w:rsid w:val="1D915A39"/>
    <w:rsid w:val="1EAF31B5"/>
    <w:rsid w:val="1F203468"/>
    <w:rsid w:val="1F4278AB"/>
    <w:rsid w:val="1FF54795"/>
    <w:rsid w:val="20355F90"/>
    <w:rsid w:val="209D5005"/>
    <w:rsid w:val="20B77904"/>
    <w:rsid w:val="21373440"/>
    <w:rsid w:val="217F77B4"/>
    <w:rsid w:val="218106EF"/>
    <w:rsid w:val="22212BAD"/>
    <w:rsid w:val="23111FEA"/>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CB0708"/>
    <w:rsid w:val="3AFC2D8C"/>
    <w:rsid w:val="3AFF7D6C"/>
    <w:rsid w:val="3B546014"/>
    <w:rsid w:val="3C495BD5"/>
    <w:rsid w:val="3C5B4178"/>
    <w:rsid w:val="3D861B47"/>
    <w:rsid w:val="3DD35DF2"/>
    <w:rsid w:val="3E287BFF"/>
    <w:rsid w:val="3E987551"/>
    <w:rsid w:val="3EEE0973"/>
    <w:rsid w:val="3F4413B1"/>
    <w:rsid w:val="3F4D7DEE"/>
    <w:rsid w:val="3F593763"/>
    <w:rsid w:val="405358E9"/>
    <w:rsid w:val="40955022"/>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4C347F"/>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2B4DA4"/>
    <w:rsid w:val="606B3F7B"/>
    <w:rsid w:val="60A32C9B"/>
    <w:rsid w:val="61056C82"/>
    <w:rsid w:val="61A77030"/>
    <w:rsid w:val="627E6D65"/>
    <w:rsid w:val="635232BE"/>
    <w:rsid w:val="63654CE1"/>
    <w:rsid w:val="63977A5A"/>
    <w:rsid w:val="63B239CC"/>
    <w:rsid w:val="63E24075"/>
    <w:rsid w:val="63F141C4"/>
    <w:rsid w:val="641E06BB"/>
    <w:rsid w:val="649C5140"/>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6A51DA"/>
    <w:rsid w:val="759C0571"/>
    <w:rsid w:val="75ED5E87"/>
    <w:rsid w:val="763B16BC"/>
    <w:rsid w:val="76850944"/>
    <w:rsid w:val="76B02C58"/>
    <w:rsid w:val="76D561F0"/>
    <w:rsid w:val="77943124"/>
    <w:rsid w:val="77AA3D9B"/>
    <w:rsid w:val="788D6D3A"/>
    <w:rsid w:val="79181EDC"/>
    <w:rsid w:val="79403461"/>
    <w:rsid w:val="79733DC4"/>
    <w:rsid w:val="79EA7E35"/>
    <w:rsid w:val="7A50689B"/>
    <w:rsid w:val="7AA867A5"/>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2024-10-30T02:31:50Z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