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2011"/>
      <w:bookmarkStart w:id="1" w:name="_Toc33371261"/>
      <w:bookmarkStart w:id="2" w:name="_Toc33370868"/>
      <w:r>
        <w:rPr>
          <w:rFonts w:hint="eastAsia" w:ascii="仿宋_GB2312" w:eastAsia="仿宋_GB2312"/>
          <w:color w:val="auto"/>
          <w:spacing w:val="20"/>
          <w:sz w:val="32"/>
          <w:szCs w:val="32"/>
        </w:rPr>
        <w:t>南市税</w:t>
      </w:r>
      <w:r>
        <w:rPr>
          <w:rFonts w:hint="eastAsia" w:ascii="仿宋_GB2312" w:eastAsia="仿宋_GB2312"/>
          <w:color w:val="auto"/>
          <w:spacing w:val="20"/>
          <w:sz w:val="32"/>
        </w:rPr>
        <w:t>稽罚告〔20</w:t>
      </w:r>
      <w:r>
        <w:rPr>
          <w:rFonts w:hint="eastAsia" w:ascii="仿宋_GB2312" w:hAnsi="仿宋_GB2312" w:eastAsia="仿宋_GB2312" w:cs="仿宋_GB2312"/>
          <w:color w:val="auto"/>
          <w:spacing w:val="20"/>
          <w:sz w:val="32"/>
          <w:lang w:val="en-US" w:eastAsia="zh-CN"/>
        </w:rPr>
        <w:t>24</w:t>
      </w:r>
      <w:r>
        <w:rPr>
          <w:rFonts w:hint="eastAsia" w:ascii="仿宋_GB2312" w:eastAsia="仿宋_GB2312"/>
          <w:color w:val="auto"/>
          <w:spacing w:val="20"/>
          <w:sz w:val="32"/>
        </w:rPr>
        <w:t>〕</w:t>
      </w:r>
      <w:bookmarkEnd w:id="0"/>
      <w:bookmarkEnd w:id="1"/>
      <w:bookmarkEnd w:id="2"/>
      <w:r>
        <w:rPr>
          <w:rFonts w:hint="eastAsia" w:ascii="仿宋_GB2312" w:hAnsi="仿宋_GB2312" w:eastAsia="仿宋_GB2312" w:cs="仿宋_GB2312"/>
          <w:color w:val="auto"/>
          <w:spacing w:val="20"/>
          <w:sz w:val="32"/>
          <w:lang w:val="en-US" w:eastAsia="zh-CN"/>
        </w:rPr>
        <w:t>10090</w:t>
      </w:r>
      <w:r>
        <w:rPr>
          <w:rFonts w:hint="eastAsia" w:ascii="仿宋_GB2312" w:eastAsia="仿宋_GB2312"/>
          <w:color w:val="auto"/>
          <w:spacing w:val="20"/>
          <w:sz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南宁耀源鑫义餐饮管理有限</w:t>
      </w:r>
      <w:r>
        <w:rPr>
          <w:rFonts w:hint="eastAsia" w:ascii="仿宋_GB2312" w:hAnsi="仿宋_GB2312" w:eastAsia="仿宋_GB2312" w:cs="仿宋_GB2312"/>
          <w:color w:val="auto"/>
          <w:sz w:val="32"/>
          <w:szCs w:val="32"/>
        </w:rPr>
        <w:t>公司</w:t>
      </w:r>
      <w:r>
        <w:rPr>
          <w:rFonts w:hint="eastAsia" w:ascii="仿宋_GB2312" w:hAnsi="宋体" w:eastAsia="仿宋_GB2312"/>
          <w:color w:val="auto"/>
          <w:sz w:val="32"/>
          <w:szCs w:val="32"/>
        </w:rPr>
        <w:t>（纳税人识别号：</w:t>
      </w:r>
      <w:r>
        <w:rPr>
          <w:rFonts w:hint="eastAsia" w:ascii="仿宋_GB2312" w:eastAsia="仿宋_GB2312"/>
          <w:color w:val="auto"/>
          <w:sz w:val="32"/>
          <w:szCs w:val="32"/>
          <w:lang w:eastAsia="zh-CN"/>
        </w:rPr>
        <w:t>91450100MACBPFL18U</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eastAsia="仿宋_GB2312"/>
          <w:color w:val="auto"/>
          <w:sz w:val="32"/>
          <w:szCs w:val="32"/>
        </w:rPr>
        <w:t>广西壮族自治区南宁市西乡塘区万秀村二队258栋</w:t>
      </w:r>
      <w:r>
        <w:rPr>
          <w:rFonts w:hint="eastAsia" w:ascii="仿宋_GB2312" w:eastAsia="仿宋_GB2312"/>
          <w:color w:val="auto"/>
          <w:sz w:val="32"/>
          <w:szCs w:val="32"/>
          <w:lang w:eastAsia="zh-CN"/>
        </w:rPr>
        <w:t>第一间铺面</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 xml:space="preserve"> </w:t>
      </w:r>
      <w:r>
        <w:rPr>
          <w:rFonts w:hint="eastAsia" w:ascii="仿宋_GB2312" w:eastAsia="仿宋_GB2312"/>
          <w:color w:val="auto"/>
          <w:sz w:val="32"/>
          <w:szCs w:val="32"/>
          <w:lang w:eastAsia="zh-CN"/>
        </w:rPr>
        <w:t>主管税务机关于</w:t>
      </w:r>
      <w:r>
        <w:rPr>
          <w:rFonts w:hint="eastAsia" w:ascii="仿宋_GB2312" w:eastAsia="仿宋_GB2312"/>
          <w:color w:val="auto"/>
          <w:sz w:val="32"/>
          <w:szCs w:val="32"/>
          <w:lang w:val="en-US" w:eastAsia="zh-CN"/>
        </w:rPr>
        <w:t>2024年8月30日出具失联证明</w:t>
      </w:r>
      <w:r>
        <w:rPr>
          <w:rFonts w:hint="eastAsia" w:ascii="仿宋_GB2312" w:hAnsi="宋体" w:eastAsia="仿宋_GB2312"/>
          <w:color w:val="auto"/>
          <w:sz w:val="32"/>
          <w:szCs w:val="32"/>
        </w:rPr>
        <w:t>。至检查结束止，你公司未配合税务检查，也未按要求提供相关涉税资料。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hAnsi="宋体" w:eastAsia="仿宋_GB2312"/>
          <w:b w:val="0"/>
          <w:bCs w:val="0"/>
          <w:color w:val="auto"/>
          <w:sz w:val="32"/>
          <w:szCs w:val="32"/>
          <w:lang w:eastAsia="zh-CN"/>
        </w:rPr>
        <w:t>（二）</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存在虚开增值税发票问题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hint="eastAsia" w:ascii="仿宋_GB2312" w:hAnsi="仿宋" w:eastAsia="仿宋_GB2312"/>
          <w:color w:val="auto"/>
          <w:sz w:val="32"/>
          <w:szCs w:val="32"/>
        </w:rPr>
        <w:t>2023年3月2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日</w:t>
      </w:r>
      <w:r>
        <w:rPr>
          <w:rFonts w:hint="eastAsia" w:ascii="仿宋_GB2312" w:eastAsia="仿宋_GB2312"/>
          <w:color w:val="auto"/>
          <w:sz w:val="32"/>
          <w:szCs w:val="32"/>
        </w:rPr>
        <w:t>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 w:eastAsia="仿宋_GB2312"/>
          <w:color w:val="auto"/>
          <w:sz w:val="32"/>
          <w:szCs w:val="32"/>
        </w:rPr>
        <w:t>期间，未发现取得由上游公司开具的增值税专用发票认证抵扣记录及取得普通发票记录。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2.开具增值税发票情况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Times New Roman"/>
          <w:color w:val="auto"/>
          <w:sz w:val="32"/>
          <w:szCs w:val="32"/>
          <w:highlight w:val="none"/>
          <w:lang w:val="en-US" w:eastAsia="zh-CN"/>
        </w:rPr>
        <w:t>你公司2023年3月至2023年8月向主管税务机关领用增值税电子普通发票170份，发票代码：045002100211，发票号码：71464268～71464317（50份）、73199324～73199373（50份）、73794511～73794547（37份）、74241566～74241598（33份）。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lang w:val="en-US"/>
        </w:rPr>
      </w:pPr>
      <w:r>
        <w:rPr>
          <w:rFonts w:hint="eastAsia" w:ascii="仿宋_GB2312" w:hAnsi="仿宋_GB2312" w:eastAsia="仿宋_GB2312" w:cs="仿宋_GB2312"/>
          <w:color w:val="auto"/>
          <w:sz w:val="32"/>
          <w:szCs w:val="32"/>
          <w:lang w:eastAsia="zh-CN"/>
        </w:rPr>
        <w:t>经查询，你公司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9月</w:t>
      </w:r>
      <w:r>
        <w:rPr>
          <w:rFonts w:hint="eastAsia" w:ascii="仿宋_GB2312" w:hAnsi="仿宋_GB2312" w:eastAsia="仿宋_GB2312" w:cs="仿宋_GB2312"/>
          <w:color w:val="auto"/>
          <w:sz w:val="32"/>
          <w:szCs w:val="32"/>
        </w:rPr>
        <w:t>开具增值税</w:t>
      </w:r>
      <w:r>
        <w:rPr>
          <w:rFonts w:hint="eastAsia" w:ascii="仿宋_GB2312" w:hAnsi="仿宋_GB2312" w:eastAsia="仿宋_GB2312" w:cs="仿宋_GB2312"/>
          <w:color w:val="auto"/>
          <w:sz w:val="32"/>
          <w:szCs w:val="32"/>
          <w:lang w:eastAsia="zh-CN"/>
        </w:rPr>
        <w:t>电子普通发票</w:t>
      </w:r>
      <w:r>
        <w:rPr>
          <w:rFonts w:hint="eastAsia" w:ascii="仿宋_GB2312" w:hAnsi="仿宋_GB2312" w:eastAsia="仿宋_GB2312" w:cs="仿宋_GB2312"/>
          <w:color w:val="auto"/>
          <w:sz w:val="32"/>
          <w:szCs w:val="32"/>
          <w:lang w:val="en-US" w:eastAsia="zh-CN"/>
        </w:rPr>
        <w:t>133</w:t>
      </w:r>
      <w:r>
        <w:rPr>
          <w:rFonts w:hint="eastAsia" w:ascii="仿宋_GB2312" w:hAnsi="仿宋_GB2312" w:eastAsia="仿宋_GB2312" w:cs="仿宋_GB2312"/>
          <w:color w:val="auto"/>
          <w:sz w:val="32"/>
          <w:szCs w:val="32"/>
        </w:rPr>
        <w:t>份，发票代码：045002100211，发票号码：71464268～71464317（</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73199324～73199373（</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73794511～73794543（</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开票</w:t>
      </w:r>
      <w:r>
        <w:rPr>
          <w:rFonts w:hint="eastAsia" w:ascii="仿宋_GB2312" w:eastAsia="仿宋_GB2312"/>
          <w:color w:val="auto"/>
          <w:sz w:val="32"/>
          <w:szCs w:val="32"/>
          <w:lang w:val="en-US" w:eastAsia="zh-CN"/>
        </w:rPr>
        <w:t>金额821,360.62元，税额8,368.38元，价税合计829,729.00元</w:t>
      </w:r>
      <w:r>
        <w:rPr>
          <w:rFonts w:hint="eastAsia" w:ascii="仿宋_GB2312" w:hAnsi="仿宋_GB2312" w:eastAsia="仿宋_GB2312" w:cs="仿宋_GB2312"/>
          <w:color w:val="auto"/>
          <w:sz w:val="32"/>
          <w:szCs w:val="32"/>
        </w:rPr>
        <w:t>，货物名称为</w:t>
      </w:r>
      <w:r>
        <w:rPr>
          <w:rFonts w:hint="eastAsia" w:ascii="仿宋_GB2312" w:hAnsi="仿宋_GB2312" w:eastAsia="仿宋_GB2312" w:cs="仿宋_GB2312"/>
          <w:color w:val="auto"/>
          <w:sz w:val="32"/>
          <w:szCs w:val="32"/>
          <w:lang w:eastAsia="zh-CN"/>
        </w:rPr>
        <w:t>*餐饮服务*餐费、*餐饮服务*餐饮、*餐饮服务*餐饮费、*餐饮服务*餐饮服务、*餐饮服务*餐饮服务费、*住宿服务*住宿费，</w:t>
      </w:r>
      <w:r>
        <w:rPr>
          <w:rFonts w:hint="eastAsia" w:ascii="仿宋_GB2312" w:hAnsi="仿宋_GB2312" w:eastAsia="仿宋_GB2312" w:cs="仿宋_GB2312"/>
          <w:color w:val="auto"/>
          <w:sz w:val="32"/>
          <w:szCs w:val="32"/>
        </w:rPr>
        <w:t>购货单位名称：</w:t>
      </w:r>
      <w:r>
        <w:rPr>
          <w:rFonts w:hint="eastAsia" w:ascii="仿宋_GB2312" w:hAnsi="仿宋_GB2312" w:eastAsia="仿宋_GB2312" w:cs="仿宋_GB2312"/>
          <w:color w:val="auto"/>
          <w:sz w:val="32"/>
          <w:szCs w:val="32"/>
          <w:lang w:eastAsia="zh-CN"/>
        </w:rPr>
        <w:t>北京格物能源有限公司、北京金风科创风电设备有限公司、北京金风零碳能源有限公司等</w:t>
      </w:r>
      <w:r>
        <w:rPr>
          <w:rFonts w:hint="eastAsia" w:ascii="仿宋_GB2312" w:hAnsi="仿宋_GB2312" w:eastAsia="仿宋_GB2312" w:cs="仿宋_GB2312"/>
          <w:color w:val="auto"/>
          <w:sz w:val="32"/>
          <w:szCs w:val="32"/>
          <w:lang w:val="en-US" w:eastAsia="zh-CN"/>
        </w:rPr>
        <w:t>68家公司</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经核查，你公司2023年4月至6月开具的63份增值税发票价税合计401,801.00元，与你公司2023年4至6月（所属期）申报免税额401,801.00</w:t>
      </w:r>
      <w:r>
        <w:rPr>
          <w:rFonts w:hint="eastAsia" w:ascii="仿宋_GB2312" w:hAnsi="Times New Roman" w:eastAsia="仿宋_GB2312" w:cs="Times New Roman"/>
          <w:color w:val="auto"/>
          <w:sz w:val="32"/>
          <w:szCs w:val="32"/>
          <w:highlight w:val="none"/>
          <w:lang w:val="en-US" w:eastAsia="zh-CN"/>
        </w:rPr>
        <w:t>元</w:t>
      </w:r>
      <w:r>
        <w:rPr>
          <w:rFonts w:hint="eastAsia" w:ascii="仿宋_GB2312" w:eastAsia="仿宋_GB2312"/>
          <w:color w:val="auto"/>
          <w:sz w:val="32"/>
          <w:szCs w:val="32"/>
          <w:highlight w:val="none"/>
          <w:lang w:val="en-US" w:eastAsia="zh-CN"/>
        </w:rPr>
        <w:t>一致。2023年7月至今未进行纳税申报。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s="Times New Roman"/>
          <w:color w:val="auto"/>
          <w:kern w:val="2"/>
          <w:sz w:val="32"/>
          <w:szCs w:val="32"/>
          <w:lang w:val="en-US" w:eastAsia="zh-CN" w:bidi="ar-SA"/>
        </w:rPr>
        <w:t>经</w:t>
      </w:r>
      <w:r>
        <w:rPr>
          <w:rFonts w:hint="eastAsia" w:ascii="仿宋_GB2312" w:hAnsi="Times New Roman" w:eastAsia="仿宋_GB2312" w:cs="Times New Roman"/>
          <w:color w:val="auto"/>
          <w:kern w:val="2"/>
          <w:sz w:val="32"/>
          <w:szCs w:val="32"/>
          <w:lang w:val="en-US" w:eastAsia="zh-CN" w:bidi="ar-SA"/>
        </w:rPr>
        <w:t>查询</w:t>
      </w:r>
      <w:r>
        <w:rPr>
          <w:rFonts w:hint="eastAsia" w:ascii="仿宋_GB2312" w:eastAsia="仿宋_GB2312" w:cs="Times New Roman"/>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你公司未开具增值税电子普通发票37份，发票代码：045002100211，发票号码：</w:t>
      </w:r>
      <w:r>
        <w:rPr>
          <w:rFonts w:hint="eastAsia" w:ascii="仿宋_GB2312" w:hAnsi="仿宋_GB2312" w:eastAsia="仿宋_GB2312" w:cs="仿宋_GB2312"/>
          <w:color w:val="auto"/>
          <w:sz w:val="32"/>
          <w:szCs w:val="32"/>
        </w:rPr>
        <w:t>7379454</w:t>
      </w:r>
      <w:r>
        <w:rPr>
          <w:rFonts w:hint="eastAsia" w:ascii="仿宋_GB2312" w:hAnsi="仿宋_GB2312" w:eastAsia="仿宋_GB2312" w:cs="仿宋_GB2312"/>
          <w:color w:val="auto"/>
          <w:sz w:val="32"/>
          <w:szCs w:val="32"/>
          <w:lang w:val="en-US" w:eastAsia="zh-CN"/>
        </w:rPr>
        <w:t>4</w:t>
      </w:r>
      <w:r>
        <w:rPr>
          <w:rFonts w:hint="eastAsia" w:ascii="仿宋_GB2312" w:hAnsi="Times New Roman" w:eastAsia="仿宋_GB2312" w:cs="Times New Roman"/>
          <w:color w:val="auto"/>
          <w:sz w:val="32"/>
          <w:szCs w:val="32"/>
          <w:highlight w:val="none"/>
          <w:lang w:val="en-US" w:eastAsia="zh-CN"/>
        </w:rPr>
        <w:t>～73794547</w:t>
      </w:r>
      <w:r>
        <w:rPr>
          <w:rFonts w:hint="eastAsia" w:ascii="仿宋_GB2312"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lang w:val="en-US" w:eastAsia="zh-CN"/>
        </w:rPr>
        <w:t>74241566～74241598</w:t>
      </w:r>
      <w:r>
        <w:rPr>
          <w:rFonts w:hint="eastAsia" w:ascii="仿宋_GB2312"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经查询，</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未向税务机关报备银行账号，</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在开具发票上留存的银行账户：中国银行股份有限公司南宁支行349369801***</w:t>
      </w:r>
      <w:bookmarkStart w:id="3" w:name="_GoBack"/>
      <w:bookmarkEnd w:id="3"/>
      <w:r>
        <w:rPr>
          <w:rFonts w:hint="eastAsia" w:ascii="仿宋_GB2312" w:eastAsia="仿宋_GB2312"/>
          <w:color w:val="auto"/>
          <w:sz w:val="32"/>
          <w:szCs w:val="32"/>
        </w:rPr>
        <w:t>、349369882***，经中国银行股份有限公司南宁支行反馈，</w:t>
      </w:r>
      <w:r>
        <w:rPr>
          <w:rFonts w:hint="eastAsia" w:ascii="仿宋_GB2312" w:eastAsia="仿宋_GB2312"/>
          <w:color w:val="auto"/>
          <w:sz w:val="32"/>
          <w:szCs w:val="32"/>
          <w:lang w:eastAsia="zh-CN"/>
        </w:rPr>
        <w:t>上述</w:t>
      </w:r>
      <w:r>
        <w:rPr>
          <w:rFonts w:hint="eastAsia" w:ascii="仿宋_GB2312" w:eastAsia="仿宋_GB2312"/>
          <w:color w:val="auto"/>
          <w:sz w:val="32"/>
          <w:szCs w:val="32"/>
        </w:rPr>
        <w:t>账户不存在。</w:t>
      </w:r>
    </w:p>
    <w:p>
      <w:pPr>
        <w:spacing w:line="620" w:lineRule="exact"/>
        <w:ind w:firstLine="640" w:firstLineChars="200"/>
        <w:rPr>
          <w:rFonts w:hint="eastAsia" w:ascii="仿宋_GB2312" w:eastAsia="仿宋_GB2312"/>
          <w:b/>
          <w:bCs/>
          <w:color w:val="auto"/>
          <w:sz w:val="32"/>
          <w:szCs w:val="32"/>
          <w:lang w:val="en-US"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133</w:t>
      </w:r>
      <w:r>
        <w:rPr>
          <w:rFonts w:hint="eastAsia" w:ascii="仿宋_GB2312" w:eastAsia="仿宋_GB2312"/>
          <w:color w:val="auto"/>
          <w:sz w:val="32"/>
          <w:szCs w:val="32"/>
        </w:rPr>
        <w:t>份增值税电子</w:t>
      </w:r>
      <w:r>
        <w:rPr>
          <w:rFonts w:hint="eastAsia" w:ascii="仿宋_GB2312" w:eastAsia="仿宋_GB2312"/>
          <w:color w:val="auto"/>
          <w:sz w:val="32"/>
          <w:szCs w:val="32"/>
          <w:lang w:eastAsia="zh-CN"/>
        </w:rPr>
        <w:t>普通发票</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highlight w:val="none"/>
          <w:lang w:val="en-US" w:eastAsia="zh-CN"/>
        </w:rPr>
        <w:t>虚假填列增值税纳税申报表“免税销售额”栏次，银行账户虚假，无收取受票方资金记录。</w:t>
      </w:r>
      <w:r>
        <w:rPr>
          <w:rFonts w:hint="eastAsia" w:ascii="仿宋_GB2312" w:eastAsia="仿宋_GB2312"/>
          <w:color w:val="auto"/>
          <w:sz w:val="32"/>
          <w:szCs w:val="32"/>
        </w:rPr>
        <w:t>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w:t>
      </w:r>
      <w:r>
        <w:rPr>
          <w:rFonts w:hint="eastAsia" w:ascii="仿宋_GB2312" w:eastAsia="仿宋_GB2312"/>
          <w:color w:val="auto"/>
          <w:sz w:val="32"/>
          <w:szCs w:val="32"/>
          <w:lang w:eastAsia="zh-CN"/>
        </w:rPr>
        <w:t>一</w:t>
      </w:r>
      <w:r>
        <w:rPr>
          <w:rFonts w:hint="eastAsia" w:ascii="仿宋_GB2312" w:eastAsia="仿宋_GB2312"/>
          <w:color w:val="auto"/>
          <w:sz w:val="32"/>
          <w:szCs w:val="32"/>
        </w:rPr>
        <w:t>条第一款</w:t>
      </w:r>
      <w:r>
        <w:rPr>
          <w:rFonts w:hint="eastAsia" w:ascii="仿宋_GB2312" w:eastAsia="仿宋_GB2312"/>
          <w:color w:val="auto"/>
          <w:sz w:val="32"/>
          <w:szCs w:val="32"/>
          <w:lang w:eastAsia="zh-CN"/>
        </w:rPr>
        <w:t>、</w:t>
      </w:r>
      <w:r>
        <w:rPr>
          <w:rFonts w:hint="eastAsia" w:ascii="仿宋_GB2312" w:eastAsia="仿宋_GB2312"/>
          <w:color w:val="auto"/>
          <w:sz w:val="32"/>
          <w:szCs w:val="32"/>
        </w:rPr>
        <w:t>第二款第</w:t>
      </w: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项的规定，属于虚开发票行为。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hAnsi="宋体" w:eastAsia="仿宋_GB2312"/>
          <w:color w:val="auto"/>
          <w:sz w:val="32"/>
          <w:szCs w:val="32"/>
        </w:rPr>
        <w:t>）第三十</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条第一款的规定，</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hAnsi="宋体" w:eastAsia="仿宋_GB2312"/>
          <w:color w:val="auto"/>
          <w:sz w:val="32"/>
          <w:szCs w:val="32"/>
        </w:rPr>
        <w:t>拟对你公司虚开发票行为处以</w:t>
      </w:r>
      <w:r>
        <w:rPr>
          <w:rFonts w:hint="eastAsia" w:ascii="仿宋_GB2312" w:hAnsi="仿宋" w:eastAsia="仿宋_GB2312"/>
          <w:color w:val="auto"/>
          <w:sz w:val="32"/>
          <w:szCs w:val="32"/>
          <w:lang w:val="en-US" w:eastAsia="zh-CN"/>
        </w:rPr>
        <w:t>110000</w:t>
      </w:r>
      <w:r>
        <w:rPr>
          <w:rFonts w:hint="eastAsia" w:ascii="仿宋_GB2312" w:hAnsi="宋体" w:eastAsia="仿宋_GB2312"/>
          <w:color w:val="auto"/>
          <w:sz w:val="32"/>
          <w:szCs w:val="32"/>
        </w:rPr>
        <w:t>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EA05C5"/>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C3389"/>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AE42F2"/>
    <w:rsid w:val="2FE71F0E"/>
    <w:rsid w:val="30590A81"/>
    <w:rsid w:val="30B21D77"/>
    <w:rsid w:val="30D6621A"/>
    <w:rsid w:val="31451E0E"/>
    <w:rsid w:val="31662B18"/>
    <w:rsid w:val="32B450D0"/>
    <w:rsid w:val="33F428B9"/>
    <w:rsid w:val="349D29D0"/>
    <w:rsid w:val="34D752D3"/>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8C55EF"/>
    <w:rsid w:val="56B1612C"/>
    <w:rsid w:val="57D5030E"/>
    <w:rsid w:val="581241F8"/>
    <w:rsid w:val="583A07DE"/>
    <w:rsid w:val="58786E18"/>
    <w:rsid w:val="588772D4"/>
    <w:rsid w:val="58E72D20"/>
    <w:rsid w:val="58F51D5C"/>
    <w:rsid w:val="59093F64"/>
    <w:rsid w:val="591B081F"/>
    <w:rsid w:val="5B1D16A1"/>
    <w:rsid w:val="5B5479EB"/>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424419"/>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6850944"/>
    <w:rsid w:val="76B02C58"/>
    <w:rsid w:val="76D561F0"/>
    <w:rsid w:val="77943124"/>
    <w:rsid w:val="77AA3D9B"/>
    <w:rsid w:val="788D6D3A"/>
    <w:rsid w:val="79114B18"/>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2</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2024-10-30T02:40:13Z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