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14053">
      <w:pPr>
        <w:keepNext w:val="0"/>
        <w:keepLines w:val="0"/>
        <w:pageBreakBefore w:val="0"/>
        <w:kinsoku/>
        <w:wordWrap/>
        <w:overflowPunct/>
        <w:topLinePunct w:val="0"/>
        <w:autoSpaceDE/>
        <w:autoSpaceDN/>
        <w:bidi w:val="0"/>
        <w:adjustRightInd w:val="0"/>
        <w:snapToGrid w:val="0"/>
        <w:spacing w:line="1000" w:lineRule="exact"/>
        <w:jc w:val="center"/>
        <w:outlineLvl w:val="0"/>
        <w:rPr>
          <w:rFonts w:hint="eastAsia" w:ascii="华文中宋" w:hAnsi="华文中宋" w:eastAsia="华文中宋" w:cs="华文中宋"/>
          <w:b/>
          <w:color w:val="auto"/>
          <w:spacing w:val="-24"/>
          <w:sz w:val="52"/>
          <w:szCs w:val="52"/>
        </w:rPr>
      </w:pPr>
      <w:r>
        <w:rPr>
          <w:rFonts w:hint="eastAsia" w:ascii="华文中宋" w:hAnsi="华文中宋" w:eastAsia="华文中宋" w:cs="华文中宋"/>
          <w:b/>
          <w:color w:val="auto"/>
          <w:spacing w:val="-24"/>
          <w:sz w:val="52"/>
          <w:szCs w:val="52"/>
          <w:lang w:val="en-US" w:eastAsia="zh-CN"/>
        </w:rPr>
        <w:t>国家税务总局南宁市税务局第二稽查局</w:t>
      </w:r>
    </w:p>
    <w:p w14:paraId="6C9C9135">
      <w:pPr>
        <w:keepNext w:val="0"/>
        <w:keepLines w:val="0"/>
        <w:pageBreakBefore w:val="0"/>
        <w:kinsoku/>
        <w:wordWrap/>
        <w:overflowPunct/>
        <w:topLinePunct w:val="0"/>
        <w:autoSpaceDE/>
        <w:autoSpaceDN/>
        <w:bidi w:val="0"/>
        <w:adjustRightInd w:val="0"/>
        <w:snapToGrid w:val="0"/>
        <w:spacing w:line="800" w:lineRule="exact"/>
        <w:jc w:val="center"/>
        <w:rPr>
          <w:rFonts w:hint="eastAsia" w:ascii="华文中宋" w:hAnsi="华文中宋" w:eastAsia="华文中宋"/>
          <w:b/>
          <w:color w:val="auto"/>
          <w:spacing w:val="20"/>
          <w:sz w:val="72"/>
          <w:szCs w:val="72"/>
        </w:rPr>
      </w:pPr>
      <w:bookmarkStart w:id="0" w:name="_Toc438646789"/>
      <w:bookmarkStart w:id="1" w:name="_Toc438547770"/>
      <w:bookmarkStart w:id="2" w:name="_Toc449780845"/>
      <w:bookmarkStart w:id="3" w:name="_Toc432925654"/>
      <w:bookmarkStart w:id="4" w:name="_Toc432954985"/>
      <w:bookmarkStart w:id="5" w:name="_Toc429394923"/>
      <w:bookmarkStart w:id="6" w:name="_Toc438647324"/>
      <w:bookmarkStart w:id="7" w:name="_Toc434399113"/>
      <w:bookmarkStart w:id="8" w:name="_Toc459384151"/>
      <w:bookmarkStart w:id="9" w:name="_Toc432995088"/>
      <w:bookmarkStart w:id="10" w:name="_Toc432925316"/>
      <w:bookmarkStart w:id="11" w:name="_Toc433138762"/>
      <w:bookmarkStart w:id="12" w:name="_Toc433515694"/>
      <w:bookmarkStart w:id="13" w:name="_Toc438616030"/>
      <w:bookmarkStart w:id="14" w:name="_Toc434331650"/>
      <w:bookmarkStart w:id="15" w:name="_Toc432912191"/>
      <w:bookmarkStart w:id="16" w:name="_Toc428787575"/>
      <w:bookmarkStart w:id="17" w:name="_Toc439689407"/>
      <w:bookmarkStart w:id="18" w:name="_Toc426953659"/>
      <w:bookmarkStart w:id="19" w:name="_Toc427125265"/>
      <w:bookmarkStart w:id="20" w:name="_Toc434104867"/>
      <w:bookmarkStart w:id="21" w:name="_Toc432820378"/>
      <w:bookmarkStart w:id="22" w:name="_Toc434035578"/>
      <w:bookmarkStart w:id="23" w:name="_Toc434378279"/>
      <w:r>
        <w:rPr>
          <w:rFonts w:hint="eastAsia" w:ascii="华文中宋" w:hAnsi="华文中宋" w:eastAsia="华文中宋"/>
          <w:b/>
          <w:color w:val="auto"/>
          <w:spacing w:val="20"/>
          <w:sz w:val="72"/>
          <w:szCs w:val="72"/>
        </w:rPr>
        <w:t>税务行政处罚决定书</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352E0D33">
      <w:pPr>
        <w:keepNext w:val="0"/>
        <w:keepLines w:val="0"/>
        <w:pageBreakBefore w:val="0"/>
        <w:kinsoku/>
        <w:wordWrap/>
        <w:overflowPunct/>
        <w:topLinePunct w:val="0"/>
        <w:autoSpaceDE/>
        <w:autoSpaceDN/>
        <w:bidi w:val="0"/>
        <w:adjustRightInd w:val="0"/>
        <w:snapToGrid w:val="0"/>
        <w:spacing w:line="1000" w:lineRule="exact"/>
        <w:jc w:val="center"/>
        <w:outlineLvl w:val="0"/>
        <w:rPr>
          <w:rFonts w:ascii="仿宋_GB2312" w:hAnsi="Times New Roman" w:eastAsia="仿宋_GB2312" w:cs="Times New Roman"/>
          <w:color w:val="auto"/>
          <w:sz w:val="32"/>
        </w:rPr>
      </w:pPr>
      <w:bookmarkStart w:id="24" w:name="_GoBack"/>
      <w:r>
        <w:rPr>
          <w:rFonts w:hint="eastAsia" w:ascii="仿宋_GB2312" w:hAnsi="Times New Roman" w:eastAsia="仿宋_GB2312" w:cs="Times New Roman"/>
          <w:color w:val="auto"/>
          <w:sz w:val="32"/>
          <w:u w:val="none"/>
        </w:rPr>
        <w:t>南市税</w:t>
      </w:r>
      <w:r>
        <w:rPr>
          <w:rFonts w:hint="eastAsia" w:ascii="仿宋_GB2312" w:eastAsia="仿宋_GB2312" w:cs="Times New Roman"/>
          <w:color w:val="auto"/>
          <w:sz w:val="32"/>
          <w:u w:val="none"/>
          <w:lang w:eastAsia="zh-CN"/>
        </w:rPr>
        <w:t>二</w:t>
      </w:r>
      <w:r>
        <w:rPr>
          <w:rFonts w:hint="eastAsia" w:ascii="仿宋_GB2312" w:hAnsi="Times New Roman" w:eastAsia="仿宋_GB2312" w:cs="Times New Roman"/>
          <w:color w:val="auto"/>
          <w:sz w:val="32"/>
          <w:u w:val="none"/>
        </w:rPr>
        <w:t>稽</w:t>
      </w:r>
      <w:r>
        <w:rPr>
          <w:rFonts w:hint="eastAsia" w:ascii="仿宋_GB2312" w:hAnsi="Times New Roman" w:eastAsia="仿宋_GB2312" w:cs="Times New Roman"/>
          <w:color w:val="auto"/>
          <w:sz w:val="32"/>
        </w:rPr>
        <w:t>罚〔</w:t>
      </w:r>
      <w:r>
        <w:rPr>
          <w:rFonts w:hint="eastAsia" w:ascii="仿宋_GB2312" w:eastAsia="仿宋_GB2312" w:cs="Times New Roman"/>
          <w:color w:val="auto"/>
          <w:sz w:val="32"/>
          <w:lang w:val="en-US" w:eastAsia="zh-CN"/>
        </w:rPr>
        <w:t>2026</w:t>
      </w:r>
      <w:r>
        <w:rPr>
          <w:rFonts w:hint="eastAsia" w:ascii="仿宋_GB2312" w:hAnsi="Times New Roman" w:eastAsia="仿宋_GB2312" w:cs="Times New Roman"/>
          <w:color w:val="auto"/>
          <w:sz w:val="32"/>
        </w:rPr>
        <w:t>〕</w:t>
      </w:r>
      <w:r>
        <w:rPr>
          <w:rFonts w:hint="eastAsia" w:ascii="仿宋_GB2312" w:eastAsia="仿宋_GB2312" w:cs="Times New Roman"/>
          <w:color w:val="auto"/>
          <w:sz w:val="32"/>
          <w:lang w:val="en-US" w:eastAsia="zh-CN"/>
        </w:rPr>
        <w:t>30</w:t>
      </w:r>
      <w:r>
        <w:rPr>
          <w:rFonts w:hint="eastAsia" w:ascii="仿宋_GB2312" w:hAnsi="Times New Roman" w:eastAsia="仿宋_GB2312" w:cs="Times New Roman"/>
          <w:color w:val="auto"/>
          <w:sz w:val="32"/>
        </w:rPr>
        <w:t>号</w:t>
      </w:r>
    </w:p>
    <w:bookmarkEnd w:id="24"/>
    <w:p w14:paraId="15740607">
      <w:pPr>
        <w:keepNext w:val="0"/>
        <w:keepLines w:val="0"/>
        <w:pageBreakBefore w:val="0"/>
        <w:kinsoku/>
        <w:wordWrap/>
        <w:overflowPunct/>
        <w:topLinePunct w:val="0"/>
        <w:autoSpaceDE/>
        <w:autoSpaceDN/>
        <w:bidi w:val="0"/>
        <w:rPr>
          <w:rFonts w:ascii="仿宋_GB2312" w:hAnsi="Times New Roman" w:eastAsia="仿宋_GB2312" w:cs="Times New Roman"/>
          <w:color w:val="auto"/>
          <w:sz w:val="28"/>
          <w:u w:val="single"/>
        </w:rPr>
      </w:pPr>
    </w:p>
    <w:p w14:paraId="0C6E4B23">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 w:eastAsia="仿宋_GB2312" w:cs="宋体"/>
          <w:color w:val="auto"/>
          <w:sz w:val="32"/>
          <w:szCs w:val="32"/>
          <w:highlight w:val="none"/>
          <w:lang w:val="en-US" w:eastAsia="zh-CN"/>
        </w:rPr>
      </w:pPr>
      <w:r>
        <w:rPr>
          <w:rFonts w:hint="eastAsia" w:ascii="仿宋_GB2312" w:hAnsi="仿宋" w:eastAsia="仿宋_GB2312" w:cs="宋体"/>
          <w:color w:val="auto"/>
          <w:sz w:val="32"/>
          <w:szCs w:val="32"/>
          <w:highlight w:val="none"/>
          <w:lang w:val="en-US" w:eastAsia="zh-CN"/>
        </w:rPr>
        <w:t>广西秀肯裕商贸有限公司（纳税人识别号：91450100MAEHHRNB0E）：</w:t>
      </w:r>
    </w:p>
    <w:p w14:paraId="1A4A8F2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华文仿宋" w:eastAsia="仿宋_GB2312" w:cs="Times New Roman"/>
          <w:color w:val="auto"/>
          <w:sz w:val="32"/>
        </w:rPr>
      </w:pPr>
      <w:r>
        <w:rPr>
          <w:rFonts w:hint="eastAsia" w:ascii="仿宋_GB2312" w:hAnsi="仿宋" w:eastAsia="仿宋_GB2312"/>
          <w:color w:val="auto"/>
          <w:sz w:val="32"/>
          <w:szCs w:val="24"/>
          <w:lang w:eastAsia="zh-CN"/>
        </w:rPr>
        <w:t>经</w:t>
      </w:r>
      <w:r>
        <w:rPr>
          <w:rFonts w:hint="eastAsia" w:ascii="仿宋_GB2312" w:hAnsi="仿宋" w:eastAsia="仿宋_GB2312"/>
          <w:color w:val="auto"/>
          <w:sz w:val="32"/>
          <w:szCs w:val="24"/>
        </w:rPr>
        <w:t>我局于2026年5月18日至2026年6月25日对你公司（广西壮族自治区南宁市兴宁区金川路7号南宁吾悦广场8号楼十六层1602号房）2025年1月1日至2025年12月31日期间的涉税情况进行了检查</w:t>
      </w:r>
      <w:r>
        <w:rPr>
          <w:rFonts w:hint="eastAsia" w:ascii="仿宋_GB2312" w:hAnsi="Times New Roman" w:eastAsia="仿宋_GB2312" w:cs="Times New Roman"/>
          <w:color w:val="auto"/>
          <w:sz w:val="32"/>
          <w:u w:val="none"/>
          <w:lang w:eastAsia="zh-CN"/>
        </w:rPr>
        <w:t>，</w:t>
      </w:r>
      <w:r>
        <w:rPr>
          <w:rFonts w:hint="eastAsia" w:ascii="仿宋_GB2312" w:hAnsi="宋体" w:eastAsia="仿宋_GB2312" w:cs="Times New Roman"/>
          <w:color w:val="auto"/>
          <w:sz w:val="32"/>
        </w:rPr>
        <w:t>你</w:t>
      </w:r>
      <w:r>
        <w:rPr>
          <w:rFonts w:hint="eastAsia" w:ascii="仿宋_GB2312" w:hAnsi="宋体" w:eastAsia="仿宋_GB2312" w:cs="Times New Roman"/>
          <w:color w:val="auto"/>
          <w:sz w:val="32"/>
          <w:lang w:eastAsia="zh-CN"/>
        </w:rPr>
        <w:t>公司</w:t>
      </w:r>
      <w:r>
        <w:rPr>
          <w:rFonts w:hint="eastAsia" w:ascii="仿宋_GB2312" w:hAnsi="宋体" w:eastAsia="仿宋_GB2312" w:cs="Times New Roman"/>
          <w:color w:val="auto"/>
          <w:sz w:val="32"/>
        </w:rPr>
        <w:t>存在违法事实</w:t>
      </w:r>
      <w:r>
        <w:rPr>
          <w:rFonts w:hint="eastAsia" w:ascii="仿宋_GB2312" w:hAnsi="宋体" w:eastAsia="仿宋_GB2312" w:cs="Times New Roman"/>
          <w:color w:val="auto"/>
          <w:sz w:val="32"/>
          <w:lang w:eastAsia="zh-CN"/>
        </w:rPr>
        <w:t>及处罚决定如下</w:t>
      </w:r>
      <w:r>
        <w:rPr>
          <w:rFonts w:hint="eastAsia" w:ascii="仿宋_GB2312" w:hAnsi="华文仿宋" w:eastAsia="仿宋_GB2312" w:cs="Times New Roman"/>
          <w:color w:val="auto"/>
          <w:sz w:val="32"/>
        </w:rPr>
        <w:t>：</w:t>
      </w:r>
    </w:p>
    <w:p w14:paraId="04347F07">
      <w:pPr>
        <w:keepNext w:val="0"/>
        <w:keepLines w:val="0"/>
        <w:pageBreakBefore w:val="0"/>
        <w:widowControl w:val="0"/>
        <w:kinsoku/>
        <w:wordWrap/>
        <w:overflowPunct/>
        <w:topLinePunct w:val="0"/>
        <w:autoSpaceDE/>
        <w:autoSpaceDN/>
        <w:bidi w:val="0"/>
        <w:adjustRightInd w:val="0"/>
        <w:spacing w:line="560" w:lineRule="exact"/>
        <w:ind w:firstLine="640" w:firstLineChars="200"/>
        <w:jc w:val="left"/>
        <w:textAlignment w:val="auto"/>
        <w:rPr>
          <w:rFonts w:hint="eastAsia" w:ascii="黑体" w:hAnsi="黑体" w:eastAsia="黑体"/>
          <w:color w:val="auto"/>
          <w:sz w:val="32"/>
          <w:szCs w:val="24"/>
        </w:rPr>
      </w:pPr>
      <w:r>
        <w:rPr>
          <w:rFonts w:hint="eastAsia" w:ascii="黑体" w:hAnsi="黑体" w:eastAsia="黑体"/>
          <w:color w:val="auto"/>
          <w:sz w:val="32"/>
          <w:szCs w:val="24"/>
        </w:rPr>
        <w:t>一、违法事实</w:t>
      </w:r>
    </w:p>
    <w:p w14:paraId="169AA322">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（一）你公司为走逃（失联）企业</w:t>
      </w:r>
    </w:p>
    <w:p w14:paraId="5BE49F4F">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你公司未在税务登记注册地址和生产经营地址经营，法定代表人、财务负责人、办税人电话无法联系，2025年10月1日被主管税务机关认定为非正常户。至检查结束止，你公司未配合税务检查，也未按要求提供相关涉税资料。</w:t>
      </w:r>
    </w:p>
    <w:p w14:paraId="1386D7F1">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（二）你公司存在虚开增值税发票问题</w:t>
      </w:r>
    </w:p>
    <w:p w14:paraId="53C771B2">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1.增值税发票取得情况</w:t>
      </w:r>
    </w:p>
    <w:p w14:paraId="484E9E5F">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经查询，2025年你公司共取得增值税专用发票12份，均为青岛千曜商贸有限公司（纳税人识别号：91370203MAEFXT70XQ）于2025年4月30日开具</w:t>
      </w:r>
      <w:r>
        <w:rPr>
          <w:rFonts w:hint="eastAsia" w:hAnsi="仿宋" w:cs="Times New Roman"/>
          <w:color w:val="auto"/>
          <w:sz w:val="32"/>
          <w:szCs w:val="32"/>
          <w:lang w:eastAsia="zh-CN"/>
        </w:rPr>
        <w:t>，</w:t>
      </w:r>
      <w:r>
        <w:rPr>
          <w:rFonts w:hint="eastAsia" w:ascii="仿宋_GB2312" w:hAnsi="仿宋" w:eastAsia="仿宋_GB2312" w:cs="Times New Roman"/>
          <w:color w:val="auto"/>
          <w:sz w:val="32"/>
          <w:szCs w:val="32"/>
          <w:lang w:eastAsia="zh-CN"/>
        </w:rPr>
        <w:t>发票号码：25922000000025784845、25922000000025745477、25922000000025716629、25922000000025755440、25922000000025774996、25922000000025784859、25922000000025813985、25922000000025784863、25922000000025775010、25922000000025765225、25922000000025765242、25922000000025794492，金额3275734.49元，税额425845.51元，价税合计3701580.00元，货物名称：*有色金属冶炼压延品*铝锭，单位：吨，数量：191，未认证抵扣。国家税务总局青岛市税务局第二稽查局证实青岛千曜商贸有限公司开具的上述12份增值税专用发票为虚开发票。</w:t>
      </w:r>
    </w:p>
    <w:p w14:paraId="193E19B2">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2.开具增值税发票情况</w:t>
      </w:r>
    </w:p>
    <w:p w14:paraId="08D7AA20">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经查询2025年你公司共计开具增值税专用发票14份，均开具给上海钰茶贸易有限公司（纳税人识别号：91310120MA1HNX325K），发票号码：25452000000048304977、25452000000048276411、25452000000048285856、25452000000048305136、25452000000048267910、25452000000048267944、25452000000048295504、25452000000048305256、25452000000048268062、25452000000048315346、25452000000048268149、25452000000048276747、25452000000048295728、25452000000048286181，货物品名：*有色金属冶炼压延品*铝锭，单位：吨，数量：208，开票金额3567292.05元，税额463747.95元，价税合计4031040.00元，开票时间为2025年4月30日。</w:t>
      </w:r>
    </w:p>
    <w:p w14:paraId="1A0480B0">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你公司2025年4月开具上述14份增值税专用发票后未申报。</w:t>
      </w:r>
    </w:p>
    <w:p w14:paraId="2E1D1A3D">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3.银行账户资金异常</w:t>
      </w:r>
    </w:p>
    <w:p w14:paraId="2961B5F2">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 w:eastAsia="仿宋_GB2312" w:cs="Times New Roman"/>
          <w:color w:val="auto"/>
          <w:sz w:val="32"/>
          <w:szCs w:val="32"/>
          <w:lang w:eastAsia="zh-CN"/>
        </w:rPr>
      </w:pPr>
      <w:r>
        <w:rPr>
          <w:rFonts w:hint="eastAsia" w:ascii="仿宋_GB2312" w:hAnsi="仿宋" w:eastAsia="仿宋_GB2312" w:cs="Times New Roman"/>
          <w:color w:val="auto"/>
          <w:sz w:val="32"/>
          <w:szCs w:val="32"/>
          <w:lang w:eastAsia="zh-CN"/>
        </w:rPr>
        <w:t>经查询，你公司未向税务机关报备银行账户。你公司在开具的增值税发票上填列兴业银行账号</w:t>
      </w:r>
      <w:r>
        <w:rPr>
          <w:rFonts w:hint="eastAsia" w:hAnsi="仿宋" w:cs="Times New Roman"/>
          <w:color w:val="auto"/>
          <w:sz w:val="32"/>
          <w:szCs w:val="32"/>
          <w:lang w:eastAsia="zh-CN"/>
        </w:rPr>
        <w:t>：</w:t>
      </w:r>
      <w:r>
        <w:rPr>
          <w:rFonts w:hint="eastAsia" w:ascii="仿宋_GB2312" w:hAnsi="仿宋" w:eastAsia="仿宋_GB2312" w:cs="Times New Roman"/>
          <w:color w:val="auto"/>
          <w:sz w:val="32"/>
          <w:szCs w:val="32"/>
          <w:lang w:eastAsia="zh-CN"/>
        </w:rPr>
        <w:t>38</w:t>
      </w:r>
      <w:r>
        <w:rPr>
          <w:rFonts w:hint="eastAsia" w:hAnsi="仿宋" w:cs="Times New Roman"/>
          <w:color w:val="auto"/>
          <w:sz w:val="32"/>
          <w:szCs w:val="32"/>
          <w:lang w:val="en-US" w:eastAsia="zh-CN"/>
        </w:rPr>
        <w:t>********</w:t>
      </w:r>
      <w:r>
        <w:rPr>
          <w:rFonts w:hint="eastAsia" w:ascii="仿宋_GB2312" w:hAnsi="仿宋" w:eastAsia="仿宋_GB2312" w:cs="Times New Roman"/>
          <w:color w:val="auto"/>
          <w:sz w:val="32"/>
          <w:szCs w:val="32"/>
          <w:lang w:eastAsia="zh-CN"/>
        </w:rPr>
        <w:t>89，银行核实该账号不存在。</w:t>
      </w:r>
    </w:p>
    <w:p w14:paraId="324C55A3">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Cs/>
          <w:color w:val="auto"/>
          <w:sz w:val="32"/>
          <w:szCs w:val="32"/>
        </w:rPr>
      </w:pPr>
      <w:r>
        <w:rPr>
          <w:rFonts w:hint="eastAsia" w:ascii="仿宋_GB2312" w:hAnsi="仿宋" w:eastAsia="仿宋_GB2312" w:cs="Times New Roman"/>
          <w:color w:val="auto"/>
          <w:sz w:val="32"/>
          <w:szCs w:val="32"/>
          <w:lang w:eastAsia="zh-CN"/>
        </w:rPr>
        <w:t>综上，你公司开具14份增值税专用发票后走逃失联，未申报纳税，进销货物数量不符，银行账号虚假，上述行为属于为他人开具与实际经营业务情况不符的增值税专用发票，违反了《中华人民共和国发票管理办法》（财政部令第6号发布，国务院令第764号修改）第二十一条第一款、第二款第（一）项的规定，属于虚开发票行为。</w:t>
      </w:r>
    </w:p>
    <w:p w14:paraId="21CE1D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上述违法事实,主要有以下证据证明：</w:t>
      </w:r>
    </w:p>
    <w:p w14:paraId="3E2BAEE5">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证据1：基本情况、纳税申报情况和主管税务机关协查资料；</w:t>
      </w:r>
    </w:p>
    <w:p w14:paraId="3BB97515">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 w:eastAsia="仿宋_GB2312" w:cs="Times New Roman"/>
          <w:color w:val="auto"/>
          <w:sz w:val="32"/>
          <w:szCs w:val="32"/>
          <w:lang w:val="en-US" w:eastAsia="zh-CN"/>
        </w:rPr>
        <w:t>证据2：取得、开具发票</w:t>
      </w:r>
      <w:r>
        <w:rPr>
          <w:rFonts w:hint="eastAsia" w:ascii="仿宋_GB2312" w:eastAsia="仿宋_GB2312" w:cs="Times New Roman"/>
          <w:color w:val="auto"/>
          <w:kern w:val="2"/>
          <w:sz w:val="32"/>
          <w:szCs w:val="32"/>
          <w:lang w:val="en-US" w:eastAsia="zh-CN" w:bidi="ar-SA"/>
        </w:rPr>
        <w:t>等</w:t>
      </w:r>
      <w:r>
        <w:rPr>
          <w:rFonts w:hint="eastAsia" w:ascii="仿宋_GB2312" w:hAnsi="仿宋" w:eastAsia="仿宋_GB2312" w:cs="Times New Roman"/>
          <w:color w:val="auto"/>
          <w:sz w:val="32"/>
          <w:szCs w:val="32"/>
          <w:lang w:val="en-US" w:eastAsia="zh-CN"/>
        </w:rPr>
        <w:t>证据资料</w:t>
      </w:r>
      <w:r>
        <w:rPr>
          <w:rFonts w:hint="eastAsia" w:ascii="仿宋_GB2312" w:hAnsi="仿宋_GB2312" w:eastAsia="仿宋_GB2312" w:cs="仿宋_GB2312"/>
          <w:color w:val="auto"/>
          <w:sz w:val="32"/>
          <w:szCs w:val="32"/>
          <w:lang w:val="en-US" w:eastAsia="zh-CN"/>
        </w:rPr>
        <w:t>；</w:t>
      </w:r>
    </w:p>
    <w:p w14:paraId="74219923">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 w:eastAsia="仿宋_GB2312" w:cs="Times New Roman"/>
          <w:color w:val="auto"/>
          <w:sz w:val="32"/>
          <w:szCs w:val="32"/>
          <w:lang w:val="en-US" w:eastAsia="zh-CN"/>
        </w:rPr>
        <w:t>证据3：已证实虚开发票证据资料</w:t>
      </w:r>
      <w:r>
        <w:rPr>
          <w:rFonts w:hint="eastAsia" w:ascii="仿宋_GB2312" w:hAnsi="仿宋_GB2312" w:eastAsia="仿宋_GB2312" w:cs="仿宋_GB2312"/>
          <w:color w:val="auto"/>
          <w:sz w:val="32"/>
          <w:szCs w:val="32"/>
          <w:lang w:val="en-US" w:eastAsia="zh-CN"/>
        </w:rPr>
        <w:t>；</w:t>
      </w:r>
    </w:p>
    <w:p w14:paraId="097A10EB">
      <w:pPr>
        <w:keepNext w:val="0"/>
        <w:keepLines w:val="0"/>
        <w:pageBreakBefore w:val="0"/>
        <w:widowControl w:val="0"/>
        <w:numPr>
          <w:ilvl w:val="-1"/>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 w:eastAsia="仿宋_GB2312" w:cs="Times New Roman"/>
          <w:color w:val="auto"/>
          <w:sz w:val="32"/>
          <w:szCs w:val="32"/>
          <w:lang w:val="en-US" w:eastAsia="zh-CN"/>
        </w:rPr>
        <w:t>证据4：银行账户查询证据资料</w:t>
      </w:r>
      <w:r>
        <w:rPr>
          <w:rFonts w:hint="eastAsia" w:ascii="仿宋_GB2312" w:hAnsi="仿宋_GB2312" w:eastAsia="仿宋_GB2312" w:cs="仿宋_GB2312"/>
          <w:color w:val="auto"/>
          <w:sz w:val="32"/>
          <w:szCs w:val="32"/>
          <w:lang w:val="en-US" w:eastAsia="zh-CN"/>
        </w:rPr>
        <w:t>。</w:t>
      </w:r>
    </w:p>
    <w:p w14:paraId="7DF6042B">
      <w:pPr>
        <w:keepNext w:val="0"/>
        <w:keepLines w:val="0"/>
        <w:pageBreakBefore w:val="0"/>
        <w:widowControl w:val="0"/>
        <w:kinsoku/>
        <w:wordWrap/>
        <w:overflowPunct/>
        <w:topLinePunct w:val="0"/>
        <w:autoSpaceDE/>
        <w:autoSpaceDN/>
        <w:bidi w:val="0"/>
        <w:spacing w:before="59" w:line="560" w:lineRule="exact"/>
        <w:ind w:left="672"/>
        <w:textAlignment w:val="auto"/>
        <w:outlineLvl w:val="2"/>
        <w:rPr>
          <w:rFonts w:ascii="黑体" w:hAnsi="黑体" w:eastAsia="黑体" w:cs="黑体"/>
          <w:color w:val="auto"/>
          <w:sz w:val="31"/>
          <w:szCs w:val="31"/>
        </w:rPr>
      </w:pPr>
      <w:r>
        <w:rPr>
          <w:rFonts w:ascii="黑体" w:hAnsi="黑体" w:eastAsia="黑体" w:cs="黑体"/>
          <w:color w:val="auto"/>
          <w:spacing w:val="7"/>
          <w:sz w:val="31"/>
          <w:szCs w:val="31"/>
        </w:rPr>
        <w:t>二、处罚决定</w:t>
      </w:r>
    </w:p>
    <w:p w14:paraId="1C298679">
      <w:pPr>
        <w:pStyle w:val="10"/>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FF"/>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根据《中华人民共和国发票管理办法》（财政部令第6号发布，国务院令第764号修改）第三十五条第一款的规定，你公司虚开发票行为符合《中南区域税务行政处罚裁量基准》（广东省税务局 河南省税务局 湖北省税务局 湖南省税务局 广西壮族自治区税务局 海南省税务局 深圳市税务局2023年第5号公告发布）第45项规定的“严重”裁量阶次适用条件，对你公司虚开发票行为处以400000.00元的罚款。</w:t>
      </w:r>
    </w:p>
    <w:p w14:paraId="300F3883">
      <w:pPr>
        <w:pStyle w:val="10"/>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上应缴款项共计400000.00元。限你公司自本决定书送达之日起十五日内到国家税务总局南宁市税务局缴纳入库。到期不缴纳罚款，我局可依照《中华人民共和国行政处罚法》第七十二条第一款第（一）项规定，每日按罚款数额的百分之三加处罚款。</w:t>
      </w:r>
    </w:p>
    <w:p w14:paraId="09224877">
      <w:pPr>
        <w:pStyle w:val="10"/>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如对本决定不服，可以自收到本决定书之日起六十日内依法向国家税务总局南宁市税务局申请行政复议，或者自收到本决定书之日起六个月内依法向人民法院起诉。如对处罚决定逾期不申请复议也不向人民法院起诉、又不履行的，我局将采取《中华人民共和国税收征收管理法》第四十条规定的强制执行措施，或者申请人民法院强制执行。 </w:t>
      </w:r>
    </w:p>
    <w:p w14:paraId="36F2B7A8">
      <w:pPr>
        <w:pStyle w:val="10"/>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169DE043">
      <w:pPr>
        <w:pStyle w:val="10"/>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14:paraId="22F7C820">
      <w:pPr>
        <w:keepNext w:val="0"/>
        <w:keepLines w:val="0"/>
        <w:pageBreakBefore w:val="0"/>
        <w:widowControl w:val="0"/>
        <w:kinsoku/>
        <w:wordWrap/>
        <w:overflowPunct/>
        <w:topLinePunct w:val="0"/>
        <w:autoSpaceDE/>
        <w:autoSpaceDN/>
        <w:bidi w:val="0"/>
        <w:adjustRightInd w:val="0"/>
        <w:spacing w:line="560" w:lineRule="exact"/>
        <w:ind w:firstLine="4160" w:firstLineChars="1300"/>
        <w:jc w:val="left"/>
        <w:textAlignment w:val="auto"/>
        <w:rPr>
          <w:rFonts w:hint="eastAsia" w:ascii="仿宋_GB2312" w:hAnsi="仿宋" w:eastAsia="仿宋_GB2312"/>
          <w:color w:val="auto"/>
          <w:kern w:val="0"/>
          <w:sz w:val="32"/>
          <w:szCs w:val="20"/>
        </w:rPr>
      </w:pPr>
      <w:r>
        <w:rPr>
          <w:rFonts w:hint="eastAsia" w:ascii="仿宋_GB2312" w:hAnsi="仿宋" w:eastAsia="仿宋_GB2312"/>
          <w:color w:val="auto"/>
          <w:kern w:val="0"/>
          <w:sz w:val="32"/>
          <w:szCs w:val="20"/>
        </w:rPr>
        <w:t>二〇</w:t>
      </w:r>
      <w:r>
        <w:rPr>
          <w:rFonts w:hint="eastAsia" w:ascii="仿宋_GB2312" w:hAnsi="仿宋" w:eastAsia="仿宋_GB2312"/>
          <w:color w:val="auto"/>
          <w:kern w:val="0"/>
          <w:sz w:val="32"/>
          <w:szCs w:val="20"/>
          <w:lang w:eastAsia="zh-CN"/>
        </w:rPr>
        <w:t>二六</w:t>
      </w:r>
      <w:r>
        <w:rPr>
          <w:rFonts w:hint="eastAsia" w:ascii="仿宋_GB2312" w:hAnsi="仿宋" w:eastAsia="仿宋_GB2312"/>
          <w:color w:val="auto"/>
          <w:kern w:val="0"/>
          <w:sz w:val="32"/>
          <w:szCs w:val="20"/>
        </w:rPr>
        <w:t>年</w:t>
      </w:r>
      <w:r>
        <w:rPr>
          <w:rFonts w:hint="eastAsia" w:ascii="仿宋_GB2312" w:hAnsi="仿宋" w:eastAsia="仿宋_GB2312"/>
          <w:color w:val="auto"/>
          <w:kern w:val="0"/>
          <w:sz w:val="32"/>
          <w:szCs w:val="20"/>
          <w:lang w:eastAsia="zh-CN"/>
        </w:rPr>
        <w:t>十</w:t>
      </w:r>
      <w:r>
        <w:rPr>
          <w:rFonts w:hint="eastAsia" w:ascii="仿宋_GB2312" w:hAnsi="仿宋" w:eastAsia="仿宋_GB2312"/>
          <w:color w:val="auto"/>
          <w:kern w:val="0"/>
          <w:sz w:val="32"/>
          <w:szCs w:val="20"/>
        </w:rPr>
        <w:t>月</w:t>
      </w:r>
      <w:r>
        <w:rPr>
          <w:rFonts w:hint="eastAsia" w:ascii="仿宋_GB2312" w:hAnsi="仿宋" w:eastAsia="仿宋_GB2312"/>
          <w:color w:val="auto"/>
          <w:kern w:val="0"/>
          <w:sz w:val="32"/>
          <w:szCs w:val="20"/>
          <w:lang w:val="en-US" w:eastAsia="zh-CN"/>
        </w:rPr>
        <w:t>十</w:t>
      </w:r>
      <w:r>
        <w:rPr>
          <w:rFonts w:hint="eastAsia" w:ascii="仿宋_GB2312" w:hAnsi="仿宋" w:eastAsia="仿宋_GB2312"/>
          <w:color w:val="auto"/>
          <w:kern w:val="0"/>
          <w:sz w:val="32"/>
          <w:szCs w:val="20"/>
        </w:rPr>
        <w:t>日</w:t>
      </w:r>
    </w:p>
    <w:p w14:paraId="0ED7CA46">
      <w:pPr>
        <w:keepNext w:val="0"/>
        <w:keepLines w:val="0"/>
        <w:pageBreakBefore w:val="0"/>
        <w:widowControl w:val="0"/>
        <w:kinsoku/>
        <w:wordWrap/>
        <w:overflowPunct/>
        <w:topLinePunct w:val="0"/>
        <w:autoSpaceDE/>
        <w:autoSpaceDN/>
        <w:bidi w:val="0"/>
        <w:spacing w:line="560" w:lineRule="exact"/>
        <w:ind w:firstLine="0"/>
        <w:textAlignment w:val="auto"/>
        <w:rPr>
          <w:color w:val="auto"/>
        </w:rPr>
      </w:pP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FangSong">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DCC0D">
    <w:pPr>
      <w:pStyle w:val="6"/>
    </w:pPr>
  </w:p>
  <w:p w14:paraId="6E50281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B95E3">
                          <w:pPr>
                            <w:pStyle w:val="6"/>
                          </w:pPr>
                          <w:r>
                            <w:rPr>
                              <w:sz w:val="28"/>
                              <w:szCs w:val="28"/>
                            </w:rPr>
                            <w:t xml:space="preserve">第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页 共 </w:t>
                          </w:r>
                          <w:r>
                            <w:rPr>
                              <w:sz w:val="28"/>
                              <w:szCs w:val="28"/>
                            </w:rPr>
                            <w:fldChar w:fldCharType="begin"/>
                          </w:r>
                          <w:r>
                            <w:rPr>
                              <w:sz w:val="28"/>
                              <w:szCs w:val="28"/>
                            </w:rPr>
                            <w:instrText xml:space="preserve"> NUMPAGES  \* MERGEFORMAT </w:instrText>
                          </w:r>
                          <w:r>
                            <w:rPr>
                              <w:sz w:val="28"/>
                              <w:szCs w:val="28"/>
                            </w:rPr>
                            <w:fldChar w:fldCharType="separate"/>
                          </w:r>
                          <w:r>
                            <w:rPr>
                              <w:sz w:val="28"/>
                              <w:szCs w:val="28"/>
                            </w:rPr>
                            <w:t>7</w:t>
                          </w:r>
                          <w:r>
                            <w:rPr>
                              <w:sz w:val="28"/>
                              <w:szCs w:val="28"/>
                            </w:rPr>
                            <w:fldChar w:fldCharType="end"/>
                          </w:r>
                          <w:r>
                            <w:rPr>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FB95E3">
                    <w:pPr>
                      <w:pStyle w:val="6"/>
                    </w:pPr>
                    <w:r>
                      <w:rPr>
                        <w:sz w:val="28"/>
                        <w:szCs w:val="28"/>
                      </w:rPr>
                      <w:t xml:space="preserve">第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页 共 </w:t>
                    </w:r>
                    <w:r>
                      <w:rPr>
                        <w:sz w:val="28"/>
                        <w:szCs w:val="28"/>
                      </w:rPr>
                      <w:fldChar w:fldCharType="begin"/>
                    </w:r>
                    <w:r>
                      <w:rPr>
                        <w:sz w:val="28"/>
                        <w:szCs w:val="28"/>
                      </w:rPr>
                      <w:instrText xml:space="preserve"> NUMPAGES  \* MERGEFORMAT </w:instrText>
                    </w:r>
                    <w:r>
                      <w:rPr>
                        <w:sz w:val="28"/>
                        <w:szCs w:val="28"/>
                      </w:rPr>
                      <w:fldChar w:fldCharType="separate"/>
                    </w:r>
                    <w:r>
                      <w:rPr>
                        <w:sz w:val="28"/>
                        <w:szCs w:val="28"/>
                      </w:rPr>
                      <w:t>7</w:t>
                    </w:r>
                    <w:r>
                      <w:rPr>
                        <w:sz w:val="28"/>
                        <w:szCs w:val="28"/>
                      </w:rPr>
                      <w:fldChar w:fldCharType="end"/>
                    </w:r>
                    <w:r>
                      <w:rPr>
                        <w:sz w:val="28"/>
                        <w:szCs w:val="2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C70B8C"/>
    <w:rsid w:val="006B2F1F"/>
    <w:rsid w:val="03F23CD1"/>
    <w:rsid w:val="0817058A"/>
    <w:rsid w:val="0B462CCB"/>
    <w:rsid w:val="0C396BCE"/>
    <w:rsid w:val="10425AA4"/>
    <w:rsid w:val="10EC6BA1"/>
    <w:rsid w:val="132A242C"/>
    <w:rsid w:val="154626C8"/>
    <w:rsid w:val="171021D3"/>
    <w:rsid w:val="17BF4D50"/>
    <w:rsid w:val="17D12ADE"/>
    <w:rsid w:val="19E9297E"/>
    <w:rsid w:val="1AA449BA"/>
    <w:rsid w:val="1CFF1B91"/>
    <w:rsid w:val="1F17F3BD"/>
    <w:rsid w:val="22EF9166"/>
    <w:rsid w:val="237A734B"/>
    <w:rsid w:val="25527F30"/>
    <w:rsid w:val="271637F8"/>
    <w:rsid w:val="2B0A5509"/>
    <w:rsid w:val="2BDF475A"/>
    <w:rsid w:val="2DD5CA7A"/>
    <w:rsid w:val="3045037F"/>
    <w:rsid w:val="31D502A8"/>
    <w:rsid w:val="327D39D9"/>
    <w:rsid w:val="352C307B"/>
    <w:rsid w:val="36FF7BAF"/>
    <w:rsid w:val="38381E9D"/>
    <w:rsid w:val="39FFCCA8"/>
    <w:rsid w:val="3BD4656A"/>
    <w:rsid w:val="3BFDD06F"/>
    <w:rsid w:val="3D346CD3"/>
    <w:rsid w:val="3D78CFE0"/>
    <w:rsid w:val="3D8D005F"/>
    <w:rsid w:val="3F5FBC30"/>
    <w:rsid w:val="3F7F750B"/>
    <w:rsid w:val="3FFFCBA4"/>
    <w:rsid w:val="41341AF1"/>
    <w:rsid w:val="41AE701F"/>
    <w:rsid w:val="436634C9"/>
    <w:rsid w:val="442B572A"/>
    <w:rsid w:val="45E11D6C"/>
    <w:rsid w:val="47C83C14"/>
    <w:rsid w:val="4C3023A0"/>
    <w:rsid w:val="4CA135A1"/>
    <w:rsid w:val="4D177196"/>
    <w:rsid w:val="4E8943FE"/>
    <w:rsid w:val="4FFF72E3"/>
    <w:rsid w:val="526933C1"/>
    <w:rsid w:val="53C928BF"/>
    <w:rsid w:val="54C70B8C"/>
    <w:rsid w:val="573E5318"/>
    <w:rsid w:val="593C709D"/>
    <w:rsid w:val="5A985C13"/>
    <w:rsid w:val="5BA95ED2"/>
    <w:rsid w:val="5BDA5690"/>
    <w:rsid w:val="5C6D1659"/>
    <w:rsid w:val="5CE36E45"/>
    <w:rsid w:val="5D115CE5"/>
    <w:rsid w:val="5D1933BD"/>
    <w:rsid w:val="5DBB9752"/>
    <w:rsid w:val="5DC75C3A"/>
    <w:rsid w:val="5DFE933D"/>
    <w:rsid w:val="5EEC2B17"/>
    <w:rsid w:val="5F6D1E8F"/>
    <w:rsid w:val="61483C39"/>
    <w:rsid w:val="63DE4F7A"/>
    <w:rsid w:val="63F071E2"/>
    <w:rsid w:val="64751E53"/>
    <w:rsid w:val="64797E27"/>
    <w:rsid w:val="65497AB5"/>
    <w:rsid w:val="6A0A4F8D"/>
    <w:rsid w:val="6CD87D7D"/>
    <w:rsid w:val="6DA8E817"/>
    <w:rsid w:val="6E7F52F5"/>
    <w:rsid w:val="6EAF73BC"/>
    <w:rsid w:val="6ED608E2"/>
    <w:rsid w:val="6FFEF5AC"/>
    <w:rsid w:val="72BFF1FA"/>
    <w:rsid w:val="73FFC0A4"/>
    <w:rsid w:val="759D3528"/>
    <w:rsid w:val="76DF3B82"/>
    <w:rsid w:val="791B6E54"/>
    <w:rsid w:val="79431FE7"/>
    <w:rsid w:val="796C1A6C"/>
    <w:rsid w:val="797F1539"/>
    <w:rsid w:val="79FD2B47"/>
    <w:rsid w:val="79FF28EC"/>
    <w:rsid w:val="79FF5783"/>
    <w:rsid w:val="7ABF4A72"/>
    <w:rsid w:val="7B173819"/>
    <w:rsid w:val="7B752567"/>
    <w:rsid w:val="7BDECAE1"/>
    <w:rsid w:val="7CEF45C0"/>
    <w:rsid w:val="7DBFEEF6"/>
    <w:rsid w:val="7EBB1B91"/>
    <w:rsid w:val="7EFE7644"/>
    <w:rsid w:val="7FD7E6C6"/>
    <w:rsid w:val="A7F344EE"/>
    <w:rsid w:val="AFF75FAF"/>
    <w:rsid w:val="BF8DCFC6"/>
    <w:rsid w:val="BFC7C42D"/>
    <w:rsid w:val="BFFFC0BE"/>
    <w:rsid w:val="CB77FB92"/>
    <w:rsid w:val="CFDD83FF"/>
    <w:rsid w:val="D53F22B2"/>
    <w:rsid w:val="DA5669FD"/>
    <w:rsid w:val="DBDFA227"/>
    <w:rsid w:val="DBFD9CCA"/>
    <w:rsid w:val="DFFE2C47"/>
    <w:rsid w:val="E24D7340"/>
    <w:rsid w:val="EB7D11F2"/>
    <w:rsid w:val="EEF303D8"/>
    <w:rsid w:val="EF0FBF98"/>
    <w:rsid w:val="EFAE7974"/>
    <w:rsid w:val="EFDB2DAF"/>
    <w:rsid w:val="EFF76088"/>
    <w:rsid w:val="F1EEE1DD"/>
    <w:rsid w:val="F3FEB157"/>
    <w:rsid w:val="F6B7C4F3"/>
    <w:rsid w:val="F77A0451"/>
    <w:rsid w:val="F7F7B25C"/>
    <w:rsid w:val="FB7FC289"/>
    <w:rsid w:val="FBD9AE70"/>
    <w:rsid w:val="FBDA71FD"/>
    <w:rsid w:val="FBFF9EC4"/>
    <w:rsid w:val="FFFC3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2"/>
    <w:basedOn w:val="1"/>
    <w:next w:val="1"/>
    <w:semiHidden/>
    <w:qFormat/>
    <w:uiPriority w:val="39"/>
    <w:pPr>
      <w:tabs>
        <w:tab w:val="right" w:leader="dot" w:pos="8777"/>
      </w:tabs>
      <w:spacing w:line="360" w:lineRule="auto"/>
    </w:pPr>
    <w:rPr>
      <w:rFonts w:ascii="仿宋_GB2312" w:eastAsia="仿宋_GB2312"/>
      <w:caps/>
      <w:color w:val="000000"/>
      <w:sz w:val="32"/>
      <w:szCs w:val="32"/>
    </w:rPr>
  </w:style>
  <w:style w:type="paragraph" w:styleId="3">
    <w:name w:val="annotation text"/>
    <w:basedOn w:val="1"/>
    <w:unhideWhenUsed/>
    <w:qFormat/>
    <w:uiPriority w:val="99"/>
    <w:pPr>
      <w:jc w:val="left"/>
    </w:pPr>
  </w:style>
  <w:style w:type="paragraph" w:styleId="4">
    <w:name w:val="Body Text"/>
    <w:basedOn w:val="1"/>
    <w:next w:val="5"/>
    <w:semiHidden/>
    <w:qFormat/>
    <w:uiPriority w:val="0"/>
    <w:rPr>
      <w:rFonts w:ascii="FangSong" w:hAnsi="FangSong" w:eastAsia="FangSong" w:cs="FangSong"/>
      <w:sz w:val="31"/>
      <w:szCs w:val="31"/>
      <w:lang w:val="en-US" w:eastAsia="en-US" w:bidi="ar-SA"/>
    </w:rPr>
  </w:style>
  <w:style w:type="paragraph" w:styleId="5">
    <w:name w:val="Body Text First Indent"/>
    <w:basedOn w:val="4"/>
    <w:qFormat/>
    <w:uiPriority w:val="0"/>
    <w:pPr>
      <w:spacing w:line="500" w:lineRule="exact"/>
      <w:ind w:firstLine="420"/>
    </w:pPr>
    <w:rPr>
      <w:rFonts w:eastAsia="宋体"/>
      <w:sz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Normal Indent1"/>
    <w:basedOn w:val="1"/>
    <w:qFormat/>
    <w:uiPriority w:val="0"/>
    <w:pPr>
      <w:spacing w:line="660" w:lineRule="exact"/>
      <w:ind w:firstLine="720" w:firstLineChars="200"/>
    </w:pPr>
    <w:rPr>
      <w:rFonts w:eastAsia="楷体_GB2312"/>
      <w:sz w:val="36"/>
      <w:szCs w:val="36"/>
    </w:rPr>
  </w:style>
  <w:style w:type="paragraph" w:customStyle="1" w:styleId="11">
    <w:name w:val="bw1"/>
    <w:qFormat/>
    <w:uiPriority w:val="0"/>
    <w:pPr>
      <w:widowControl w:val="0"/>
      <w:adjustRightInd w:val="0"/>
      <w:spacing w:line="360" w:lineRule="atLeast"/>
    </w:pPr>
    <w:rPr>
      <w:rFonts w:hint="eastAsia"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南宁稽查局</Company>
  <Pages>4</Pages>
  <Words>0</Words>
  <Characters>0</Characters>
  <Lines>0</Lines>
  <Paragraphs>0</Paragraphs>
  <TotalTime>1</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2023-10-28T17:37:00Z</dcterms:created>
  <dc:creator>成志琼</dc:creator>
  <cp:lastModifiedBy>user</cp:lastModifiedBy>
  <cp:lastPrinted>2026-08-19T17:36:00Z</cp:lastPrinted>
  <dcterms:modified xsi:type="dcterms:W3CDTF">2026-10-13T15:43:13Z</dcterms:modified>
  <dc:title>国家税务总局南宁市税务局第××稽查局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691597211832FAF811E1CD6AED099E28_43</vt:lpwstr>
  </property>
</Properties>
</file>