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1000" w:lineRule="exact"/>
        <w:jc w:val="center"/>
        <w:textAlignment w:val="auto"/>
        <w:outlineLvl w:val="9"/>
        <w:rPr>
          <w:rFonts w:hint="eastAsia" w:ascii="方正小标宋简体" w:hAnsi="方正小标宋简体" w:eastAsia="方正小标宋简体" w:cs="方正小标宋简体"/>
          <w:b w:val="0"/>
          <w:bCs w:val="0"/>
          <w:spacing w:val="-20"/>
          <w:sz w:val="52"/>
          <w:szCs w:val="52"/>
        </w:rPr>
      </w:pPr>
      <w:r>
        <w:rPr>
          <w:rFonts w:hint="eastAsia" w:ascii="方正小标宋简体" w:hAnsi="方正小标宋简体" w:eastAsia="方正小标宋简体" w:cs="方正小标宋简体"/>
          <w:b w:val="0"/>
          <w:bCs w:val="0"/>
          <w:spacing w:val="-20"/>
          <w:sz w:val="52"/>
          <w:szCs w:val="52"/>
          <w:lang w:eastAsia="zh-CN"/>
        </w:rPr>
        <w:t>国家税务总局南宁市</w:t>
      </w:r>
      <w:r>
        <w:rPr>
          <w:rFonts w:hint="eastAsia" w:ascii="方正小标宋简体" w:hAnsi="方正小标宋简体" w:eastAsia="方正小标宋简体" w:cs="方正小标宋简体"/>
          <w:b w:val="0"/>
          <w:bCs w:val="0"/>
          <w:spacing w:val="-20"/>
          <w:sz w:val="52"/>
          <w:szCs w:val="52"/>
        </w:rPr>
        <w:t>税务局</w:t>
      </w:r>
      <w:r>
        <w:rPr>
          <w:rFonts w:hint="eastAsia" w:ascii="方正小标宋简体" w:hAnsi="方正小标宋简体" w:eastAsia="方正小标宋简体" w:cs="方正小标宋简体"/>
          <w:b w:val="0"/>
          <w:bCs w:val="0"/>
          <w:spacing w:val="-20"/>
          <w:sz w:val="52"/>
          <w:szCs w:val="52"/>
          <w:lang w:eastAsia="zh-CN"/>
        </w:rPr>
        <w:t>第四</w:t>
      </w:r>
      <w:r>
        <w:rPr>
          <w:rFonts w:hint="eastAsia" w:ascii="方正小标宋简体" w:hAnsi="方正小标宋简体" w:eastAsia="方正小标宋简体" w:cs="方正小标宋简体"/>
          <w:b w:val="0"/>
          <w:bCs w:val="0"/>
          <w:spacing w:val="-20"/>
          <w:sz w:val="52"/>
          <w:szCs w:val="52"/>
        </w:rPr>
        <w:t>稽查局</w:t>
      </w:r>
    </w:p>
    <w:p>
      <w:pPr>
        <w:keepNext w:val="0"/>
        <w:keepLines w:val="0"/>
        <w:pageBreakBefore w:val="0"/>
        <w:widowControl w:val="0"/>
        <w:kinsoku/>
        <w:wordWrap/>
        <w:overflowPunct/>
        <w:topLinePunct w:val="0"/>
        <w:autoSpaceDE/>
        <w:autoSpaceDN/>
        <w:bidi w:val="0"/>
        <w:spacing w:line="240" w:lineRule="auto"/>
        <w:jc w:val="center"/>
        <w:textAlignment w:val="auto"/>
        <w:rPr>
          <w:rFonts w:hint="eastAsia" w:ascii="仿宋_GB2312" w:hAnsi="仿宋_GB2312" w:eastAsia="仿宋_GB2312" w:cs="仿宋_GB2312"/>
          <w:b w:val="0"/>
          <w:bCs/>
          <w:color w:val="auto"/>
          <w:spacing w:val="20"/>
          <w:sz w:val="52"/>
          <w:szCs w:val="52"/>
          <w:lang w:eastAsia="zh-CN"/>
        </w:rPr>
      </w:pPr>
      <w:r>
        <w:rPr>
          <w:rFonts w:hint="eastAsia" w:ascii="方正小标宋简体" w:hAnsi="方正小标宋简体" w:eastAsia="方正小标宋简体" w:cs="方正小标宋简体"/>
          <w:b w:val="0"/>
          <w:bCs w:val="0"/>
          <w:color w:val="000000"/>
          <w:sz w:val="52"/>
          <w:szCs w:val="52"/>
        </w:rPr>
        <w:t>税务事项通知书</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华文中宋" w:hAnsi="华文中宋" w:eastAsia="华文中宋"/>
          <w:b/>
          <w:color w:val="auto"/>
          <w:spacing w:val="20"/>
          <w:sz w:val="32"/>
          <w:szCs w:val="32"/>
          <w:lang w:eastAsia="zh-CN"/>
        </w:rPr>
      </w:pPr>
      <w:r>
        <w:rPr>
          <w:rFonts w:hint="eastAsia" w:ascii="仿宋_GB2312" w:hAnsi="仿宋_GB2312" w:eastAsia="仿宋_GB2312" w:cs="仿宋_GB2312"/>
          <w:b w:val="0"/>
          <w:bCs/>
          <w:color w:val="auto"/>
          <w:spacing w:val="20"/>
          <w:sz w:val="32"/>
          <w:szCs w:val="32"/>
          <w:lang w:eastAsia="zh-CN"/>
        </w:rPr>
        <w:t>南市税四稽通</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239</w:t>
      </w:r>
      <w:r>
        <w:rPr>
          <w:rFonts w:hint="eastAsia" w:ascii="仿宋_GB2312" w:hAnsi="仿宋_GB2312" w:eastAsia="仿宋_GB2312" w:cs="仿宋_GB2312"/>
          <w:color w:val="auto"/>
          <w:sz w:val="32"/>
          <w:szCs w:val="32"/>
        </w:rPr>
        <w:t>号</w:t>
      </w:r>
    </w:p>
    <w:p>
      <w:pPr>
        <w:spacing w:line="360" w:lineRule="auto"/>
        <w:jc w:val="center"/>
        <w:rPr>
          <w:color w:val="0000FF"/>
        </w:rPr>
      </w:pPr>
      <w:r>
        <w:rPr>
          <w:rFonts w:hint="eastAsia" w:ascii="仿宋_GB2312" w:hAnsi="宋体" w:eastAsia="仿宋_GB2312"/>
          <w:color w:val="0000FF"/>
          <w:sz w:val="32"/>
        </w:rPr>
        <w:t xml:space="preserve"> </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CESI仿宋-GB2312" w:hAnsi="CESI仿宋-GB2312" w:eastAsia="CESI仿宋-GB2312" w:cs="CESI仿宋-GB2312"/>
          <w:b w:val="0"/>
          <w:bCs w:val="0"/>
          <w:color w:val="auto"/>
          <w:sz w:val="32"/>
          <w:szCs w:val="32"/>
          <w:lang w:val="en-US" w:eastAsia="zh-CN"/>
        </w:rPr>
      </w:pPr>
      <w:r>
        <w:rPr>
          <w:rFonts w:hint="eastAsia" w:ascii="CESI仿宋-GB2312" w:hAnsi="CESI仿宋-GB2312" w:eastAsia="CESI仿宋-GB2312" w:cs="CESI仿宋-GB2312"/>
          <w:b w:val="0"/>
          <w:bCs w:val="0"/>
          <w:color w:val="auto"/>
          <w:sz w:val="32"/>
          <w:szCs w:val="32"/>
          <w:lang w:val="en-US" w:eastAsia="zh-CN"/>
        </w:rPr>
        <w:t>广西南宁睦翎营销策划有限公司（纳税人识别号：91450100MA5PFQHU53）及股东包秀琴(身份证号码：321025********8225)：</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hint="eastAsia" w:ascii="CESI仿宋-GB2312" w:hAnsi="CESI仿宋-GB2312" w:eastAsia="CESI仿宋-GB2312" w:cs="CESI仿宋-GB2312"/>
          <w:b w:val="0"/>
          <w:bCs w:val="0"/>
          <w:color w:val="auto"/>
          <w:sz w:val="32"/>
          <w:szCs w:val="32"/>
          <w:lang w:val="en-US" w:eastAsia="zh-CN"/>
        </w:rPr>
      </w:pPr>
      <w:r>
        <w:rPr>
          <w:rFonts w:hint="eastAsia" w:ascii="CESI仿宋-GB2312" w:hAnsi="CESI仿宋-GB2312" w:eastAsia="CESI仿宋-GB2312" w:cs="CESI仿宋-GB2312"/>
          <w:b w:val="0"/>
          <w:bCs w:val="0"/>
          <w:color w:val="auto"/>
          <w:sz w:val="32"/>
          <w:szCs w:val="32"/>
          <w:lang w:val="en-US" w:eastAsia="zh-CN"/>
        </w:rPr>
        <w:t>事由：我局对你公司实施税务检查的情况告知。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CESI仿宋-GB2312" w:hAnsi="CESI仿宋-GB2312" w:eastAsia="CESI仿宋-GB2312" w:cs="CESI仿宋-GB2312"/>
          <w:b w:val="0"/>
          <w:bCs w:val="0"/>
          <w:color w:val="auto"/>
          <w:sz w:val="32"/>
          <w:szCs w:val="32"/>
          <w:lang w:val="en-US" w:eastAsia="zh-CN"/>
        </w:rPr>
        <w:t>依据：</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color w:val="auto"/>
          <w:sz w:val="32"/>
          <w:szCs w:val="32"/>
        </w:rPr>
        <w:t>税务稽查案件办理程序规定</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（国家税务总局</w:t>
      </w:r>
      <w:r>
        <w:rPr>
          <w:rFonts w:hint="eastAsia" w:ascii="仿宋_GB2312" w:hAnsi="仿宋_GB2312" w:eastAsia="仿宋_GB2312" w:cs="仿宋_GB2312"/>
          <w:b w:val="0"/>
          <w:bCs w:val="0"/>
          <w:color w:val="auto"/>
          <w:sz w:val="32"/>
          <w:szCs w:val="32"/>
          <w:lang w:val="en-US" w:eastAsia="zh-CN"/>
        </w:rPr>
        <w:t>令</w:t>
      </w:r>
      <w:r>
        <w:rPr>
          <w:rFonts w:hint="eastAsia" w:ascii="仿宋_GB2312" w:hAnsi="仿宋_GB2312" w:eastAsia="仿宋_GB2312" w:cs="仿宋_GB2312"/>
          <w:b w:val="0"/>
          <w:bCs w:val="0"/>
          <w:color w:val="auto"/>
          <w:sz w:val="32"/>
          <w:szCs w:val="32"/>
          <w:lang w:eastAsia="zh-CN"/>
        </w:rPr>
        <w:t>第</w:t>
      </w:r>
      <w:r>
        <w:rPr>
          <w:rFonts w:hint="eastAsia" w:ascii="仿宋_GB2312" w:hAnsi="仿宋_GB2312" w:eastAsia="仿宋_GB2312" w:cs="仿宋_GB2312"/>
          <w:b w:val="0"/>
          <w:bCs w:val="0"/>
          <w:color w:val="auto"/>
          <w:sz w:val="32"/>
          <w:szCs w:val="32"/>
          <w:lang w:val="en-US" w:eastAsia="zh-CN"/>
        </w:rPr>
        <w:t>52号</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第</w:t>
      </w:r>
      <w:r>
        <w:rPr>
          <w:rFonts w:hint="eastAsia" w:ascii="仿宋_GB2312" w:hAnsi="仿宋_GB2312" w:eastAsia="仿宋_GB2312" w:cs="仿宋_GB2312"/>
          <w:b w:val="0"/>
          <w:bCs w:val="0"/>
          <w:color w:val="auto"/>
          <w:sz w:val="32"/>
          <w:szCs w:val="32"/>
          <w:lang w:eastAsia="zh-CN"/>
        </w:rPr>
        <w:t>三</w:t>
      </w:r>
      <w:r>
        <w:rPr>
          <w:rFonts w:hint="eastAsia" w:ascii="仿宋_GB2312" w:hAnsi="仿宋_GB2312" w:eastAsia="仿宋_GB2312" w:cs="仿宋_GB2312"/>
          <w:b w:val="0"/>
          <w:bCs w:val="0"/>
          <w:color w:val="auto"/>
          <w:sz w:val="32"/>
          <w:szCs w:val="32"/>
        </w:rPr>
        <w:t>十</w:t>
      </w:r>
      <w:r>
        <w:rPr>
          <w:rFonts w:hint="eastAsia" w:ascii="仿宋_GB2312" w:hAnsi="仿宋_GB2312" w:eastAsia="仿宋_GB2312" w:cs="仿宋_GB2312"/>
          <w:b w:val="0"/>
          <w:bCs w:val="0"/>
          <w:color w:val="auto"/>
          <w:sz w:val="32"/>
          <w:szCs w:val="32"/>
          <w:lang w:eastAsia="zh-CN"/>
        </w:rPr>
        <w:t>五</w:t>
      </w:r>
      <w:r>
        <w:rPr>
          <w:rFonts w:hint="eastAsia" w:ascii="仿宋_GB2312" w:hAnsi="仿宋_GB2312" w:eastAsia="仿宋_GB2312" w:cs="仿宋_GB2312"/>
          <w:b w:val="0"/>
          <w:bCs w:val="0"/>
          <w:color w:val="auto"/>
          <w:sz w:val="32"/>
          <w:szCs w:val="32"/>
        </w:rPr>
        <w:t>条规定</w:t>
      </w:r>
      <w:r>
        <w:rPr>
          <w:rFonts w:hint="eastAsia" w:ascii="仿宋_GB2312" w:hAnsi="仿宋_GB2312" w:eastAsia="仿宋_GB2312" w:cs="仿宋_GB2312"/>
          <w:b w:val="0"/>
          <w:bCs w:val="0"/>
          <w:color w:val="auto"/>
          <w:sz w:val="32"/>
          <w:szCs w:val="32"/>
          <w:lang w:eastAsia="zh-CN"/>
        </w:rPr>
        <w:t>。</w:t>
      </w:r>
    </w:p>
    <w:p>
      <w:pPr>
        <w:keepNext w:val="0"/>
        <w:keepLines w:val="0"/>
        <w:pageBreakBefore w:val="0"/>
        <w:widowControl w:val="0"/>
        <w:kinsoku/>
        <w:wordWrap/>
        <w:overflowPunct/>
        <w:topLinePunct w:val="0"/>
        <w:autoSpaceDE/>
        <w:autoSpaceDN/>
        <w:bidi w:val="0"/>
        <w:spacing w:line="580" w:lineRule="exact"/>
        <w:ind w:firstLine="640" w:firstLineChars="200"/>
        <w:jc w:val="left"/>
        <w:textAlignment w:val="auto"/>
        <w:rPr>
          <w:rFonts w:hint="eastAsia" w:ascii="国标仿宋" w:hAnsi="国标仿宋" w:eastAsia="国标仿宋" w:cs="国标仿宋"/>
          <w:color w:val="auto"/>
          <w:sz w:val="32"/>
          <w:szCs w:val="32"/>
        </w:rPr>
      </w:pPr>
      <w:r>
        <w:rPr>
          <w:rFonts w:hint="eastAsia" w:ascii="国标仿宋" w:hAnsi="国标仿宋" w:eastAsia="国标仿宋" w:cs="国标仿宋"/>
          <w:color w:val="auto"/>
          <w:sz w:val="32"/>
          <w:szCs w:val="32"/>
          <w:lang w:eastAsia="zh-CN"/>
        </w:rPr>
        <w:t>告</w:t>
      </w:r>
      <w:r>
        <w:rPr>
          <w:rFonts w:hint="eastAsia" w:ascii="国标仿宋" w:hAnsi="国标仿宋" w:eastAsia="国标仿宋" w:cs="国标仿宋"/>
          <w:color w:val="auto"/>
          <w:sz w:val="32"/>
          <w:szCs w:val="32"/>
        </w:rPr>
        <w:t>知内容：</w:t>
      </w:r>
      <w:bookmarkStart w:id="0" w:name="tznr"/>
      <w:bookmarkEnd w:id="0"/>
    </w:p>
    <w:p>
      <w:pPr>
        <w:keepNext w:val="0"/>
        <w:keepLines w:val="0"/>
        <w:pageBreakBefore w:val="0"/>
        <w:widowControl w:val="0"/>
        <w:numPr>
          <w:ilvl w:val="0"/>
          <w:numId w:val="0"/>
        </w:numPr>
        <w:kinsoku/>
        <w:wordWrap/>
        <w:overflowPunct/>
        <w:topLinePunct w:val="0"/>
        <w:autoSpaceDE/>
        <w:autoSpaceDN/>
        <w:bidi w:val="0"/>
        <w:adjustRightInd w:val="0"/>
        <w:snapToGrid w:val="0"/>
        <w:spacing w:line="580" w:lineRule="exact"/>
        <w:ind w:left="-8" w:leftChars="-4" w:firstLine="640" w:firstLineChars="200"/>
        <w:textAlignment w:val="auto"/>
        <w:rPr>
          <w:rFonts w:hint="eastAsia" w:ascii="国标仿宋" w:hAnsi="国标仿宋" w:eastAsia="国标仿宋" w:cs="国标仿宋"/>
          <w:b/>
          <w:color w:val="auto"/>
          <w:sz w:val="32"/>
          <w:szCs w:val="32"/>
          <w:lang w:eastAsia="zh-CN"/>
        </w:rPr>
      </w:pPr>
      <w:r>
        <w:rPr>
          <w:rFonts w:hint="eastAsia" w:ascii="国标仿宋" w:hAnsi="国标仿宋" w:eastAsia="国标仿宋" w:cs="国标仿宋"/>
          <w:b/>
          <w:color w:val="auto"/>
          <w:sz w:val="32"/>
          <w:szCs w:val="32"/>
          <w:lang w:eastAsia="zh-CN"/>
        </w:rPr>
        <w:t>违法事实及证据</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你公司涉嫌让他人为自己开具与实际业务不符的增值税普通发票，进而为别人开具与实际业务不符的增值税专用发票。</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一.业务流的检查发现的问题</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（一）你公司取得的发票都来源于异地个体户，且部分被上游税务机关定性为虚开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经查询金三系统，你公司取得的增值税普通发票主要来源于深圳市、江苏省、陕西省河北省、天津市等多个外省个体户，例如，你公司2022年从张掖市甘州区曹丽市场调研部取得发票金额116,534.65元，货物或应税劳务名称为*企业管理服务*市场推广，不符合正常企业经营常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你公司从嘉峪关市鑫博利源信息服务中心取得的增值税电子普票1份，涉及金额99</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008.91元，涉及税额0元已经被国家税务总局嘉峪关市税务局稽查局认定为虚开。</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（二）你公司无对应的人员、费用发生</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你公司取得的发票中，仅有少量*文具*签字笔、*纸制品*办公用品、烟酒茶叶和家用电器等，无房租、水电费、物业费等费用发生，取得的与生产经营有关的发票占比过低，从发票看不具备提供相应业务能力。经查询自然人电子税务局的你公司个人所得税全员全额扣缴申报信息，你公司2020年-2024年平均雇员不足2人，发放工资总额1</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177</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998.68。人员规模、发放薪资与其所开具的发票金额严重不匹配。</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（三）你公司2022年的增值税专用发票全部开给广西</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科技发展有限公司，目前该公司也因收到确认虚开的发票被我局立案检查。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二.资金流检查发现的问题</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存在资金交易异常问题：</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经查询你公司银行账户：上海浦东发展银行股份有限公司南宁分行营业部支行(账号6306</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0537)的资金流水情况，你公司资金流水未见有生产经营所必须的资金往来，如工资发放等。</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你公司2022年取得的增值税普通发票主要来源于深圳市、江苏省、陕西省河北省、天津市等多个外省个体户，但银行账户并未见与这些个体户的资金往来。</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你公司2022年开具增值税专用发票32份给广西</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科技发展有限公司，金额1</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143</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445.18元，税额24</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354.8</w:t>
      </w:r>
      <w:r>
        <w:rPr>
          <w:rFonts w:hint="eastAsia" w:ascii="国标仿宋" w:hAnsi="国标仿宋" w:eastAsia="国标仿宋" w:cs="国标仿宋"/>
          <w:color w:val="auto"/>
          <w:sz w:val="32"/>
          <w:szCs w:val="32"/>
          <w:lang w:val="en-US" w:eastAsia="zh-CN"/>
        </w:rPr>
        <w:t>2</w:t>
      </w:r>
      <w:r>
        <w:rPr>
          <w:rFonts w:hint="eastAsia" w:ascii="国标仿宋" w:hAnsi="国标仿宋" w:eastAsia="国标仿宋" w:cs="国标仿宋"/>
          <w:color w:val="auto"/>
          <w:sz w:val="32"/>
          <w:szCs w:val="32"/>
          <w:lang w:eastAsia="zh-CN"/>
        </w:rPr>
        <w:t>元，价税合计1</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167</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800元。经查，2022年你公司收到广西</w:t>
      </w:r>
      <w:r>
        <w:rPr>
          <w:rFonts w:hint="eastAsia" w:ascii="国标仿宋" w:hAnsi="国标仿宋" w:eastAsia="国标仿宋" w:cs="国标仿宋"/>
          <w:color w:val="auto"/>
          <w:sz w:val="32"/>
          <w:szCs w:val="32"/>
          <w:lang w:val="en-US" w:eastAsia="zh-CN"/>
        </w:rPr>
        <w:t>**</w:t>
      </w:r>
      <w:bookmarkStart w:id="1" w:name="_GoBack"/>
      <w:bookmarkEnd w:id="1"/>
      <w:r>
        <w:rPr>
          <w:rFonts w:hint="eastAsia" w:ascii="国标仿宋" w:hAnsi="国标仿宋" w:eastAsia="国标仿宋" w:cs="国标仿宋"/>
          <w:color w:val="auto"/>
          <w:sz w:val="32"/>
          <w:szCs w:val="32"/>
          <w:lang w:eastAsia="zh-CN"/>
        </w:rPr>
        <w:t>科技发展有限公司转账1</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167</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800元。</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outlineLvl w:val="9"/>
        <w:rPr>
          <w:rFonts w:hint="eastAsia" w:ascii="国标仿宋" w:hAnsi="国标仿宋" w:eastAsia="国标仿宋" w:cs="国标仿宋"/>
          <w:color w:val="auto"/>
          <w:sz w:val="32"/>
          <w:szCs w:val="32"/>
          <w:lang w:eastAsia="zh-CN"/>
        </w:rPr>
      </w:pPr>
      <w:r>
        <w:rPr>
          <w:rFonts w:hint="eastAsia" w:ascii="国标仿宋" w:hAnsi="国标仿宋" w:eastAsia="国标仿宋" w:cs="国标仿宋"/>
          <w:color w:val="auto"/>
          <w:sz w:val="32"/>
          <w:szCs w:val="32"/>
          <w:lang w:eastAsia="zh-CN"/>
        </w:rPr>
        <w:t>综上，认定你公司无对外提供服务的能力，也未实际对外提供服务，你公司所开具增值税专用发票32份，金额1</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143</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445.18元，税额24</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354.82元，价税合计1</w:t>
      </w:r>
      <w:r>
        <w:rPr>
          <w:rFonts w:hint="eastAsia" w:ascii="国标仿宋" w:hAnsi="国标仿宋" w:eastAsia="国标仿宋" w:cs="国标仿宋"/>
          <w:color w:val="auto"/>
          <w:sz w:val="32"/>
          <w:szCs w:val="32"/>
          <w:lang w:val="en-US" w:eastAsia="zh-CN"/>
        </w:rPr>
        <w:t>,</w:t>
      </w:r>
      <w:r>
        <w:rPr>
          <w:rFonts w:hint="eastAsia" w:ascii="国标仿宋" w:hAnsi="国标仿宋" w:eastAsia="国标仿宋" w:cs="国标仿宋"/>
          <w:color w:val="auto"/>
          <w:sz w:val="32"/>
          <w:szCs w:val="32"/>
          <w:lang w:eastAsia="zh-CN"/>
        </w:rPr>
        <w:t>167，800元属开具与实际经营业务不符的发票。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国标仿宋" w:hAnsi="国标仿宋" w:eastAsia="国标仿宋" w:cs="国标仿宋"/>
          <w:b w:val="0"/>
          <w:bCs w:val="0"/>
          <w:color w:val="auto"/>
          <w:szCs w:val="32"/>
          <w:lang w:eastAsia="zh-CN"/>
        </w:rPr>
      </w:pPr>
      <w:r>
        <w:rPr>
          <w:rFonts w:hint="eastAsia" w:ascii="仿宋" w:hAnsi="仿宋" w:eastAsia="仿宋"/>
          <w:b w:val="0"/>
          <w:bCs w:val="0"/>
          <w:color w:val="auto"/>
          <w:sz w:val="32"/>
          <w:szCs w:val="32"/>
          <w:lang w:val="en-US" w:eastAsia="zh-CN"/>
        </w:rPr>
        <w:t>三、</w:t>
      </w:r>
      <w:r>
        <w:rPr>
          <w:rFonts w:hint="eastAsia" w:ascii="国标仿宋" w:hAnsi="国标仿宋" w:eastAsia="国标仿宋" w:cs="国标仿宋"/>
          <w:color w:val="auto"/>
          <w:sz w:val="32"/>
          <w:szCs w:val="32"/>
          <w:lang w:eastAsia="zh-CN"/>
        </w:rPr>
        <w:t>你公司及股东对我局查明你公司的违法事实享有陈述权、申辩权。</w:t>
      </w:r>
      <w:r>
        <w:rPr>
          <w:rFonts w:hint="eastAsia" w:ascii="国标仿宋" w:hAnsi="国标仿宋" w:eastAsia="国标仿宋" w:cs="国标仿宋"/>
          <w:b w:val="0"/>
          <w:bCs w:val="0"/>
          <w:color w:val="auto"/>
          <w:szCs w:val="32"/>
          <w:lang w:val="en-US" w:eastAsia="zh-CN"/>
        </w:rPr>
        <w:t xml:space="preserve"> </w:t>
      </w:r>
    </w:p>
    <w:p>
      <w:pPr>
        <w:pStyle w:val="2"/>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5440" w:firstLineChars="1700"/>
        <w:textAlignment w:val="auto"/>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二〇二六</w:t>
      </w:r>
      <w:r>
        <w:rPr>
          <w:rFonts w:hint="eastAsia" w:ascii="仿宋_GB2312" w:hAnsi="仿宋_GB2312" w:eastAsia="仿宋_GB2312" w:cs="仿宋_GB2312"/>
          <w:b w:val="0"/>
          <w:bCs w:val="0"/>
          <w:color w:val="auto"/>
          <w:sz w:val="32"/>
          <w:szCs w:val="32"/>
          <w:lang w:eastAsia="zh-CN"/>
        </w:rPr>
        <w:t>年十月十四日</w:t>
      </w:r>
    </w:p>
    <w:p>
      <w:pPr>
        <w:pStyle w:val="3"/>
        <w:rPr>
          <w:rFonts w:hint="eastAsia" w:ascii="仿宋_GB2312" w:hAnsi="仿宋_GB2312" w:eastAsia="仿宋_GB2312" w:cs="仿宋_GB2312"/>
          <w:b w:val="0"/>
          <w:bCs w:val="0"/>
          <w:color w:val="auto"/>
          <w:sz w:val="32"/>
          <w:szCs w:val="32"/>
          <w:lang w:eastAsia="zh-CN"/>
        </w:rPr>
      </w:pPr>
    </w:p>
    <w:p>
      <w:pPr>
        <w:keepNext w:val="0"/>
        <w:keepLines w:val="0"/>
        <w:pageBreakBefore w:val="0"/>
        <w:widowControl w:val="0"/>
        <w:kinsoku/>
        <w:wordWrap/>
        <w:overflowPunct/>
        <w:topLinePunct w:val="0"/>
        <w:autoSpaceDE/>
        <w:autoSpaceDN/>
        <w:bidi w:val="0"/>
        <w:adjustRightInd/>
        <w:snapToGrid/>
        <w:ind w:left="0" w:firstLine="420" w:firstLineChars="200"/>
        <w:jc w:val="center"/>
        <w:textAlignment w:val="auto"/>
        <w:rPr>
          <w:rFonts w:hint="eastAsia" w:ascii="Times New Roman" w:hAnsi="Times New Roman" w:eastAsia="仿宋_GB2312"/>
          <w:color w:val="auto"/>
          <w:sz w:val="21"/>
          <w:szCs w:val="21"/>
        </w:rPr>
      </w:pPr>
      <w:r>
        <w:rPr>
          <w:rFonts w:hint="eastAsia" w:ascii="Times New Roman" w:hAnsi="Times New Roman" w:eastAsia="仿宋_GB2312"/>
          <w:color w:val="auto"/>
          <w:sz w:val="21"/>
          <w:szCs w:val="21"/>
        </w:rPr>
        <w:t>扫一扫“码上监督”</w:t>
      </w:r>
      <w:r>
        <w:rPr>
          <w:rFonts w:hint="eastAsia" w:ascii="Times New Roman" w:hAnsi="Times New Roman" w:eastAsia="仿宋_GB2312"/>
          <w:color w:val="auto"/>
          <w:sz w:val="21"/>
          <w:szCs w:val="21"/>
          <w:lang w:eastAsia="zh-CN"/>
        </w:rPr>
        <w:t>二维码</w:t>
      </w:r>
      <w:r>
        <w:rPr>
          <w:rFonts w:hint="eastAsia" w:ascii="Times New Roman" w:hAnsi="Times New Roman" w:eastAsia="仿宋_GB2312"/>
          <w:color w:val="auto"/>
          <w:sz w:val="21"/>
          <w:szCs w:val="21"/>
        </w:rPr>
        <w:t>开展监督</w:t>
      </w:r>
    </w:p>
    <w:p>
      <w:pPr>
        <w:pStyle w:val="3"/>
        <w:rPr>
          <w:rFonts w:hint="eastAsia" w:ascii="仿宋_GB2312" w:hAnsi="仿宋_GB2312" w:eastAsia="仿宋_GB2312" w:cs="仿宋_GB2312"/>
          <w:b w:val="0"/>
          <w:bCs w:val="0"/>
          <w:color w:val="0000FF"/>
          <w:sz w:val="32"/>
          <w:szCs w:val="32"/>
          <w:lang w:eastAsia="zh-CN"/>
        </w:rPr>
      </w:pPr>
      <w:r>
        <w:rPr>
          <w:rFonts w:hint="eastAsia" w:ascii="仿宋_GB2312" w:hAnsi="宋体" w:eastAsia="仿宋_GB2312"/>
          <w:color w:val="0000FF"/>
          <w:sz w:val="21"/>
          <w:szCs w:val="21"/>
          <w:lang w:eastAsia="zh-CN"/>
        </w:rPr>
        <w:drawing>
          <wp:anchor distT="0" distB="0" distL="114300" distR="114300" simplePos="0" relativeHeight="251659264" behindDoc="1" locked="0" layoutInCell="1" allowOverlap="1">
            <wp:simplePos x="0" y="0"/>
            <wp:positionH relativeFrom="column">
              <wp:posOffset>2467610</wp:posOffset>
            </wp:positionH>
            <wp:positionV relativeFrom="paragraph">
              <wp:posOffset>480695</wp:posOffset>
            </wp:positionV>
            <wp:extent cx="1141095" cy="1141095"/>
            <wp:effectExtent l="0" t="0" r="1905" b="1905"/>
            <wp:wrapThrough wrapText="bothSides">
              <wp:wrapPolygon>
                <wp:start x="0" y="0"/>
                <wp:lineTo x="0" y="21275"/>
                <wp:lineTo x="21275" y="21275"/>
                <wp:lineTo x="21275" y="0"/>
                <wp:lineTo x="0" y="0"/>
              </wp:wrapPolygon>
            </wp:wrapThrough>
            <wp:docPr id="4" name="图片 3" descr="清廉稽查"/>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3" descr="清廉稽查"/>
                    <pic:cNvPicPr>
                      <a:picLocks noChangeAspect="true"/>
                    </pic:cNvPicPr>
                  </pic:nvPicPr>
                  <pic:blipFill>
                    <a:blip r:embed="rId4"/>
                    <a:stretch>
                      <a:fillRect/>
                    </a:stretch>
                  </pic:blipFill>
                  <pic:spPr>
                    <a:xfrm>
                      <a:off x="0" y="0"/>
                      <a:ext cx="1141095" cy="1141095"/>
                    </a:xfrm>
                    <a:prstGeom prst="rect">
                      <a:avLst/>
                    </a:prstGeom>
                    <a:noFill/>
                    <a:ln>
                      <a:noFill/>
                    </a:ln>
                  </pic:spPr>
                </pic:pic>
              </a:graphicData>
            </a:graphic>
          </wp:anchor>
        </w:drawing>
      </w:r>
    </w:p>
    <w:p>
      <w:pPr>
        <w:pStyle w:val="3"/>
        <w:rPr>
          <w:rFonts w:hint="eastAsia" w:ascii="仿宋_GB2312" w:hAnsi="仿宋_GB2312" w:eastAsia="仿宋_GB2312" w:cs="仿宋_GB2312"/>
          <w:b w:val="0"/>
          <w:bCs w:val="0"/>
          <w:color w:val="0000FF"/>
          <w:sz w:val="32"/>
          <w:szCs w:val="32"/>
          <w:lang w:eastAsia="zh-CN"/>
        </w:rPr>
      </w:pPr>
    </w:p>
    <w:sectPr>
      <w:pgSz w:w="11906" w:h="16838"/>
      <w:pgMar w:top="1417" w:right="1134" w:bottom="1417" w:left="113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0000000" w:usb3="00000000" w:csb0="2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CESI仿宋-GB2312">
    <w:panose1 w:val="02000500000000000000"/>
    <w:charset w:val="86"/>
    <w:family w:val="auto"/>
    <w:pitch w:val="default"/>
    <w:sig w:usb0="800002AF" w:usb1="084F6CF8" w:usb2="00000010" w:usb3="00000000" w:csb0="0004000F" w:csb1="00000000"/>
  </w:font>
  <w:font w:name="国标仿宋">
    <w:panose1 w:val="02000500000000000000"/>
    <w:charset w:val="86"/>
    <w:family w:val="auto"/>
    <w:pitch w:val="default"/>
    <w:sig w:usb0="A00002BF" w:usb1="38C77CFA" w:usb2="00000016" w:usb3="00000000" w:csb0="00060007"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 w:name="方正宋体S-超大字符集">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4C5299"/>
    <w:rsid w:val="00551035"/>
    <w:rsid w:val="01757326"/>
    <w:rsid w:val="023B4036"/>
    <w:rsid w:val="04D11860"/>
    <w:rsid w:val="06200D04"/>
    <w:rsid w:val="067C1FA3"/>
    <w:rsid w:val="06827E5A"/>
    <w:rsid w:val="06FF3DE0"/>
    <w:rsid w:val="09043F17"/>
    <w:rsid w:val="0A915F2A"/>
    <w:rsid w:val="0B886E96"/>
    <w:rsid w:val="0C6272F4"/>
    <w:rsid w:val="0D1B2F19"/>
    <w:rsid w:val="0DE6080A"/>
    <w:rsid w:val="0F5339B4"/>
    <w:rsid w:val="10E5358A"/>
    <w:rsid w:val="1149103B"/>
    <w:rsid w:val="12880BC5"/>
    <w:rsid w:val="13745F08"/>
    <w:rsid w:val="1384141A"/>
    <w:rsid w:val="188D1F54"/>
    <w:rsid w:val="18B7764C"/>
    <w:rsid w:val="1AE7658B"/>
    <w:rsid w:val="1CA347CA"/>
    <w:rsid w:val="1CEF7D03"/>
    <w:rsid w:val="1D615AEA"/>
    <w:rsid w:val="1DA020B5"/>
    <w:rsid w:val="1E3B1EBA"/>
    <w:rsid w:val="1EBA5CA7"/>
    <w:rsid w:val="20443CEF"/>
    <w:rsid w:val="22832A04"/>
    <w:rsid w:val="22D35E78"/>
    <w:rsid w:val="2461505D"/>
    <w:rsid w:val="24F30BB0"/>
    <w:rsid w:val="26651439"/>
    <w:rsid w:val="286F1E6E"/>
    <w:rsid w:val="28F332EF"/>
    <w:rsid w:val="2AC912CD"/>
    <w:rsid w:val="2F950CB4"/>
    <w:rsid w:val="314554C7"/>
    <w:rsid w:val="353B1109"/>
    <w:rsid w:val="36834E6D"/>
    <w:rsid w:val="387D2E87"/>
    <w:rsid w:val="3B6B243B"/>
    <w:rsid w:val="3C0A28CA"/>
    <w:rsid w:val="3E300028"/>
    <w:rsid w:val="3E72528F"/>
    <w:rsid w:val="3EA064B0"/>
    <w:rsid w:val="3EFE47F0"/>
    <w:rsid w:val="3FF61253"/>
    <w:rsid w:val="421636BC"/>
    <w:rsid w:val="43366961"/>
    <w:rsid w:val="45A51EB4"/>
    <w:rsid w:val="46940399"/>
    <w:rsid w:val="46BC723F"/>
    <w:rsid w:val="495F7601"/>
    <w:rsid w:val="4AA97A80"/>
    <w:rsid w:val="4C1C39FF"/>
    <w:rsid w:val="4D9231AC"/>
    <w:rsid w:val="4E6967C6"/>
    <w:rsid w:val="4EA65559"/>
    <w:rsid w:val="4FCF050A"/>
    <w:rsid w:val="4FDE3C5A"/>
    <w:rsid w:val="506520DD"/>
    <w:rsid w:val="51903A1C"/>
    <w:rsid w:val="51A15359"/>
    <w:rsid w:val="52003E85"/>
    <w:rsid w:val="54E05521"/>
    <w:rsid w:val="56685CE5"/>
    <w:rsid w:val="56FC23D3"/>
    <w:rsid w:val="574D03DE"/>
    <w:rsid w:val="57FFEC31"/>
    <w:rsid w:val="58734687"/>
    <w:rsid w:val="5A4C5299"/>
    <w:rsid w:val="5B9E78D7"/>
    <w:rsid w:val="5CA40254"/>
    <w:rsid w:val="5DBB2DD0"/>
    <w:rsid w:val="5E8770D4"/>
    <w:rsid w:val="60370EDF"/>
    <w:rsid w:val="637F5389"/>
    <w:rsid w:val="64F624F7"/>
    <w:rsid w:val="64FFC5BA"/>
    <w:rsid w:val="66396319"/>
    <w:rsid w:val="66597662"/>
    <w:rsid w:val="6A4D1184"/>
    <w:rsid w:val="6A516D66"/>
    <w:rsid w:val="6B0E1A08"/>
    <w:rsid w:val="6BAF0DD4"/>
    <w:rsid w:val="6C636BAD"/>
    <w:rsid w:val="6DA90C8A"/>
    <w:rsid w:val="6DF318B8"/>
    <w:rsid w:val="71760D18"/>
    <w:rsid w:val="743F7C81"/>
    <w:rsid w:val="763F7B14"/>
    <w:rsid w:val="76777817"/>
    <w:rsid w:val="76A7721A"/>
    <w:rsid w:val="77716480"/>
    <w:rsid w:val="777904BC"/>
    <w:rsid w:val="790109D3"/>
    <w:rsid w:val="7B692C1D"/>
    <w:rsid w:val="7C654B2A"/>
    <w:rsid w:val="7CA47C14"/>
    <w:rsid w:val="7CF7C871"/>
    <w:rsid w:val="7CFF4CFC"/>
    <w:rsid w:val="7D062669"/>
    <w:rsid w:val="7E790061"/>
    <w:rsid w:val="7EFA0CF6"/>
    <w:rsid w:val="7F7D5100"/>
    <w:rsid w:val="7FCE6BAF"/>
    <w:rsid w:val="7FDECAFA"/>
    <w:rsid w:val="BBE50EC8"/>
    <w:rsid w:val="BCFEE847"/>
    <w:rsid w:val="BFFF0818"/>
    <w:rsid w:val="DAE7E152"/>
    <w:rsid w:val="DFFAC6DA"/>
    <w:rsid w:val="EADE6AB3"/>
    <w:rsid w:val="F7BDDA36"/>
    <w:rsid w:val="F7EB83FF"/>
    <w:rsid w:val="F92E07FF"/>
    <w:rsid w:val="FB76EF9D"/>
    <w:rsid w:val="FEEFC9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cs="Times New Roman"/>
      <w:b/>
      <w:bCs/>
      <w:sz w:val="32"/>
      <w:szCs w:val="32"/>
    </w:rPr>
  </w:style>
  <w:style w:type="paragraph" w:styleId="3">
    <w:name w:val="Normal Indent"/>
    <w:basedOn w:val="1"/>
    <w:qFormat/>
    <w:uiPriority w:val="0"/>
    <w:pPr>
      <w:ind w:firstLine="420" w:firstLineChars="200"/>
    </w:pPr>
  </w:style>
  <w:style w:type="paragraph" w:styleId="4">
    <w:name w:val="Plain Text"/>
    <w:basedOn w:val="1"/>
    <w:qFormat/>
    <w:uiPriority w:val="0"/>
    <w:rPr>
      <w:rFonts w:ascii="宋体" w:hAnsi="Courier New"/>
      <w:szCs w:val="21"/>
    </w:rPr>
  </w:style>
  <w:style w:type="paragraph" w:styleId="5">
    <w:name w:val="Normal (Web)"/>
    <w:basedOn w:val="1"/>
    <w:qFormat/>
    <w:uiPriority w:val="99"/>
    <w:pPr>
      <w:spacing w:before="100" w:beforeAutospacing="1" w:after="100" w:afterAutospacing="1"/>
      <w:ind w:left="0" w:right="0"/>
      <w:jc w:val="left"/>
    </w:pPr>
    <w:rPr>
      <w:kern w:val="0"/>
      <w:sz w:val="24"/>
      <w:lang w:val="en-US" w:eastAsia="zh-CN" w:bidi="ar"/>
    </w:rPr>
  </w:style>
  <w:style w:type="character" w:styleId="8">
    <w:name w:val="Strong"/>
    <w:basedOn w:val="7"/>
    <w:qFormat/>
    <w:uiPriority w:val="0"/>
    <w:rPr>
      <w:b/>
      <w:bCs/>
    </w:rPr>
  </w:style>
  <w:style w:type="paragraph" w:customStyle="1" w:styleId="9">
    <w:name w:val="Default"/>
    <w:next w:val="1"/>
    <w:unhideWhenUsed/>
    <w:qFormat/>
    <w:uiPriority w:val="99"/>
    <w:pPr>
      <w:widowControl w:val="0"/>
      <w:autoSpaceDE w:val="0"/>
      <w:autoSpaceDN w:val="0"/>
      <w:adjustRightInd w:val="0"/>
    </w:pPr>
    <w:rPr>
      <w:rFonts w:hint="eastAsia" w:ascii="仿宋_GB2312" w:hAnsi="仿宋_GB2312" w:eastAsia="仿宋_GB2312" w:cs="Times New Roman"/>
      <w:color w:val="000000"/>
      <w:sz w:val="24"/>
      <w:szCs w:val="22"/>
      <w:lang w:val="en-US" w:eastAsia="zh-CN" w:bidi="ar-SA"/>
    </w:rPr>
  </w:style>
  <w:style w:type="paragraph" w:customStyle="1" w:styleId="10">
    <w:name w:val="bw1"/>
    <w:qFormat/>
    <w:uiPriority w:val="0"/>
    <w:pPr>
      <w:widowControl w:val="0"/>
      <w:adjustRightInd w:val="0"/>
      <w:spacing w:line="360" w:lineRule="atLeast"/>
    </w:pPr>
    <w:rPr>
      <w:rFonts w:hint="eastAsia" w:ascii="宋体" w:hAnsi="Times New Roman" w:eastAsia="宋体" w:cs="Times New Roman"/>
      <w:sz w:val="24"/>
      <w:lang w:val="en-US" w:eastAsia="zh-CN" w:bidi="ar-SA"/>
    </w:rPr>
  </w:style>
  <w:style w:type="character" w:customStyle="1" w:styleId="11">
    <w:name w:val="ca-1"/>
    <w:basedOn w:val="7"/>
    <w:qFormat/>
    <w:uiPriority w:val="99"/>
  </w:style>
  <w:style w:type="character" w:customStyle="1" w:styleId="12">
    <w:name w:val="dhgao title1"/>
    <w:basedOn w:val="7"/>
    <w:qFormat/>
    <w:uiPriority w:val="0"/>
  </w:style>
  <w:style w:type="character" w:customStyle="1" w:styleId="13">
    <w:name w:val="hao1"/>
    <w:basedOn w:val="7"/>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南宁市地税局</Company>
  <Pages>6</Pages>
  <Words>0</Words>
  <Characters>0</Characters>
  <Lines>0</Lines>
  <Paragraphs>0</Paragraphs>
  <TotalTime>22</TotalTime>
  <ScaleCrop>false</ScaleCrop>
  <LinksUpToDate>false</LinksUpToDate>
  <CharactersWithSpaces>0</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2021-12-14T11:02:00Z</dcterms:created>
  <dc:creator>韦理明</dc:creator>
  <cp:lastModifiedBy>user</cp:lastModifiedBy>
  <cp:lastPrinted>2026-09-21T09:04:00Z</cp:lastPrinted>
  <dcterms:modified xsi:type="dcterms:W3CDTF">2026-10-14T17:04:08Z</dcterms:modified>
  <dc:title>      税务局（稽查局）</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y fmtid="{D5CDD505-2E9C-101B-9397-08002B2CF9AE}" pid="3" name="ICV">
    <vt:lpwstr>2DCD468EC029018EF4C9276A194962F4_42</vt:lpwstr>
  </property>
</Properties>
</file>