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topLinePunct/>
        <w:autoSpaceDE w:val="0"/>
        <w:autoSpaceDN w:val="0"/>
        <w:adjustRightInd w:val="0"/>
        <w:spacing w:beforeLines="300" w:afterLines="150" w:line="360" w:lineRule="auto"/>
        <w:jc w:val="center"/>
        <w:rPr>
          <w:rFonts w:ascii="黑体" w:hAnsi="黑体" w:eastAsia="黑体"/>
          <w:color w:val="auto"/>
          <w:kern w:val="24"/>
          <w:sz w:val="36"/>
          <w:szCs w:val="36"/>
        </w:rPr>
      </w:pPr>
      <w:r>
        <w:rPr>
          <w:rFonts w:ascii="黑体" w:hAnsi="黑体" w:eastAsia="黑体" w:cs="黑体"/>
          <w:color w:val="auto"/>
          <w:kern w:val="24"/>
          <w:sz w:val="36"/>
          <w:szCs w:val="36"/>
        </w:rPr>
        <w:t>9</w:t>
      </w:r>
      <w:r>
        <w:rPr>
          <w:rFonts w:hint="eastAsia" w:ascii="黑体" w:hAnsi="黑体" w:eastAsia="黑体" w:cs="黑体"/>
          <w:color w:val="auto"/>
          <w:kern w:val="24"/>
          <w:sz w:val="36"/>
          <w:szCs w:val="36"/>
        </w:rPr>
        <w:t>　信用评价</w:t>
      </w:r>
    </w:p>
    <w:p>
      <w:pPr>
        <w:pStyle w:val="21"/>
        <w:rPr>
          <w:rFonts w:cs="Times New Roman"/>
          <w:color w:val="auto"/>
        </w:rPr>
      </w:pPr>
      <w:r>
        <w:rPr>
          <w:color w:val="auto"/>
        </w:rPr>
        <w:t xml:space="preserve">9.1  </w:t>
      </w:r>
      <w:r>
        <w:rPr>
          <w:rFonts w:hint="eastAsia" w:cs="黑体"/>
          <w:color w:val="auto"/>
        </w:rPr>
        <w:t>信用评价</w:t>
      </w:r>
    </w:p>
    <w:p>
      <w:pPr>
        <w:adjustRightInd w:val="0"/>
        <w:snapToGrid w:val="0"/>
        <w:spacing w:line="360" w:lineRule="auto"/>
        <w:rPr>
          <w:color w:val="auto"/>
        </w:rPr>
      </w:pPr>
    </w:p>
    <w:p>
      <w:pPr>
        <w:pStyle w:val="17"/>
        <w:spacing w:after="390"/>
        <w:rPr>
          <w:color w:val="auto"/>
        </w:rPr>
      </w:pPr>
      <w:r>
        <w:rPr>
          <w:color w:val="auto"/>
        </w:rPr>
        <w:t>9.1.1—2</w:t>
      </w:r>
      <w:r>
        <w:rPr>
          <w:rFonts w:hint="eastAsia"/>
          <w:color w:val="auto"/>
          <w:lang w:val="en-US" w:eastAsia="zh-CN"/>
        </w:rPr>
        <w:t>24</w:t>
      </w:r>
      <w:r>
        <w:rPr>
          <w:color w:val="auto"/>
        </w:rPr>
        <w:t xml:space="preserve">  </w:t>
      </w:r>
      <w:r>
        <w:rPr>
          <w:rFonts w:hint="eastAsia" w:cs="黑体"/>
          <w:color w:val="auto"/>
        </w:rPr>
        <w:t>纳税信用补评</w:t>
      </w:r>
    </w:p>
    <w:p>
      <w:pPr>
        <w:keepNext w:val="0"/>
        <w:keepLines w:val="0"/>
        <w:pageBreakBefore w:val="0"/>
        <w:widowControl w:val="0"/>
        <w:kinsoku/>
        <w:wordWrap/>
        <w:overflowPunct/>
        <w:topLinePunct w:val="0"/>
        <w:autoSpaceDE/>
        <w:autoSpaceDN/>
        <w:bidi w:val="0"/>
        <w:ind w:firstLine="482" w:firstLineChars="200"/>
        <w:textAlignment w:val="auto"/>
        <w:outlineLvl w:val="9"/>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 xml:space="preserve">【事项名称】 </w:t>
      </w:r>
      <w:r>
        <w:rPr>
          <w:rFonts w:hint="eastAsia" w:ascii="宋体" w:hAnsi="宋体" w:eastAsia="宋体" w:cs="宋体"/>
          <w:b w:val="0"/>
          <w:bCs w:val="0"/>
          <w:color w:val="auto"/>
          <w:kern w:val="2"/>
          <w:sz w:val="24"/>
          <w:szCs w:val="24"/>
          <w:lang w:val="en-US" w:eastAsia="zh-CN" w:bidi="ar-SA"/>
        </w:rPr>
        <w:t>纳税信用补评</w:t>
      </w:r>
    </w:p>
    <w:p>
      <w:pPr>
        <w:pStyle w:val="19"/>
        <w:keepNext w:val="0"/>
        <w:keepLines w:val="0"/>
        <w:pageBreakBefore w:val="0"/>
        <w:widowControl w:val="0"/>
        <w:kinsoku/>
        <w:wordWrap/>
        <w:overflowPunct/>
        <w:topLinePunct w:val="0"/>
        <w:autoSpaceDE/>
        <w:autoSpaceDN/>
        <w:bidi w:val="0"/>
        <w:ind w:firstLine="482" w:firstLineChars="200"/>
        <w:textAlignment w:val="auto"/>
        <w:outlineLvl w:val="9"/>
        <w:rPr>
          <w:rFonts w:hAnsi="宋体" w:cs="Times New Roman"/>
          <w:color w:val="auto"/>
          <w:kern w:val="2"/>
          <w:sz w:val="24"/>
          <w:szCs w:val="24"/>
        </w:rPr>
      </w:pPr>
      <w:r>
        <w:rPr>
          <w:rFonts w:hint="eastAsia" w:hAnsi="宋体"/>
          <w:color w:val="auto"/>
          <w:kern w:val="2"/>
          <w:sz w:val="24"/>
          <w:szCs w:val="24"/>
        </w:rPr>
        <w:t>【事项描述】</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ascii="宋体"/>
          <w:color w:val="auto"/>
          <w:sz w:val="24"/>
          <w:szCs w:val="24"/>
        </w:rPr>
      </w:pPr>
      <w:r>
        <w:rPr>
          <w:rFonts w:hint="eastAsia" w:ascii="宋体" w:hAnsi="宋体" w:cs="宋体"/>
          <w:color w:val="auto"/>
          <w:sz w:val="24"/>
          <w:szCs w:val="24"/>
        </w:rPr>
        <w:t>纳税人可在纳税信用评价结果公布后的任意时间申请补充该年度纳税信用评价。纳税人因涉嫌税收违法被立案查处尚未结案；被审计、财政部门依法查出税收违法行为，税务机关正在依法处理，尚未办结；已申请税务行政复议、提起行政诉讼尚未结案等原因未予纳税信用评价，可待上述情形解除后，向主管税务机关申请补充评价。纳税人对未予纳税信用评价的原因有异议，也可向主管税务机关申请补充评价。</w:t>
      </w:r>
    </w:p>
    <w:p>
      <w:pPr>
        <w:pStyle w:val="19"/>
        <w:keepNext w:val="0"/>
        <w:keepLines w:val="0"/>
        <w:pageBreakBefore w:val="0"/>
        <w:widowControl w:val="0"/>
        <w:kinsoku/>
        <w:wordWrap/>
        <w:overflowPunct/>
        <w:topLinePunct w:val="0"/>
        <w:autoSpaceDE/>
        <w:autoSpaceDN/>
        <w:bidi w:val="0"/>
        <w:ind w:firstLine="482" w:firstLineChars="200"/>
        <w:textAlignment w:val="auto"/>
        <w:outlineLvl w:val="9"/>
        <w:rPr>
          <w:rFonts w:hAnsi="宋体" w:cs="Times New Roman"/>
          <w:color w:val="auto"/>
          <w:kern w:val="2"/>
          <w:sz w:val="24"/>
          <w:szCs w:val="24"/>
        </w:rPr>
      </w:pPr>
      <w:bookmarkStart w:id="0" w:name="_Hlk507771424"/>
      <w:r>
        <w:rPr>
          <w:rFonts w:hint="eastAsia" w:hAnsi="宋体"/>
          <w:color w:val="auto"/>
          <w:kern w:val="2"/>
          <w:sz w:val="24"/>
          <w:szCs w:val="24"/>
        </w:rPr>
        <w:t>【报送资料】</w:t>
      </w:r>
      <w:bookmarkEnd w:id="0"/>
    </w:p>
    <w:tbl>
      <w:tblPr>
        <w:tblStyle w:val="9"/>
        <w:tblW w:w="7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253"/>
        <w:gridCol w:w="70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704" w:type="dxa"/>
            <w:shd w:val="clear" w:color="auto" w:fill="D9D9D9"/>
            <w:vAlign w:val="center"/>
          </w:tcPr>
          <w:p>
            <w:pPr>
              <w:jc w:val="center"/>
              <w:rPr>
                <w:rFonts w:ascii="宋体"/>
                <w:color w:val="auto"/>
              </w:rPr>
            </w:pPr>
            <w:r>
              <w:rPr>
                <w:rFonts w:hint="eastAsia" w:ascii="宋体" w:hAnsi="宋体" w:cs="宋体"/>
                <w:color w:val="auto"/>
                <w:sz w:val="24"/>
                <w:szCs w:val="24"/>
              </w:rPr>
              <w:t>序号</w:t>
            </w:r>
          </w:p>
        </w:tc>
        <w:tc>
          <w:tcPr>
            <w:tcW w:w="4253" w:type="dxa"/>
            <w:shd w:val="clear" w:color="auto" w:fill="D9D9D9"/>
            <w:vAlign w:val="center"/>
          </w:tcPr>
          <w:p>
            <w:pPr>
              <w:jc w:val="center"/>
              <w:rPr>
                <w:rFonts w:ascii="宋体"/>
                <w:color w:val="auto"/>
              </w:rPr>
            </w:pPr>
            <w:r>
              <w:rPr>
                <w:rFonts w:hint="eastAsia" w:ascii="宋体" w:hAnsi="宋体" w:cs="宋体"/>
                <w:color w:val="auto"/>
                <w:sz w:val="24"/>
                <w:szCs w:val="24"/>
              </w:rPr>
              <w:t>材料名称</w:t>
            </w:r>
          </w:p>
        </w:tc>
        <w:tc>
          <w:tcPr>
            <w:tcW w:w="708" w:type="dxa"/>
            <w:shd w:val="clear" w:color="auto" w:fill="D9D9D9"/>
            <w:vAlign w:val="center"/>
          </w:tcPr>
          <w:p>
            <w:pPr>
              <w:jc w:val="center"/>
              <w:rPr>
                <w:rFonts w:ascii="宋体"/>
                <w:color w:val="auto"/>
              </w:rPr>
            </w:pPr>
            <w:r>
              <w:rPr>
                <w:rFonts w:hint="eastAsia" w:ascii="宋体" w:hAnsi="宋体" w:cs="宋体"/>
                <w:color w:val="auto"/>
                <w:sz w:val="24"/>
                <w:szCs w:val="24"/>
              </w:rPr>
              <w:t>数量</w:t>
            </w:r>
          </w:p>
        </w:tc>
        <w:tc>
          <w:tcPr>
            <w:tcW w:w="2268" w:type="dxa"/>
            <w:shd w:val="clear" w:color="auto" w:fill="D9D9D9"/>
            <w:vAlign w:val="center"/>
          </w:tcPr>
          <w:p>
            <w:pPr>
              <w:jc w:val="center"/>
              <w:rPr>
                <w:rFonts w:ascii="宋体"/>
                <w:color w:val="auto"/>
              </w:rPr>
            </w:pPr>
            <w:r>
              <w:rPr>
                <w:rFonts w:hint="eastAsia" w:ascii="宋体" w:hAnsi="宋体" w:cs="宋体"/>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4" w:type="dxa"/>
            <w:vAlign w:val="center"/>
          </w:tcPr>
          <w:p>
            <w:pPr>
              <w:jc w:val="center"/>
              <w:rPr>
                <w:rFonts w:ascii="宋体"/>
                <w:color w:val="auto"/>
              </w:rPr>
            </w:pPr>
            <w:r>
              <w:rPr>
                <w:rFonts w:ascii="宋体" w:hAnsi="宋体" w:cs="宋体"/>
                <w:color w:val="auto"/>
                <w:sz w:val="24"/>
                <w:szCs w:val="24"/>
              </w:rPr>
              <w:t>1</w:t>
            </w:r>
          </w:p>
        </w:tc>
        <w:tc>
          <w:tcPr>
            <w:tcW w:w="4253" w:type="dxa"/>
            <w:vAlign w:val="center"/>
          </w:tcPr>
          <w:p>
            <w:pPr>
              <w:rPr>
                <w:rFonts w:ascii="宋体"/>
                <w:color w:val="auto"/>
              </w:rPr>
            </w:pPr>
            <w:r>
              <w:rPr>
                <w:rFonts w:hint="eastAsia" w:ascii="宋体" w:hAnsi="宋体" w:cs="宋体"/>
                <w:color w:val="auto"/>
                <w:sz w:val="24"/>
                <w:szCs w:val="24"/>
              </w:rPr>
              <w:t>《纳税信用补评申请表》</w:t>
            </w:r>
          </w:p>
        </w:tc>
        <w:tc>
          <w:tcPr>
            <w:tcW w:w="708" w:type="dxa"/>
            <w:vAlign w:val="center"/>
          </w:tcPr>
          <w:p>
            <w:pPr>
              <w:jc w:val="center"/>
              <w:rPr>
                <w:rFonts w:ascii="宋体"/>
                <w:color w:val="auto"/>
              </w:rPr>
            </w:pPr>
            <w:r>
              <w:rPr>
                <w:rFonts w:ascii="宋体" w:hAnsi="宋体" w:cs="宋体"/>
                <w:color w:val="auto"/>
                <w:sz w:val="24"/>
                <w:szCs w:val="24"/>
              </w:rPr>
              <w:t>3</w:t>
            </w:r>
            <w:r>
              <w:rPr>
                <w:rFonts w:hint="eastAsia" w:ascii="宋体" w:hAnsi="宋体" w:cs="宋体"/>
                <w:color w:val="auto"/>
                <w:sz w:val="24"/>
                <w:szCs w:val="24"/>
              </w:rPr>
              <w:t>份</w:t>
            </w:r>
          </w:p>
        </w:tc>
        <w:tc>
          <w:tcPr>
            <w:tcW w:w="2268" w:type="dxa"/>
            <w:vAlign w:val="center"/>
          </w:tcPr>
          <w:p>
            <w:pPr>
              <w:spacing w:line="320" w:lineRule="exact"/>
              <w:rPr>
                <w:rFonts w:ascii="宋体"/>
                <w:color w:val="auto"/>
              </w:rPr>
            </w:pPr>
          </w:p>
        </w:tc>
      </w:tr>
    </w:tbl>
    <w:p>
      <w:pPr>
        <w:rPr>
          <w:rFonts w:ascii="宋体"/>
          <w:color w:val="auto"/>
          <w:sz w:val="24"/>
          <w:szCs w:val="24"/>
        </w:rPr>
      </w:pPr>
    </w:p>
    <w:p>
      <w:pPr>
        <w:adjustRightInd w:val="0"/>
        <w:snapToGrid w:val="0"/>
        <w:spacing w:line="360" w:lineRule="auto"/>
        <w:ind w:firstLine="482" w:firstLineChars="200"/>
        <w:rPr>
          <w:rFonts w:ascii="宋体"/>
          <w:b/>
          <w:bCs/>
          <w:color w:val="auto"/>
          <w:sz w:val="24"/>
          <w:szCs w:val="24"/>
        </w:rPr>
      </w:pPr>
      <w:bookmarkStart w:id="1" w:name="_Hlk516300531"/>
      <w:r>
        <w:rPr>
          <w:rFonts w:hint="eastAsia" w:ascii="宋体" w:hAnsi="宋体" w:cs="宋体"/>
          <w:b/>
          <w:bCs/>
          <w:color w:val="auto"/>
          <w:sz w:val="24"/>
          <w:szCs w:val="24"/>
        </w:rPr>
        <w:t>【办理渠道】</w:t>
      </w:r>
    </w:p>
    <w:p>
      <w:pPr>
        <w:pStyle w:val="23"/>
        <w:ind w:firstLine="31680"/>
        <w:rPr>
          <w:rFonts w:hint="eastAsia" w:hAnsi="宋体"/>
          <w:color w:val="auto"/>
          <w:kern w:val="2"/>
          <w:sz w:val="24"/>
          <w:szCs w:val="24"/>
          <w:lang w:eastAsia="zh-CN"/>
        </w:rPr>
      </w:pPr>
      <w:bookmarkStart w:id="2" w:name="_Hlk516306983"/>
      <w:r>
        <w:rPr>
          <w:rFonts w:hint="eastAsia" w:hAnsi="宋体"/>
          <w:color w:val="auto"/>
          <w:kern w:val="2"/>
          <w:sz w:val="24"/>
          <w:szCs w:val="24"/>
        </w:rPr>
        <w:t>主管税务机关办税服务厅</w:t>
      </w:r>
      <w:r>
        <w:rPr>
          <w:rFonts w:hint="eastAsia" w:hAnsi="宋体"/>
          <w:color w:val="auto"/>
          <w:kern w:val="2"/>
          <w:sz w:val="24"/>
          <w:szCs w:val="24"/>
          <w:lang w:eastAsia="zh-CN"/>
        </w:rPr>
        <w:t>。</w:t>
      </w:r>
    </w:p>
    <w:p>
      <w:pPr>
        <w:pStyle w:val="23"/>
        <w:ind w:firstLine="31680"/>
        <w:rPr>
          <w:rFonts w:hint="eastAsia" w:hAnsi="宋体"/>
          <w:color w:val="auto"/>
          <w:kern w:val="2"/>
          <w:sz w:val="24"/>
          <w:szCs w:val="24"/>
          <w:lang w:eastAsia="zh-CN"/>
        </w:rPr>
      </w:pPr>
      <w:r>
        <w:rPr>
          <w:rFonts w:hint="eastAsia" w:hAnsi="宋体"/>
          <w:color w:val="auto"/>
          <w:kern w:val="2"/>
          <w:sz w:val="24"/>
          <w:szCs w:val="24"/>
          <w:lang w:eastAsia="zh-CN"/>
        </w:rPr>
        <w:t>广西壮族自治区电子税务局</w:t>
      </w:r>
    </w:p>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【办理流程】</w:t>
      </w:r>
    </w:p>
    <w:p>
      <w:pPr>
        <w:rPr>
          <w:rFonts w:ascii="宋体"/>
          <w:color w:val="auto"/>
          <w:sz w:val="24"/>
          <w:szCs w:val="24"/>
        </w:rPr>
      </w:pPr>
      <w:r>
        <w:rPr>
          <w:rFonts w:ascii="宋体"/>
          <w:color w:val="auto"/>
          <w:sz w:val="24"/>
          <w:szCs w:val="24"/>
        </w:rPr>
        <w:pict>
          <v:shape id="_x0000_i1025" o:spt="75" type="#_x0000_t75" style="height:210pt;width:361.5pt;" filled="f" o:preferrelative="t" stroked="f" coordsize="21600,21600">
            <v:path/>
            <v:fill on="f" focussize="0,0"/>
            <v:stroke on="f" joinstyle="miter"/>
            <v:imagedata r:id="rId6" o:title=""/>
            <o:lock v:ext="edit" aspectratio="t"/>
            <w10:wrap type="none"/>
            <w10:anchorlock/>
          </v:shape>
        </w:pict>
      </w:r>
    </w:p>
    <w:p>
      <w:pPr>
        <w:spacing w:line="360" w:lineRule="auto"/>
        <w:ind w:firstLine="482" w:firstLineChars="200"/>
        <w:rPr>
          <w:rFonts w:ascii="宋体"/>
          <w:b/>
          <w:bCs/>
          <w:color w:val="auto"/>
          <w:sz w:val="24"/>
          <w:szCs w:val="24"/>
        </w:rPr>
      </w:pPr>
      <w:r>
        <w:rPr>
          <w:rFonts w:hint="eastAsia" w:ascii="宋体" w:hAnsi="宋体" w:cs="宋体"/>
          <w:b/>
          <w:bCs/>
          <w:color w:val="auto"/>
          <w:sz w:val="24"/>
          <w:szCs w:val="24"/>
        </w:rPr>
        <w:t>【办理时限】</w:t>
      </w:r>
    </w:p>
    <w:p>
      <w:pPr>
        <w:spacing w:line="360" w:lineRule="auto"/>
        <w:ind w:firstLine="480" w:firstLineChars="200"/>
        <w:rPr>
          <w:rFonts w:ascii="宋体"/>
          <w:color w:val="auto"/>
          <w:sz w:val="24"/>
          <w:szCs w:val="24"/>
        </w:rPr>
      </w:pPr>
      <w:r>
        <w:rPr>
          <w:rFonts w:hint="eastAsia" w:ascii="宋体" w:hAnsi="宋体" w:cs="宋体"/>
          <w:color w:val="auto"/>
          <w:sz w:val="24"/>
          <w:szCs w:val="24"/>
        </w:rPr>
        <w:t>资料齐全、符合法定形式、填写内容完整的，税务机关应自受理之日起</w:t>
      </w:r>
      <w:r>
        <w:rPr>
          <w:rFonts w:ascii="宋体" w:hAnsi="宋体" w:cs="宋体"/>
          <w:color w:val="auto"/>
          <w:sz w:val="24"/>
          <w:szCs w:val="24"/>
        </w:rPr>
        <w:t>15</w:t>
      </w:r>
      <w:r>
        <w:rPr>
          <w:rFonts w:hint="eastAsia" w:ascii="宋体" w:hAnsi="宋体" w:cs="宋体"/>
          <w:color w:val="auto"/>
          <w:sz w:val="24"/>
          <w:szCs w:val="24"/>
        </w:rPr>
        <w:t>个工作日内办结。</w:t>
      </w:r>
    </w:p>
    <w:bookmarkEnd w:id="1"/>
    <w:bookmarkEnd w:id="2"/>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【办理结果】</w:t>
      </w:r>
    </w:p>
    <w:p>
      <w:pPr>
        <w:adjustRightInd w:val="0"/>
        <w:snapToGrid w:val="0"/>
        <w:spacing w:line="360" w:lineRule="auto"/>
        <w:ind w:firstLine="480" w:firstLineChars="200"/>
        <w:rPr>
          <w:rFonts w:ascii="宋体"/>
          <w:color w:val="auto"/>
          <w:sz w:val="24"/>
          <w:szCs w:val="24"/>
        </w:rPr>
      </w:pPr>
      <w:r>
        <w:rPr>
          <w:rFonts w:hint="eastAsia" w:ascii="宋体" w:hAnsi="宋体" w:cs="宋体"/>
          <w:color w:val="auto"/>
          <w:sz w:val="24"/>
          <w:szCs w:val="24"/>
        </w:rPr>
        <w:t>纳税人领取《</w:t>
      </w:r>
      <w:r>
        <w:rPr>
          <w:rFonts w:ascii="宋体" w:hAnsi="宋体" w:cs="宋体"/>
          <w:color w:val="auto"/>
          <w:sz w:val="24"/>
          <w:szCs w:val="24"/>
        </w:rPr>
        <w:t>____</w:t>
      </w:r>
      <w:r>
        <w:rPr>
          <w:rFonts w:hint="eastAsia" w:ascii="宋体" w:hAnsi="宋体" w:cs="宋体"/>
          <w:color w:val="auto"/>
          <w:sz w:val="24"/>
          <w:szCs w:val="24"/>
        </w:rPr>
        <w:t>年度纳税信用评价信息》或进行评价结果的自我查询。</w:t>
      </w:r>
    </w:p>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【纳税人注意事项】</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1</w:t>
      </w:r>
      <w:r>
        <w:rPr>
          <w:rFonts w:ascii="宋体" w:cs="宋体"/>
          <w:color w:val="auto"/>
          <w:sz w:val="24"/>
          <w:szCs w:val="24"/>
        </w:rPr>
        <w:t>.</w:t>
      </w:r>
      <w:r>
        <w:rPr>
          <w:rFonts w:hint="eastAsia" w:ascii="宋体" w:hAnsi="宋体" w:cs="宋体"/>
          <w:color w:val="auto"/>
          <w:sz w:val="24"/>
          <w:szCs w:val="24"/>
        </w:rPr>
        <w:t>纳税人对报送材料的真实性和合法性承担责任。</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2</w:t>
      </w:r>
      <w:r>
        <w:rPr>
          <w:rFonts w:ascii="宋体" w:cs="宋体"/>
          <w:color w:val="auto"/>
          <w:sz w:val="24"/>
          <w:szCs w:val="24"/>
        </w:rPr>
        <w:t>.</w:t>
      </w:r>
      <w:r>
        <w:rPr>
          <w:rFonts w:hint="eastAsia" w:ascii="宋体" w:hAnsi="宋体" w:cs="宋体"/>
          <w:color w:val="auto"/>
          <w:sz w:val="24"/>
          <w:szCs w:val="24"/>
        </w:rPr>
        <w:t>纳税人到税务机关领取纳税信用评价信息时</w:t>
      </w:r>
      <w:r>
        <w:rPr>
          <w:rFonts w:ascii="宋体" w:cs="宋体"/>
          <w:color w:val="auto"/>
          <w:sz w:val="24"/>
          <w:szCs w:val="24"/>
        </w:rPr>
        <w:t>,</w:t>
      </w:r>
      <w:r>
        <w:rPr>
          <w:rFonts w:hint="eastAsia" w:ascii="宋体" w:hAnsi="宋体" w:cs="宋体"/>
          <w:color w:val="auto"/>
          <w:sz w:val="24"/>
          <w:szCs w:val="24"/>
        </w:rPr>
        <w:t>应出示加载统一社会信用代码的营业执照或登记证件、经办人身份证原件。</w:t>
      </w:r>
    </w:p>
    <w:p>
      <w:pPr>
        <w:adjustRightInd w:val="0"/>
        <w:snapToGrid w:val="0"/>
        <w:spacing w:line="360" w:lineRule="auto"/>
        <w:ind w:firstLine="480" w:firstLineChars="200"/>
        <w:rPr>
          <w:rFonts w:ascii="宋体"/>
          <w:color w:val="auto"/>
          <w:sz w:val="24"/>
          <w:szCs w:val="24"/>
        </w:rPr>
      </w:pPr>
      <w:bookmarkStart w:id="3" w:name="_Hlk507774399"/>
      <w:r>
        <w:rPr>
          <w:rFonts w:ascii="宋体" w:hAnsi="宋体" w:cs="宋体"/>
          <w:color w:val="auto"/>
          <w:sz w:val="24"/>
          <w:szCs w:val="24"/>
        </w:rPr>
        <w:t>3.</w:t>
      </w:r>
      <w:r>
        <w:rPr>
          <w:rFonts w:hint="eastAsia" w:ascii="宋体" w:hAnsi="宋体" w:cs="宋体"/>
          <w:color w:val="auto"/>
          <w:sz w:val="24"/>
          <w:szCs w:val="24"/>
        </w:rPr>
        <w:t>办税服务厅地址、</w:t>
      </w:r>
      <w:r>
        <w:rPr>
          <w:rFonts w:hint="eastAsia" w:ascii="宋体" w:hAnsi="宋体" w:cs="宋体"/>
          <w:color w:val="auto"/>
          <w:sz w:val="24"/>
          <w:szCs w:val="24"/>
          <w:lang w:eastAsia="zh-CN"/>
        </w:rPr>
        <w:t>电子</w:t>
      </w:r>
      <w:r>
        <w:rPr>
          <w:rFonts w:hint="eastAsia" w:ascii="宋体" w:hAnsi="宋体" w:cs="宋体"/>
          <w:color w:val="auto"/>
          <w:sz w:val="24"/>
          <w:szCs w:val="24"/>
        </w:rPr>
        <w:t>税务局网址，可在</w:t>
      </w:r>
      <w:r>
        <w:rPr>
          <w:rFonts w:hint="eastAsia" w:ascii="宋体" w:hAnsi="宋体" w:cs="宋体"/>
          <w:color w:val="auto"/>
          <w:sz w:val="24"/>
          <w:szCs w:val="24"/>
          <w:lang w:eastAsia="zh-CN"/>
        </w:rPr>
        <w:t>广西壮族自治区税务局门户网站</w:t>
      </w:r>
      <w:r>
        <w:rPr>
          <w:rFonts w:hint="eastAsia" w:ascii="宋体" w:hAnsi="宋体" w:cs="宋体"/>
          <w:color w:val="auto"/>
          <w:sz w:val="24"/>
          <w:szCs w:val="24"/>
        </w:rPr>
        <w:t>或拨打</w:t>
      </w:r>
      <w:r>
        <w:rPr>
          <w:rFonts w:ascii="宋体" w:hAnsi="宋体" w:cs="宋体"/>
          <w:color w:val="auto"/>
          <w:sz w:val="24"/>
          <w:szCs w:val="24"/>
        </w:rPr>
        <w:t>12366</w:t>
      </w:r>
      <w:r>
        <w:rPr>
          <w:rFonts w:hint="eastAsia" w:ascii="宋体" w:hAnsi="宋体" w:cs="宋体"/>
          <w:color w:val="auto"/>
          <w:sz w:val="24"/>
          <w:szCs w:val="24"/>
        </w:rPr>
        <w:t>查询。</w:t>
      </w:r>
    </w:p>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【政策依据】</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1</w:t>
      </w:r>
      <w:r>
        <w:rPr>
          <w:rFonts w:ascii="宋体" w:cs="宋体"/>
          <w:color w:val="auto"/>
          <w:sz w:val="24"/>
          <w:szCs w:val="24"/>
        </w:rPr>
        <w:t>.</w:t>
      </w:r>
      <w:r>
        <w:rPr>
          <w:rFonts w:hint="eastAsia" w:ascii="宋体" w:hAnsi="宋体" w:cs="宋体"/>
          <w:color w:val="auto"/>
          <w:sz w:val="24"/>
          <w:szCs w:val="24"/>
        </w:rPr>
        <w:t>《国家税务总局关于发布〈纳税信用管理办法（试行）〉的公告》（国家税务总局公告</w:t>
      </w:r>
      <w:r>
        <w:rPr>
          <w:rFonts w:ascii="宋体" w:hAnsi="宋体" w:cs="宋体"/>
          <w:color w:val="auto"/>
          <w:sz w:val="24"/>
          <w:szCs w:val="24"/>
        </w:rPr>
        <w:t>2014</w:t>
      </w:r>
      <w:r>
        <w:rPr>
          <w:rFonts w:hint="eastAsia" w:ascii="宋体" w:hAnsi="宋体" w:cs="宋体"/>
          <w:color w:val="auto"/>
          <w:sz w:val="24"/>
          <w:szCs w:val="24"/>
        </w:rPr>
        <w:t>年第</w:t>
      </w:r>
      <w:r>
        <w:rPr>
          <w:rFonts w:ascii="宋体" w:hAnsi="宋体" w:cs="宋体"/>
          <w:color w:val="auto"/>
          <w:sz w:val="24"/>
          <w:szCs w:val="24"/>
        </w:rPr>
        <w:t>40</w:t>
      </w:r>
      <w:r>
        <w:rPr>
          <w:rFonts w:hint="eastAsia" w:ascii="宋体" w:hAnsi="宋体" w:cs="宋体"/>
          <w:color w:val="auto"/>
          <w:sz w:val="24"/>
          <w:szCs w:val="24"/>
        </w:rPr>
        <w:t>号）</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2</w:t>
      </w:r>
      <w:r>
        <w:rPr>
          <w:rFonts w:ascii="宋体" w:cs="宋体"/>
          <w:color w:val="auto"/>
          <w:sz w:val="24"/>
          <w:szCs w:val="24"/>
        </w:rPr>
        <w:t>.</w:t>
      </w:r>
      <w:r>
        <w:rPr>
          <w:rFonts w:hint="eastAsia" w:ascii="宋体" w:hAnsi="宋体" w:cs="宋体"/>
          <w:color w:val="auto"/>
          <w:sz w:val="24"/>
          <w:szCs w:val="24"/>
        </w:rPr>
        <w:t>《国家税务总局关于发布〈纳税信用评价指标和评价方式（试行）〉的公告》（国家税务总局公告</w:t>
      </w:r>
      <w:r>
        <w:rPr>
          <w:rFonts w:ascii="宋体" w:hAnsi="宋体" w:cs="宋体"/>
          <w:color w:val="auto"/>
          <w:sz w:val="24"/>
          <w:szCs w:val="24"/>
        </w:rPr>
        <w:t>2014</w:t>
      </w:r>
      <w:r>
        <w:rPr>
          <w:rFonts w:hint="eastAsia" w:ascii="宋体" w:hAnsi="宋体" w:cs="宋体"/>
          <w:color w:val="auto"/>
          <w:sz w:val="24"/>
          <w:szCs w:val="24"/>
        </w:rPr>
        <w:t>年第</w:t>
      </w:r>
      <w:r>
        <w:rPr>
          <w:rFonts w:ascii="宋体" w:hAnsi="宋体" w:cs="宋体"/>
          <w:color w:val="auto"/>
          <w:sz w:val="24"/>
          <w:szCs w:val="24"/>
        </w:rPr>
        <w:t>48</w:t>
      </w:r>
      <w:r>
        <w:rPr>
          <w:rFonts w:hint="eastAsia" w:ascii="宋体" w:hAnsi="宋体" w:cs="宋体"/>
          <w:color w:val="auto"/>
          <w:sz w:val="24"/>
          <w:szCs w:val="24"/>
        </w:rPr>
        <w:t>号）</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3.</w:t>
      </w:r>
      <w:r>
        <w:rPr>
          <w:rFonts w:hint="eastAsia" w:ascii="宋体" w:hAnsi="宋体" w:cs="宋体"/>
          <w:color w:val="auto"/>
          <w:sz w:val="24"/>
          <w:szCs w:val="24"/>
        </w:rPr>
        <w:t>《国家税务总局关于明确纳税信用补评和复评事项的公告》（国家税务总局公告</w:t>
      </w:r>
      <w:r>
        <w:rPr>
          <w:rFonts w:ascii="宋体" w:hAnsi="宋体" w:cs="宋体"/>
          <w:color w:val="auto"/>
          <w:sz w:val="24"/>
          <w:szCs w:val="24"/>
        </w:rPr>
        <w:t>2015</w:t>
      </w:r>
      <w:r>
        <w:rPr>
          <w:rFonts w:hint="eastAsia" w:ascii="宋体" w:hAnsi="宋体" w:cs="宋体"/>
          <w:color w:val="auto"/>
          <w:sz w:val="24"/>
          <w:szCs w:val="24"/>
        </w:rPr>
        <w:t>年第</w:t>
      </w:r>
      <w:r>
        <w:rPr>
          <w:rFonts w:ascii="宋体" w:hAnsi="宋体" w:cs="宋体"/>
          <w:color w:val="auto"/>
          <w:sz w:val="24"/>
          <w:szCs w:val="24"/>
        </w:rPr>
        <w:t>46</w:t>
      </w:r>
      <w:r>
        <w:rPr>
          <w:rFonts w:hint="eastAsia" w:ascii="宋体" w:hAnsi="宋体" w:cs="宋体"/>
          <w:color w:val="auto"/>
          <w:sz w:val="24"/>
          <w:szCs w:val="24"/>
        </w:rPr>
        <w:t>号）</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4</w:t>
      </w:r>
      <w:r>
        <w:rPr>
          <w:rFonts w:ascii="宋体" w:cs="宋体"/>
          <w:color w:val="auto"/>
          <w:sz w:val="24"/>
          <w:szCs w:val="24"/>
        </w:rPr>
        <w:t>.</w:t>
      </w:r>
      <w:r>
        <w:rPr>
          <w:rFonts w:hint="eastAsia" w:ascii="宋体" w:hAnsi="宋体" w:cs="宋体"/>
          <w:color w:val="auto"/>
          <w:sz w:val="24"/>
          <w:szCs w:val="24"/>
        </w:rPr>
        <w:t>《国家税务总局关于明确纳税信用管理若干业务口径的公告》（国家税务总局公告</w:t>
      </w:r>
      <w:r>
        <w:rPr>
          <w:rFonts w:ascii="宋体" w:hAnsi="宋体" w:cs="宋体"/>
          <w:color w:val="auto"/>
          <w:sz w:val="24"/>
          <w:szCs w:val="24"/>
        </w:rPr>
        <w:t>2015</w:t>
      </w:r>
      <w:r>
        <w:rPr>
          <w:rFonts w:hint="eastAsia" w:ascii="宋体" w:hAnsi="宋体" w:cs="宋体"/>
          <w:color w:val="auto"/>
          <w:sz w:val="24"/>
          <w:szCs w:val="24"/>
        </w:rPr>
        <w:t>年第</w:t>
      </w:r>
      <w:r>
        <w:rPr>
          <w:rFonts w:ascii="宋体" w:hAnsi="宋体" w:cs="宋体"/>
          <w:color w:val="auto"/>
          <w:sz w:val="24"/>
          <w:szCs w:val="24"/>
        </w:rPr>
        <w:t>85</w:t>
      </w:r>
      <w:r>
        <w:rPr>
          <w:rFonts w:hint="eastAsia" w:ascii="宋体" w:hAnsi="宋体" w:cs="宋体"/>
          <w:color w:val="auto"/>
          <w:sz w:val="24"/>
          <w:szCs w:val="24"/>
        </w:rPr>
        <w:t>号）</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5</w:t>
      </w:r>
      <w:r>
        <w:rPr>
          <w:rFonts w:ascii="宋体" w:cs="宋体"/>
          <w:color w:val="auto"/>
          <w:sz w:val="24"/>
          <w:szCs w:val="24"/>
        </w:rPr>
        <w:t>.</w:t>
      </w:r>
      <w:r>
        <w:rPr>
          <w:rFonts w:hint="eastAsia" w:ascii="宋体" w:hAnsi="宋体" w:cs="宋体"/>
          <w:color w:val="auto"/>
          <w:sz w:val="24"/>
          <w:szCs w:val="24"/>
        </w:rPr>
        <w:t>《国家税务总局关于完善纳税信用管理有关事项的公告》（国家税务总局公告</w:t>
      </w:r>
      <w:r>
        <w:rPr>
          <w:rFonts w:ascii="宋体" w:hAnsi="宋体" w:cs="宋体"/>
          <w:color w:val="auto"/>
          <w:sz w:val="24"/>
          <w:szCs w:val="24"/>
        </w:rPr>
        <w:t>2016</w:t>
      </w:r>
      <w:r>
        <w:rPr>
          <w:rFonts w:hint="eastAsia" w:ascii="宋体" w:hAnsi="宋体" w:cs="宋体"/>
          <w:color w:val="auto"/>
          <w:sz w:val="24"/>
          <w:szCs w:val="24"/>
        </w:rPr>
        <w:t>年第</w:t>
      </w:r>
      <w:r>
        <w:rPr>
          <w:rFonts w:ascii="宋体" w:hAnsi="宋体" w:cs="宋体"/>
          <w:color w:val="auto"/>
          <w:sz w:val="24"/>
          <w:szCs w:val="24"/>
        </w:rPr>
        <w:t>9</w:t>
      </w:r>
      <w:r>
        <w:rPr>
          <w:rFonts w:hint="eastAsia" w:ascii="宋体" w:hAnsi="宋体" w:cs="宋体"/>
          <w:color w:val="auto"/>
          <w:sz w:val="24"/>
          <w:szCs w:val="24"/>
        </w:rPr>
        <w:t>号）</w:t>
      </w:r>
    </w:p>
    <w:p>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6</w:t>
      </w:r>
      <w:r>
        <w:rPr>
          <w:rFonts w:ascii="宋体" w:cs="宋体"/>
          <w:color w:val="auto"/>
          <w:sz w:val="24"/>
          <w:szCs w:val="24"/>
        </w:rPr>
        <w:t>.</w:t>
      </w:r>
      <w:r>
        <w:rPr>
          <w:rFonts w:hint="eastAsia" w:ascii="宋体" w:hAnsi="宋体" w:cs="宋体"/>
          <w:color w:val="auto"/>
          <w:sz w:val="24"/>
          <w:szCs w:val="24"/>
        </w:rPr>
        <w:t>《国家税务总局关于纳税信用评价有关事项的公告》（国家税务总局公告</w:t>
      </w:r>
      <w:r>
        <w:rPr>
          <w:rFonts w:ascii="宋体" w:hAnsi="宋体" w:cs="宋体"/>
          <w:color w:val="auto"/>
          <w:sz w:val="24"/>
          <w:szCs w:val="24"/>
        </w:rPr>
        <w:t>2018</w:t>
      </w:r>
      <w:r>
        <w:rPr>
          <w:rFonts w:hint="eastAsia" w:ascii="宋体" w:hAnsi="宋体" w:cs="宋体"/>
          <w:color w:val="auto"/>
          <w:sz w:val="24"/>
          <w:szCs w:val="24"/>
        </w:rPr>
        <w:t>年第</w:t>
      </w:r>
      <w:r>
        <w:rPr>
          <w:rFonts w:ascii="宋体" w:hAnsi="宋体" w:cs="宋体"/>
          <w:color w:val="auto"/>
          <w:sz w:val="24"/>
          <w:szCs w:val="24"/>
        </w:rPr>
        <w:t>8</w:t>
      </w:r>
      <w:r>
        <w:rPr>
          <w:rFonts w:hint="eastAsia" w:ascii="宋体" w:hAnsi="宋体" w:cs="宋体"/>
          <w:color w:val="auto"/>
          <w:sz w:val="24"/>
          <w:szCs w:val="24"/>
        </w:rPr>
        <w:t>号）</w:t>
      </w:r>
    </w:p>
    <w:p>
      <w:pPr>
        <w:adjustRightInd w:val="0"/>
        <w:snapToGrid w:val="0"/>
        <w:spacing w:line="360" w:lineRule="auto"/>
        <w:ind w:firstLine="480" w:firstLineChars="200"/>
        <w:rPr>
          <w:rFonts w:hint="eastAsia" w:ascii="宋体" w:hAnsi="宋体" w:cs="宋体"/>
          <w:color w:val="auto"/>
          <w:sz w:val="24"/>
          <w:szCs w:val="24"/>
        </w:rPr>
      </w:pPr>
    </w:p>
    <w:p>
      <w:pPr>
        <w:adjustRightInd w:val="0"/>
        <w:snapToGrid w:val="0"/>
        <w:spacing w:line="360" w:lineRule="auto"/>
        <w:ind w:firstLine="480" w:firstLineChars="200"/>
        <w:rPr>
          <w:rFonts w:hint="eastAsia" w:ascii="宋体" w:hAnsi="宋体" w:cs="宋体"/>
          <w:color w:val="auto"/>
          <w:sz w:val="24"/>
          <w:szCs w:val="24"/>
        </w:rPr>
      </w:pPr>
    </w:p>
    <w:p>
      <w:pPr>
        <w:adjustRightInd w:val="0"/>
        <w:snapToGrid w:val="0"/>
        <w:spacing w:line="360" w:lineRule="auto"/>
        <w:ind w:firstLine="480" w:firstLineChars="200"/>
        <w:rPr>
          <w:rFonts w:ascii="宋体"/>
          <w:color w:val="auto"/>
          <w:sz w:val="24"/>
          <w:szCs w:val="24"/>
        </w:rPr>
      </w:pPr>
    </w:p>
    <w:bookmarkEnd w:id="3"/>
    <w:p>
      <w:pPr>
        <w:pStyle w:val="17"/>
        <w:spacing w:after="390"/>
        <w:rPr>
          <w:color w:val="auto"/>
        </w:rPr>
      </w:pPr>
      <w:r>
        <w:rPr>
          <w:color w:val="auto"/>
        </w:rPr>
        <w:t>9.1.2—2</w:t>
      </w:r>
      <w:r>
        <w:rPr>
          <w:rFonts w:hint="eastAsia"/>
          <w:color w:val="auto"/>
          <w:lang w:val="en-US" w:eastAsia="zh-CN"/>
        </w:rPr>
        <w:t>25</w:t>
      </w:r>
      <w:bookmarkStart w:id="4" w:name="_GoBack"/>
      <w:bookmarkEnd w:id="4"/>
      <w:r>
        <w:rPr>
          <w:color w:val="auto"/>
        </w:rPr>
        <w:t xml:space="preserve">  </w:t>
      </w:r>
      <w:r>
        <w:rPr>
          <w:rFonts w:hint="eastAsia" w:cs="黑体"/>
          <w:color w:val="auto"/>
        </w:rPr>
        <w:t>纳税信用复评</w:t>
      </w:r>
    </w:p>
    <w:p>
      <w:pPr>
        <w:ind w:firstLine="482" w:firstLineChars="200"/>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 xml:space="preserve">【事项名称】 </w:t>
      </w:r>
      <w:r>
        <w:rPr>
          <w:rFonts w:hint="eastAsia" w:ascii="宋体" w:hAnsi="宋体" w:eastAsia="宋体" w:cs="宋体"/>
          <w:b w:val="0"/>
          <w:bCs w:val="0"/>
          <w:color w:val="auto"/>
          <w:kern w:val="2"/>
          <w:sz w:val="24"/>
          <w:szCs w:val="24"/>
          <w:lang w:val="en-US" w:eastAsia="zh-CN" w:bidi="ar-SA"/>
        </w:rPr>
        <w:t>纳税信用补评</w:t>
      </w:r>
    </w:p>
    <w:p>
      <w:pPr>
        <w:pStyle w:val="19"/>
        <w:ind w:firstLine="31680"/>
        <w:rPr>
          <w:rFonts w:hAnsi="宋体" w:cs="Times New Roman"/>
          <w:color w:val="auto"/>
          <w:kern w:val="2"/>
          <w:sz w:val="24"/>
          <w:szCs w:val="24"/>
        </w:rPr>
      </w:pPr>
      <w:r>
        <w:rPr>
          <w:rFonts w:hint="eastAsia" w:hAnsi="宋体"/>
          <w:color w:val="auto"/>
          <w:kern w:val="2"/>
          <w:sz w:val="24"/>
          <w:szCs w:val="24"/>
        </w:rPr>
        <w:t>【事项描述】</w:t>
      </w:r>
    </w:p>
    <w:p>
      <w:pPr>
        <w:pStyle w:val="23"/>
        <w:ind w:firstLine="31680"/>
        <w:rPr>
          <w:rFonts w:hAnsi="宋体" w:cs="Times New Roman"/>
          <w:color w:val="auto"/>
          <w:kern w:val="2"/>
          <w:sz w:val="24"/>
          <w:szCs w:val="24"/>
        </w:rPr>
      </w:pPr>
      <w:r>
        <w:rPr>
          <w:rFonts w:hint="eastAsia" w:hAnsi="宋体"/>
          <w:color w:val="auto"/>
          <w:kern w:val="2"/>
          <w:sz w:val="24"/>
          <w:szCs w:val="24"/>
        </w:rPr>
        <w:t>纳税人对纳税信用评价结果有异议，可在纳税信用评价结果确定的当年内向主管税务机关申请复核。</w:t>
      </w:r>
    </w:p>
    <w:p>
      <w:pPr>
        <w:pStyle w:val="19"/>
        <w:ind w:firstLine="31680"/>
        <w:rPr>
          <w:rFonts w:hAnsi="宋体" w:cs="Times New Roman"/>
          <w:color w:val="auto"/>
          <w:kern w:val="2"/>
          <w:sz w:val="24"/>
          <w:szCs w:val="24"/>
        </w:rPr>
      </w:pPr>
      <w:r>
        <w:rPr>
          <w:rFonts w:hint="eastAsia" w:hAnsi="宋体"/>
          <w:color w:val="auto"/>
          <w:kern w:val="2"/>
          <w:sz w:val="24"/>
          <w:szCs w:val="24"/>
        </w:rPr>
        <w:t>【报送资料】</w:t>
      </w:r>
    </w:p>
    <w:tbl>
      <w:tblPr>
        <w:tblStyle w:val="9"/>
        <w:tblW w:w="7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253"/>
        <w:gridCol w:w="70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704" w:type="dxa"/>
            <w:shd w:val="clear" w:color="auto" w:fill="D9D9D9"/>
            <w:vAlign w:val="center"/>
          </w:tcPr>
          <w:p>
            <w:pPr>
              <w:jc w:val="center"/>
              <w:rPr>
                <w:rFonts w:ascii="黑体" w:hAnsi="黑体" w:eastAsia="黑体"/>
                <w:color w:val="auto"/>
              </w:rPr>
            </w:pPr>
            <w:r>
              <w:rPr>
                <w:rFonts w:hint="eastAsia" w:ascii="黑体" w:hAnsi="黑体" w:eastAsia="黑体" w:cs="黑体"/>
                <w:color w:val="auto"/>
              </w:rPr>
              <w:t>序号</w:t>
            </w:r>
          </w:p>
        </w:tc>
        <w:tc>
          <w:tcPr>
            <w:tcW w:w="4253" w:type="dxa"/>
            <w:shd w:val="clear" w:color="auto" w:fill="D9D9D9"/>
            <w:vAlign w:val="center"/>
          </w:tcPr>
          <w:p>
            <w:pPr>
              <w:jc w:val="center"/>
              <w:rPr>
                <w:rFonts w:ascii="黑体" w:hAnsi="黑体" w:eastAsia="黑体"/>
                <w:color w:val="auto"/>
              </w:rPr>
            </w:pPr>
            <w:r>
              <w:rPr>
                <w:rFonts w:hint="eastAsia" w:ascii="黑体" w:hAnsi="黑体" w:eastAsia="黑体" w:cs="黑体"/>
                <w:color w:val="auto"/>
              </w:rPr>
              <w:t>材料名称</w:t>
            </w:r>
          </w:p>
        </w:tc>
        <w:tc>
          <w:tcPr>
            <w:tcW w:w="708" w:type="dxa"/>
            <w:shd w:val="clear" w:color="auto" w:fill="D9D9D9"/>
            <w:vAlign w:val="center"/>
          </w:tcPr>
          <w:p>
            <w:pPr>
              <w:jc w:val="center"/>
              <w:rPr>
                <w:rFonts w:ascii="黑体" w:hAnsi="黑体" w:eastAsia="黑体"/>
                <w:color w:val="auto"/>
              </w:rPr>
            </w:pPr>
            <w:r>
              <w:rPr>
                <w:rFonts w:hint="eastAsia" w:ascii="黑体" w:hAnsi="黑体" w:eastAsia="黑体" w:cs="黑体"/>
                <w:color w:val="auto"/>
              </w:rPr>
              <w:t>数量</w:t>
            </w:r>
          </w:p>
        </w:tc>
        <w:tc>
          <w:tcPr>
            <w:tcW w:w="2268" w:type="dxa"/>
            <w:shd w:val="clear" w:color="auto" w:fill="D9D9D9"/>
            <w:vAlign w:val="center"/>
          </w:tcPr>
          <w:p>
            <w:pPr>
              <w:jc w:val="center"/>
              <w:rPr>
                <w:rFonts w:ascii="黑体" w:hAnsi="黑体" w:eastAsia="黑体"/>
                <w:color w:val="auto"/>
              </w:rPr>
            </w:pPr>
            <w:r>
              <w:rPr>
                <w:rFonts w:hint="eastAsia" w:ascii="黑体" w:hAnsi="黑体" w:eastAsia="黑体" w:cs="黑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704" w:type="dxa"/>
            <w:vAlign w:val="center"/>
          </w:tcPr>
          <w:p>
            <w:pPr>
              <w:jc w:val="center"/>
              <w:rPr>
                <w:rFonts w:ascii="黑体" w:hAnsi="黑体" w:eastAsia="黑体"/>
                <w:color w:val="auto"/>
              </w:rPr>
            </w:pPr>
            <w:r>
              <w:rPr>
                <w:rFonts w:ascii="仿宋" w:hAnsi="仿宋" w:eastAsia="仿宋" w:cs="仿宋"/>
                <w:color w:val="auto"/>
              </w:rPr>
              <w:t>1</w:t>
            </w:r>
          </w:p>
        </w:tc>
        <w:tc>
          <w:tcPr>
            <w:tcW w:w="4253" w:type="dxa"/>
            <w:vAlign w:val="center"/>
          </w:tcPr>
          <w:p>
            <w:pPr>
              <w:rPr>
                <w:rFonts w:ascii="黑体" w:hAnsi="黑体" w:eastAsia="黑体"/>
                <w:color w:val="auto"/>
                <w:sz w:val="18"/>
                <w:szCs w:val="18"/>
              </w:rPr>
            </w:pPr>
            <w:r>
              <w:rPr>
                <w:rFonts w:hint="eastAsia" w:ascii="黑体" w:hAnsi="黑体" w:eastAsia="黑体" w:cs="黑体"/>
                <w:color w:val="auto"/>
                <w:sz w:val="18"/>
                <w:szCs w:val="18"/>
              </w:rPr>
              <w:t>《纳税信用复评申请表》</w:t>
            </w:r>
          </w:p>
        </w:tc>
        <w:tc>
          <w:tcPr>
            <w:tcW w:w="708" w:type="dxa"/>
            <w:vAlign w:val="center"/>
          </w:tcPr>
          <w:p>
            <w:pPr>
              <w:jc w:val="center"/>
              <w:rPr>
                <w:rFonts w:ascii="黑体" w:hAnsi="黑体" w:eastAsia="黑体"/>
                <w:color w:val="auto"/>
                <w:sz w:val="18"/>
                <w:szCs w:val="18"/>
              </w:rPr>
            </w:pPr>
            <w:r>
              <w:rPr>
                <w:rFonts w:ascii="黑体" w:hAnsi="黑体" w:eastAsia="黑体" w:cs="黑体"/>
                <w:color w:val="auto"/>
                <w:sz w:val="18"/>
                <w:szCs w:val="18"/>
              </w:rPr>
              <w:t>3</w:t>
            </w:r>
            <w:r>
              <w:rPr>
                <w:rFonts w:hint="eastAsia" w:ascii="黑体" w:hAnsi="黑体" w:eastAsia="黑体" w:cs="黑体"/>
                <w:color w:val="auto"/>
                <w:sz w:val="18"/>
                <w:szCs w:val="18"/>
              </w:rPr>
              <w:t>份</w:t>
            </w:r>
          </w:p>
        </w:tc>
        <w:tc>
          <w:tcPr>
            <w:tcW w:w="2268" w:type="dxa"/>
            <w:vAlign w:val="center"/>
          </w:tcPr>
          <w:p>
            <w:pPr>
              <w:spacing w:line="320" w:lineRule="exact"/>
              <w:rPr>
                <w:rFonts w:ascii="黑体" w:hAnsi="黑体" w:eastAsia="黑体"/>
                <w:color w:val="auto"/>
                <w:sz w:val="18"/>
                <w:szCs w:val="18"/>
              </w:rPr>
            </w:pPr>
          </w:p>
        </w:tc>
      </w:tr>
    </w:tbl>
    <w:p>
      <w:pPr>
        <w:rPr>
          <w:color w:val="auto"/>
        </w:rPr>
      </w:pPr>
    </w:p>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【办理渠道】</w:t>
      </w:r>
    </w:p>
    <w:p>
      <w:pPr>
        <w:pStyle w:val="23"/>
        <w:ind w:firstLine="31680"/>
        <w:rPr>
          <w:rFonts w:hint="eastAsia" w:hAnsi="宋体"/>
          <w:color w:val="auto"/>
          <w:kern w:val="2"/>
          <w:sz w:val="24"/>
          <w:szCs w:val="24"/>
        </w:rPr>
      </w:pPr>
      <w:r>
        <w:rPr>
          <w:rFonts w:hint="eastAsia" w:hAnsi="宋体"/>
          <w:color w:val="auto"/>
          <w:kern w:val="2"/>
          <w:sz w:val="24"/>
          <w:szCs w:val="24"/>
        </w:rPr>
        <w:t>主管税务机关办税服务厅</w:t>
      </w:r>
    </w:p>
    <w:p>
      <w:pPr>
        <w:pStyle w:val="23"/>
        <w:ind w:firstLine="31680"/>
        <w:rPr>
          <w:rFonts w:hint="eastAsia" w:hAnsi="宋体" w:eastAsia="宋体"/>
          <w:color w:val="auto"/>
          <w:kern w:val="2"/>
          <w:sz w:val="24"/>
          <w:szCs w:val="24"/>
          <w:lang w:eastAsia="zh-CN"/>
        </w:rPr>
      </w:pPr>
      <w:r>
        <w:rPr>
          <w:rFonts w:hint="eastAsia" w:hAnsi="宋体"/>
          <w:color w:val="auto"/>
          <w:kern w:val="2"/>
          <w:sz w:val="24"/>
          <w:szCs w:val="24"/>
          <w:lang w:eastAsia="zh-CN"/>
        </w:rPr>
        <w:t>广西壮族自治区电子税务局</w:t>
      </w:r>
    </w:p>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w:t>
      </w:r>
      <w:r>
        <w:rPr>
          <w:rFonts w:hint="eastAsia" w:ascii="宋体" w:hAnsi="宋体" w:cs="宋体"/>
          <w:b/>
          <w:bCs/>
          <w:color w:val="auto"/>
          <w:sz w:val="24"/>
          <w:szCs w:val="24"/>
          <w:lang w:eastAsia="zh-CN"/>
        </w:rPr>
        <w:t>办理流程</w:t>
      </w:r>
      <w:r>
        <w:rPr>
          <w:rFonts w:hint="eastAsia" w:ascii="宋体" w:hAnsi="宋体" w:cs="宋体"/>
          <w:b/>
          <w:bCs/>
          <w:color w:val="auto"/>
          <w:sz w:val="24"/>
          <w:szCs w:val="24"/>
        </w:rPr>
        <w:t>】</w:t>
      </w:r>
    </w:p>
    <w:p>
      <w:pPr>
        <w:adjustRightInd w:val="0"/>
        <w:snapToGrid w:val="0"/>
        <w:spacing w:line="360" w:lineRule="auto"/>
        <w:ind w:firstLine="420" w:firstLineChars="200"/>
        <w:rPr>
          <w:rFonts w:ascii="宋体"/>
          <w:color w:val="auto"/>
          <w:sz w:val="24"/>
          <w:szCs w:val="24"/>
        </w:rPr>
      </w:pPr>
      <w:r>
        <w:rPr>
          <w:color w:val="auto"/>
        </w:rPr>
        <w:pict>
          <v:shape id="_x0000_i1026" o:spt="75" alt="8" type="#_x0000_t75" style="height:189.75pt;width:350.25pt;" filled="f" o:preferrelative="t" stroked="f" coordsize="21600,21600">
            <v:path/>
            <v:fill on="f" focussize="0,0"/>
            <v:stroke on="f" joinstyle="miter"/>
            <v:imagedata r:id="rId7" o:title=""/>
            <o:lock v:ext="edit" aspectratio="t"/>
            <w10:wrap type="none"/>
            <w10:anchorlock/>
          </v:shape>
        </w:pict>
      </w:r>
    </w:p>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【办理时限】</w:t>
      </w:r>
    </w:p>
    <w:p>
      <w:pPr>
        <w:adjustRightInd w:val="0"/>
        <w:snapToGrid w:val="0"/>
        <w:spacing w:line="360" w:lineRule="auto"/>
        <w:ind w:firstLine="480" w:firstLineChars="200"/>
        <w:rPr>
          <w:rFonts w:ascii="宋体"/>
          <w:color w:val="auto"/>
          <w:sz w:val="24"/>
          <w:szCs w:val="24"/>
        </w:rPr>
      </w:pPr>
      <w:r>
        <w:rPr>
          <w:rFonts w:hint="eastAsia" w:ascii="宋体" w:hAnsi="宋体" w:cs="宋体"/>
          <w:color w:val="auto"/>
          <w:sz w:val="24"/>
          <w:szCs w:val="24"/>
        </w:rPr>
        <w:t>资料齐全、符合法定形式、填写内容完整的，税务机关应自受理之日起</w:t>
      </w:r>
      <w:r>
        <w:rPr>
          <w:rFonts w:ascii="宋体" w:hAnsi="宋体" w:cs="宋体"/>
          <w:color w:val="auto"/>
          <w:sz w:val="24"/>
          <w:szCs w:val="24"/>
        </w:rPr>
        <w:t>15</w:t>
      </w:r>
      <w:r>
        <w:rPr>
          <w:rFonts w:hint="eastAsia" w:ascii="宋体" w:hAnsi="宋体" w:cs="宋体"/>
          <w:color w:val="auto"/>
          <w:sz w:val="24"/>
          <w:szCs w:val="24"/>
        </w:rPr>
        <w:t>个工作日内办结。</w:t>
      </w:r>
    </w:p>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【办理结果】</w:t>
      </w:r>
    </w:p>
    <w:p>
      <w:pPr>
        <w:adjustRightInd w:val="0"/>
        <w:snapToGrid w:val="0"/>
        <w:spacing w:line="360" w:lineRule="auto"/>
        <w:ind w:firstLine="480" w:firstLineChars="200"/>
        <w:rPr>
          <w:rFonts w:ascii="宋体"/>
          <w:color w:val="auto"/>
          <w:sz w:val="24"/>
          <w:szCs w:val="24"/>
        </w:rPr>
      </w:pPr>
      <w:r>
        <w:rPr>
          <w:rFonts w:hint="eastAsia" w:ascii="宋体" w:hAnsi="宋体" w:cs="宋体"/>
          <w:color w:val="auto"/>
          <w:sz w:val="24"/>
          <w:szCs w:val="24"/>
        </w:rPr>
        <w:t>纳税人领取《</w:t>
      </w:r>
      <w:r>
        <w:rPr>
          <w:rFonts w:ascii="宋体" w:hAnsi="宋体" w:cs="宋体"/>
          <w:color w:val="auto"/>
          <w:sz w:val="24"/>
          <w:szCs w:val="24"/>
        </w:rPr>
        <w:t>____</w:t>
      </w:r>
      <w:r>
        <w:rPr>
          <w:rFonts w:hint="eastAsia" w:ascii="宋体" w:hAnsi="宋体" w:cs="宋体"/>
          <w:color w:val="auto"/>
          <w:sz w:val="24"/>
          <w:szCs w:val="24"/>
        </w:rPr>
        <w:t>年度纳税信用复评信息》或进行评价结果的自我查询。</w:t>
      </w:r>
    </w:p>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【纳税人注意事项】</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1</w:t>
      </w:r>
      <w:r>
        <w:rPr>
          <w:rFonts w:hint="eastAsia" w:ascii="宋体" w:hAnsi="宋体" w:cs="宋体"/>
          <w:color w:val="auto"/>
          <w:sz w:val="24"/>
          <w:szCs w:val="24"/>
        </w:rPr>
        <w:t>．纳税人对报送材料的真实性和合法性承担责任。</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2</w:t>
      </w:r>
      <w:r>
        <w:rPr>
          <w:rFonts w:hint="eastAsia" w:ascii="宋体" w:hAnsi="宋体" w:cs="宋体"/>
          <w:color w:val="auto"/>
          <w:sz w:val="24"/>
          <w:szCs w:val="24"/>
        </w:rPr>
        <w:t>．纳税人应于</w:t>
      </w:r>
      <w:r>
        <w:rPr>
          <w:rFonts w:ascii="宋体" w:hAnsi="宋体" w:cs="宋体"/>
          <w:color w:val="auto"/>
          <w:sz w:val="24"/>
          <w:szCs w:val="24"/>
        </w:rPr>
        <w:t>12</w:t>
      </w:r>
      <w:r>
        <w:rPr>
          <w:rFonts w:hint="eastAsia" w:ascii="宋体" w:hAnsi="宋体" w:cs="宋体"/>
          <w:color w:val="auto"/>
          <w:sz w:val="24"/>
          <w:szCs w:val="24"/>
        </w:rPr>
        <w:t>月</w:t>
      </w:r>
      <w:r>
        <w:rPr>
          <w:rFonts w:ascii="宋体" w:hAnsi="宋体" w:cs="宋体"/>
          <w:color w:val="auto"/>
          <w:sz w:val="24"/>
          <w:szCs w:val="24"/>
        </w:rPr>
        <w:t>31</w:t>
      </w:r>
      <w:r>
        <w:rPr>
          <w:rFonts w:hint="eastAsia" w:ascii="宋体" w:hAnsi="宋体" w:cs="宋体"/>
          <w:color w:val="auto"/>
          <w:sz w:val="24"/>
          <w:szCs w:val="24"/>
        </w:rPr>
        <w:t>日前申请上一年度评价结果复评。</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3</w:t>
      </w:r>
      <w:r>
        <w:rPr>
          <w:rFonts w:hint="eastAsia" w:ascii="宋体" w:hAnsi="宋体" w:cs="宋体"/>
          <w:color w:val="auto"/>
          <w:sz w:val="24"/>
          <w:szCs w:val="24"/>
        </w:rPr>
        <w:t>．纳税人到税务机关领取纳税信用复评信息时</w:t>
      </w:r>
      <w:r>
        <w:rPr>
          <w:rFonts w:ascii="宋体" w:cs="宋体"/>
          <w:color w:val="auto"/>
          <w:sz w:val="24"/>
          <w:szCs w:val="24"/>
        </w:rPr>
        <w:t>,</w:t>
      </w:r>
      <w:r>
        <w:rPr>
          <w:rFonts w:hint="eastAsia" w:ascii="宋体" w:hAnsi="宋体" w:cs="宋体"/>
          <w:color w:val="auto"/>
          <w:sz w:val="24"/>
          <w:szCs w:val="24"/>
        </w:rPr>
        <w:t>应出示加载统一社会信用代码的营业执照或登记证件、经办人身份证原件。</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4.</w:t>
      </w:r>
      <w:r>
        <w:rPr>
          <w:rFonts w:hint="eastAsia" w:ascii="宋体" w:hAnsi="宋体" w:cs="宋体"/>
          <w:color w:val="auto"/>
          <w:sz w:val="24"/>
          <w:szCs w:val="24"/>
        </w:rPr>
        <w:t>办税服务厅地址、网上税务局网址，可在</w:t>
      </w:r>
      <w:r>
        <w:rPr>
          <w:rFonts w:hint="eastAsia" w:ascii="宋体" w:hAnsi="宋体" w:cs="宋体"/>
          <w:color w:val="auto"/>
          <w:sz w:val="24"/>
          <w:szCs w:val="24"/>
          <w:lang w:eastAsia="zh-CN"/>
        </w:rPr>
        <w:t>广西壮族自治区税务局门户网站</w:t>
      </w:r>
      <w:r>
        <w:rPr>
          <w:rFonts w:hint="eastAsia" w:ascii="宋体" w:hAnsi="宋体" w:cs="宋体"/>
          <w:color w:val="auto"/>
          <w:sz w:val="24"/>
          <w:szCs w:val="24"/>
        </w:rPr>
        <w:t>或拨打</w:t>
      </w:r>
      <w:r>
        <w:rPr>
          <w:rFonts w:ascii="宋体" w:hAnsi="宋体" w:cs="宋体"/>
          <w:color w:val="auto"/>
          <w:sz w:val="24"/>
          <w:szCs w:val="24"/>
        </w:rPr>
        <w:t>12366</w:t>
      </w:r>
      <w:r>
        <w:rPr>
          <w:rFonts w:hint="eastAsia" w:ascii="宋体" w:hAnsi="宋体" w:cs="宋体"/>
          <w:color w:val="auto"/>
          <w:sz w:val="24"/>
          <w:szCs w:val="24"/>
        </w:rPr>
        <w:t>查询。</w:t>
      </w:r>
    </w:p>
    <w:p>
      <w:pPr>
        <w:adjustRightInd w:val="0"/>
        <w:snapToGrid w:val="0"/>
        <w:spacing w:line="360" w:lineRule="auto"/>
        <w:ind w:firstLine="482" w:firstLineChars="200"/>
        <w:rPr>
          <w:rFonts w:ascii="宋体"/>
          <w:b/>
          <w:bCs/>
          <w:color w:val="auto"/>
          <w:sz w:val="24"/>
          <w:szCs w:val="24"/>
        </w:rPr>
      </w:pPr>
      <w:r>
        <w:rPr>
          <w:rFonts w:hint="eastAsia" w:ascii="宋体" w:hAnsi="宋体" w:cs="宋体"/>
          <w:b/>
          <w:bCs/>
          <w:color w:val="auto"/>
          <w:sz w:val="24"/>
          <w:szCs w:val="24"/>
        </w:rPr>
        <w:t>【政策依据】</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1</w:t>
      </w:r>
      <w:r>
        <w:rPr>
          <w:rFonts w:ascii="宋体" w:cs="宋体"/>
          <w:color w:val="auto"/>
          <w:sz w:val="24"/>
          <w:szCs w:val="24"/>
        </w:rPr>
        <w:t>.</w:t>
      </w:r>
      <w:r>
        <w:rPr>
          <w:rFonts w:hint="eastAsia" w:ascii="宋体" w:hAnsi="宋体" w:cs="宋体"/>
          <w:color w:val="auto"/>
          <w:sz w:val="24"/>
          <w:szCs w:val="24"/>
        </w:rPr>
        <w:t>《国家税务总局关于发布〈纳税信用管理办法（试行）〉的公告》（国家税务总局公告</w:t>
      </w:r>
      <w:r>
        <w:rPr>
          <w:rFonts w:ascii="宋体" w:hAnsi="宋体" w:cs="宋体"/>
          <w:color w:val="auto"/>
          <w:sz w:val="24"/>
          <w:szCs w:val="24"/>
        </w:rPr>
        <w:t>2014</w:t>
      </w:r>
      <w:r>
        <w:rPr>
          <w:rFonts w:hint="eastAsia" w:ascii="宋体" w:hAnsi="宋体" w:cs="宋体"/>
          <w:color w:val="auto"/>
          <w:sz w:val="24"/>
          <w:szCs w:val="24"/>
        </w:rPr>
        <w:t>年第</w:t>
      </w:r>
      <w:r>
        <w:rPr>
          <w:rFonts w:ascii="宋体" w:hAnsi="宋体" w:cs="宋体"/>
          <w:color w:val="auto"/>
          <w:sz w:val="24"/>
          <w:szCs w:val="24"/>
        </w:rPr>
        <w:t>40</w:t>
      </w:r>
      <w:r>
        <w:rPr>
          <w:rFonts w:hint="eastAsia" w:ascii="宋体" w:hAnsi="宋体" w:cs="宋体"/>
          <w:color w:val="auto"/>
          <w:sz w:val="24"/>
          <w:szCs w:val="24"/>
        </w:rPr>
        <w:t>号）</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2</w:t>
      </w:r>
      <w:r>
        <w:rPr>
          <w:rFonts w:ascii="宋体" w:cs="宋体"/>
          <w:color w:val="auto"/>
          <w:sz w:val="24"/>
          <w:szCs w:val="24"/>
        </w:rPr>
        <w:t>.</w:t>
      </w:r>
      <w:r>
        <w:rPr>
          <w:rFonts w:hint="eastAsia" w:ascii="宋体" w:hAnsi="宋体" w:cs="宋体"/>
          <w:color w:val="auto"/>
          <w:sz w:val="24"/>
          <w:szCs w:val="24"/>
        </w:rPr>
        <w:t>《国家税务总局关于发布〈纳税信用评价指标和评价方式（试行）〉的公告》（国家税务总局公告</w:t>
      </w:r>
      <w:r>
        <w:rPr>
          <w:rFonts w:ascii="宋体" w:hAnsi="宋体" w:cs="宋体"/>
          <w:color w:val="auto"/>
          <w:sz w:val="24"/>
          <w:szCs w:val="24"/>
        </w:rPr>
        <w:t>2014</w:t>
      </w:r>
      <w:r>
        <w:rPr>
          <w:rFonts w:hint="eastAsia" w:ascii="宋体" w:hAnsi="宋体" w:cs="宋体"/>
          <w:color w:val="auto"/>
          <w:sz w:val="24"/>
          <w:szCs w:val="24"/>
        </w:rPr>
        <w:t>年第</w:t>
      </w:r>
      <w:r>
        <w:rPr>
          <w:rFonts w:ascii="宋体" w:hAnsi="宋体" w:cs="宋体"/>
          <w:color w:val="auto"/>
          <w:sz w:val="24"/>
          <w:szCs w:val="24"/>
        </w:rPr>
        <w:t>48</w:t>
      </w:r>
      <w:r>
        <w:rPr>
          <w:rFonts w:hint="eastAsia" w:ascii="宋体" w:hAnsi="宋体" w:cs="宋体"/>
          <w:color w:val="auto"/>
          <w:sz w:val="24"/>
          <w:szCs w:val="24"/>
        </w:rPr>
        <w:t>号）</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3.</w:t>
      </w:r>
      <w:r>
        <w:rPr>
          <w:rFonts w:hint="eastAsia" w:ascii="宋体" w:hAnsi="宋体" w:cs="宋体"/>
          <w:color w:val="auto"/>
          <w:sz w:val="24"/>
          <w:szCs w:val="24"/>
        </w:rPr>
        <w:t>《国家税务总局关于明确纳税信用补评和复评事项的公告》（国家税务总局公告</w:t>
      </w:r>
      <w:r>
        <w:rPr>
          <w:rFonts w:ascii="宋体" w:hAnsi="宋体" w:cs="宋体"/>
          <w:color w:val="auto"/>
          <w:sz w:val="24"/>
          <w:szCs w:val="24"/>
        </w:rPr>
        <w:t>2015</w:t>
      </w:r>
      <w:r>
        <w:rPr>
          <w:rFonts w:hint="eastAsia" w:ascii="宋体" w:hAnsi="宋体" w:cs="宋体"/>
          <w:color w:val="auto"/>
          <w:sz w:val="24"/>
          <w:szCs w:val="24"/>
        </w:rPr>
        <w:t>年第</w:t>
      </w:r>
      <w:r>
        <w:rPr>
          <w:rFonts w:ascii="宋体" w:hAnsi="宋体" w:cs="宋体"/>
          <w:color w:val="auto"/>
          <w:sz w:val="24"/>
          <w:szCs w:val="24"/>
        </w:rPr>
        <w:t>46</w:t>
      </w:r>
      <w:r>
        <w:rPr>
          <w:rFonts w:hint="eastAsia" w:ascii="宋体" w:hAnsi="宋体" w:cs="宋体"/>
          <w:color w:val="auto"/>
          <w:sz w:val="24"/>
          <w:szCs w:val="24"/>
        </w:rPr>
        <w:t>号）</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4</w:t>
      </w:r>
      <w:r>
        <w:rPr>
          <w:rFonts w:ascii="宋体" w:cs="宋体"/>
          <w:color w:val="auto"/>
          <w:sz w:val="24"/>
          <w:szCs w:val="24"/>
        </w:rPr>
        <w:t>.</w:t>
      </w:r>
      <w:r>
        <w:rPr>
          <w:rFonts w:hint="eastAsia" w:ascii="宋体" w:hAnsi="宋体" w:cs="宋体"/>
          <w:color w:val="auto"/>
          <w:sz w:val="24"/>
          <w:szCs w:val="24"/>
        </w:rPr>
        <w:t>《国家税务总局关于明确纳税信用管理若干业务口径的公告》（国家税务总局公告</w:t>
      </w:r>
      <w:r>
        <w:rPr>
          <w:rFonts w:ascii="宋体" w:hAnsi="宋体" w:cs="宋体"/>
          <w:color w:val="auto"/>
          <w:sz w:val="24"/>
          <w:szCs w:val="24"/>
        </w:rPr>
        <w:t>2015</w:t>
      </w:r>
      <w:r>
        <w:rPr>
          <w:rFonts w:hint="eastAsia" w:ascii="宋体" w:hAnsi="宋体" w:cs="宋体"/>
          <w:color w:val="auto"/>
          <w:sz w:val="24"/>
          <w:szCs w:val="24"/>
        </w:rPr>
        <w:t>年第</w:t>
      </w:r>
      <w:r>
        <w:rPr>
          <w:rFonts w:ascii="宋体" w:hAnsi="宋体" w:cs="宋体"/>
          <w:color w:val="auto"/>
          <w:sz w:val="24"/>
          <w:szCs w:val="24"/>
        </w:rPr>
        <w:t>85</w:t>
      </w:r>
      <w:r>
        <w:rPr>
          <w:rFonts w:hint="eastAsia" w:ascii="宋体" w:hAnsi="宋体" w:cs="宋体"/>
          <w:color w:val="auto"/>
          <w:sz w:val="24"/>
          <w:szCs w:val="24"/>
        </w:rPr>
        <w:t>号）</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5</w:t>
      </w:r>
      <w:r>
        <w:rPr>
          <w:rFonts w:ascii="宋体" w:cs="宋体"/>
          <w:color w:val="auto"/>
          <w:sz w:val="24"/>
          <w:szCs w:val="24"/>
        </w:rPr>
        <w:t>.</w:t>
      </w:r>
      <w:r>
        <w:rPr>
          <w:rFonts w:hint="eastAsia" w:ascii="宋体" w:hAnsi="宋体" w:cs="宋体"/>
          <w:color w:val="auto"/>
          <w:sz w:val="24"/>
          <w:szCs w:val="24"/>
        </w:rPr>
        <w:t>《国家税务总局关于完善纳税信用管理有关事项的公告》（国家税务总局公告</w:t>
      </w:r>
      <w:r>
        <w:rPr>
          <w:rFonts w:ascii="宋体" w:hAnsi="宋体" w:cs="宋体"/>
          <w:color w:val="auto"/>
          <w:sz w:val="24"/>
          <w:szCs w:val="24"/>
        </w:rPr>
        <w:t>2016</w:t>
      </w:r>
      <w:r>
        <w:rPr>
          <w:rFonts w:hint="eastAsia" w:ascii="宋体" w:hAnsi="宋体" w:cs="宋体"/>
          <w:color w:val="auto"/>
          <w:sz w:val="24"/>
          <w:szCs w:val="24"/>
        </w:rPr>
        <w:t>年第</w:t>
      </w:r>
      <w:r>
        <w:rPr>
          <w:rFonts w:ascii="宋体" w:hAnsi="宋体" w:cs="宋体"/>
          <w:color w:val="auto"/>
          <w:sz w:val="24"/>
          <w:szCs w:val="24"/>
        </w:rPr>
        <w:t>9</w:t>
      </w:r>
      <w:r>
        <w:rPr>
          <w:rFonts w:hint="eastAsia" w:ascii="宋体" w:hAnsi="宋体" w:cs="宋体"/>
          <w:color w:val="auto"/>
          <w:sz w:val="24"/>
          <w:szCs w:val="24"/>
        </w:rPr>
        <w:t>号）</w:t>
      </w:r>
    </w:p>
    <w:p>
      <w:pPr>
        <w:adjustRightInd w:val="0"/>
        <w:snapToGrid w:val="0"/>
        <w:spacing w:line="360" w:lineRule="auto"/>
        <w:ind w:firstLine="480" w:firstLineChars="200"/>
        <w:rPr>
          <w:rFonts w:ascii="宋体"/>
          <w:color w:val="auto"/>
          <w:sz w:val="24"/>
          <w:szCs w:val="24"/>
        </w:rPr>
      </w:pPr>
      <w:r>
        <w:rPr>
          <w:rFonts w:ascii="宋体" w:hAnsi="宋体" w:cs="宋体"/>
          <w:color w:val="auto"/>
          <w:sz w:val="24"/>
          <w:szCs w:val="24"/>
        </w:rPr>
        <w:t>6</w:t>
      </w:r>
      <w:r>
        <w:rPr>
          <w:rFonts w:ascii="宋体" w:cs="宋体"/>
          <w:color w:val="auto"/>
          <w:sz w:val="24"/>
          <w:szCs w:val="24"/>
        </w:rPr>
        <w:t>.</w:t>
      </w:r>
      <w:r>
        <w:rPr>
          <w:rFonts w:hint="eastAsia" w:ascii="宋体" w:hAnsi="宋体" w:cs="宋体"/>
          <w:color w:val="auto"/>
          <w:sz w:val="24"/>
          <w:szCs w:val="24"/>
        </w:rPr>
        <w:t>《国家税务总局关于纳税信用评价有关事项的公告》（国家税务总局公告</w:t>
      </w:r>
      <w:r>
        <w:rPr>
          <w:rFonts w:ascii="宋体" w:hAnsi="宋体" w:cs="宋体"/>
          <w:color w:val="auto"/>
          <w:sz w:val="24"/>
          <w:szCs w:val="24"/>
        </w:rPr>
        <w:t>2018</w:t>
      </w:r>
      <w:r>
        <w:rPr>
          <w:rFonts w:hint="eastAsia" w:ascii="宋体" w:hAnsi="宋体" w:cs="宋体"/>
          <w:color w:val="auto"/>
          <w:sz w:val="24"/>
          <w:szCs w:val="24"/>
        </w:rPr>
        <w:t>年第</w:t>
      </w:r>
      <w:r>
        <w:rPr>
          <w:rFonts w:ascii="宋体" w:hAnsi="宋体" w:cs="宋体"/>
          <w:color w:val="auto"/>
          <w:sz w:val="24"/>
          <w:szCs w:val="24"/>
        </w:rPr>
        <w:t>8</w:t>
      </w:r>
      <w:r>
        <w:rPr>
          <w:rFonts w:hint="eastAsia" w:ascii="宋体" w:hAnsi="宋体" w:cs="宋体"/>
          <w:color w:val="auto"/>
          <w:sz w:val="24"/>
          <w:szCs w:val="24"/>
        </w:rPr>
        <w:t>号）</w:t>
      </w:r>
    </w:p>
    <w:p>
      <w:pPr>
        <w:rPr>
          <w:color w:val="auto"/>
        </w:rPr>
      </w:pPr>
    </w:p>
    <w:sectPr>
      <w:headerReference r:id="rId3" w:type="default"/>
      <w:footerReference r:id="rId4" w:type="default"/>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Light">
    <w:altName w:val="宋体"/>
    <w:panose1 w:val="00000000000000000000"/>
    <w:charset w:val="86"/>
    <w:family w:val="auto"/>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oNotHyphenateCaps/>
  <w:drawingGridVerticalSpacing w:val="200"/>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422B"/>
    <w:rsid w:val="00022303"/>
    <w:rsid w:val="0006610E"/>
    <w:rsid w:val="000B2F56"/>
    <w:rsid w:val="000C5291"/>
    <w:rsid w:val="0013003A"/>
    <w:rsid w:val="001C422B"/>
    <w:rsid w:val="001C59D3"/>
    <w:rsid w:val="00282D57"/>
    <w:rsid w:val="003A1EA8"/>
    <w:rsid w:val="00405D9D"/>
    <w:rsid w:val="004D5A5F"/>
    <w:rsid w:val="0087575D"/>
    <w:rsid w:val="0089538A"/>
    <w:rsid w:val="009076F2"/>
    <w:rsid w:val="009409E8"/>
    <w:rsid w:val="009F4151"/>
    <w:rsid w:val="00A06723"/>
    <w:rsid w:val="00A94C54"/>
    <w:rsid w:val="00B65985"/>
    <w:rsid w:val="00B70ACE"/>
    <w:rsid w:val="00C954F4"/>
    <w:rsid w:val="00DA67D7"/>
    <w:rsid w:val="00E15BA4"/>
    <w:rsid w:val="00E23B9D"/>
    <w:rsid w:val="00EA2427"/>
    <w:rsid w:val="00EA5380"/>
    <w:rsid w:val="00EC080A"/>
    <w:rsid w:val="00F17E5F"/>
    <w:rsid w:val="00F837B6"/>
    <w:rsid w:val="04B027AD"/>
    <w:rsid w:val="0563332F"/>
    <w:rsid w:val="116A2252"/>
    <w:rsid w:val="156A6985"/>
    <w:rsid w:val="188C247F"/>
    <w:rsid w:val="2F362AFE"/>
    <w:rsid w:val="33107397"/>
    <w:rsid w:val="34517477"/>
    <w:rsid w:val="3BA72C57"/>
    <w:rsid w:val="5420692E"/>
    <w:rsid w:val="659433E9"/>
    <w:rsid w:val="72095EAC"/>
    <w:rsid w:val="7F4863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0"/>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1"/>
    <w:qFormat/>
    <w:uiPriority w:val="99"/>
    <w:pPr>
      <w:keepNext/>
      <w:keepLines/>
      <w:spacing w:before="260" w:after="260" w:line="416" w:lineRule="auto"/>
      <w:outlineLvl w:val="1"/>
    </w:pPr>
    <w:rPr>
      <w:rFonts w:ascii="等线 Light" w:eastAsia="等线 Light" w:cs="等线 Light"/>
      <w:b/>
      <w:bCs/>
      <w:kern w:val="0"/>
      <w:sz w:val="32"/>
      <w:szCs w:val="32"/>
    </w:rPr>
  </w:style>
  <w:style w:type="paragraph" w:styleId="4">
    <w:name w:val="heading 3"/>
    <w:basedOn w:val="1"/>
    <w:next w:val="1"/>
    <w:link w:val="12"/>
    <w:qFormat/>
    <w:uiPriority w:val="99"/>
    <w:pPr>
      <w:keepNext/>
      <w:keepLines/>
      <w:spacing w:before="260" w:after="260" w:line="416" w:lineRule="auto"/>
      <w:outlineLvl w:val="2"/>
    </w:pPr>
    <w:rPr>
      <w:b/>
      <w:bCs/>
      <w:kern w:val="0"/>
      <w:sz w:val="32"/>
      <w:szCs w:val="32"/>
    </w:rPr>
  </w:style>
  <w:style w:type="character" w:default="1" w:styleId="8">
    <w:name w:val="Default Paragraph Font"/>
    <w:semiHidden/>
    <w:qFormat/>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5">
    <w:name w:val="Document Map"/>
    <w:basedOn w:val="1"/>
    <w:link w:val="13"/>
    <w:semiHidden/>
    <w:qFormat/>
    <w:uiPriority w:val="99"/>
    <w:rPr>
      <w:rFonts w:ascii="宋体" w:cs="宋体"/>
      <w:kern w:val="0"/>
      <w:sz w:val="20"/>
      <w:szCs w:val="20"/>
    </w:rPr>
  </w:style>
  <w:style w:type="paragraph" w:styleId="6">
    <w:name w:val="footer"/>
    <w:basedOn w:val="1"/>
    <w:link w:val="14"/>
    <w:qFormat/>
    <w:uiPriority w:val="99"/>
    <w:pPr>
      <w:tabs>
        <w:tab w:val="center" w:pos="4153"/>
        <w:tab w:val="right" w:pos="8306"/>
      </w:tabs>
      <w:snapToGrid w:val="0"/>
      <w:jc w:val="left"/>
    </w:pPr>
    <w:rPr>
      <w:kern w:val="0"/>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10">
    <w:name w:val="Heading 1 Char"/>
    <w:basedOn w:val="8"/>
    <w:link w:val="2"/>
    <w:qFormat/>
    <w:locked/>
    <w:uiPriority w:val="99"/>
    <w:rPr>
      <w:rFonts w:ascii="Times New Roman" w:hAnsi="Times New Roman" w:eastAsia="宋体" w:cs="Times New Roman"/>
      <w:b/>
      <w:bCs/>
      <w:kern w:val="44"/>
      <w:sz w:val="44"/>
      <w:szCs w:val="44"/>
    </w:rPr>
  </w:style>
  <w:style w:type="character" w:customStyle="1" w:styleId="11">
    <w:name w:val="Heading 2 Char"/>
    <w:basedOn w:val="8"/>
    <w:link w:val="3"/>
    <w:semiHidden/>
    <w:qFormat/>
    <w:locked/>
    <w:uiPriority w:val="99"/>
    <w:rPr>
      <w:rFonts w:ascii="等线 Light" w:eastAsia="等线 Light" w:cs="等线 Light"/>
      <w:b/>
      <w:bCs/>
      <w:sz w:val="32"/>
      <w:szCs w:val="32"/>
    </w:rPr>
  </w:style>
  <w:style w:type="character" w:customStyle="1" w:styleId="12">
    <w:name w:val="Heading 3 Char"/>
    <w:basedOn w:val="8"/>
    <w:link w:val="4"/>
    <w:semiHidden/>
    <w:qFormat/>
    <w:locked/>
    <w:uiPriority w:val="99"/>
    <w:rPr>
      <w:rFonts w:ascii="Times New Roman" w:hAnsi="Times New Roman" w:eastAsia="宋体" w:cs="Times New Roman"/>
      <w:b/>
      <w:bCs/>
      <w:sz w:val="32"/>
      <w:szCs w:val="32"/>
    </w:rPr>
  </w:style>
  <w:style w:type="character" w:customStyle="1" w:styleId="13">
    <w:name w:val="Document Map Char"/>
    <w:basedOn w:val="8"/>
    <w:link w:val="5"/>
    <w:semiHidden/>
    <w:qFormat/>
    <w:locked/>
    <w:uiPriority w:val="99"/>
    <w:rPr>
      <w:rFonts w:ascii="宋体" w:hAnsi="Times New Roman" w:eastAsia="宋体" w:cs="宋体"/>
    </w:rPr>
  </w:style>
  <w:style w:type="character" w:customStyle="1" w:styleId="14">
    <w:name w:val="Footer Char"/>
    <w:basedOn w:val="8"/>
    <w:link w:val="6"/>
    <w:qFormat/>
    <w:locked/>
    <w:uiPriority w:val="99"/>
    <w:rPr>
      <w:rFonts w:ascii="Times New Roman" w:hAnsi="Times New Roman" w:eastAsia="宋体" w:cs="Times New Roman"/>
      <w:sz w:val="18"/>
      <w:szCs w:val="18"/>
    </w:rPr>
  </w:style>
  <w:style w:type="character" w:customStyle="1" w:styleId="15">
    <w:name w:val="Header Char"/>
    <w:basedOn w:val="8"/>
    <w:link w:val="7"/>
    <w:qFormat/>
    <w:locked/>
    <w:uiPriority w:val="99"/>
    <w:rPr>
      <w:rFonts w:ascii="Times New Roman" w:hAnsi="Times New Roman" w:eastAsia="宋体" w:cs="Times New Roman"/>
      <w:sz w:val="18"/>
      <w:szCs w:val="18"/>
    </w:rPr>
  </w:style>
  <w:style w:type="character" w:customStyle="1" w:styleId="16">
    <w:name w:val="4.1.1 XX优惠 字符"/>
    <w:link w:val="17"/>
    <w:qFormat/>
    <w:locked/>
    <w:uiPriority w:val="99"/>
    <w:rPr>
      <w:rFonts w:ascii="Times New Roman" w:hAnsi="Times New Roman" w:eastAsia="黑体" w:cs="Times New Roman"/>
      <w:b/>
      <w:bCs/>
      <w:kern w:val="24"/>
      <w:sz w:val="28"/>
      <w:szCs w:val="28"/>
    </w:rPr>
  </w:style>
  <w:style w:type="paragraph" w:customStyle="1" w:styleId="17">
    <w:name w:val="4.1.1 XX优惠"/>
    <w:basedOn w:val="4"/>
    <w:link w:val="16"/>
    <w:qFormat/>
    <w:uiPriority w:val="99"/>
    <w:pPr>
      <w:keepLines w:val="0"/>
      <w:topLinePunct/>
      <w:adjustRightInd w:val="0"/>
      <w:snapToGrid w:val="0"/>
      <w:spacing w:before="0" w:afterLines="125" w:line="240" w:lineRule="auto"/>
      <w:ind w:firstLine="510"/>
    </w:pPr>
    <w:rPr>
      <w:rFonts w:eastAsia="黑体"/>
      <w:kern w:val="24"/>
      <w:sz w:val="28"/>
      <w:szCs w:val="28"/>
    </w:rPr>
  </w:style>
  <w:style w:type="character" w:customStyle="1" w:styleId="18">
    <w:name w:val="【事项描】 字符"/>
    <w:link w:val="19"/>
    <w:qFormat/>
    <w:locked/>
    <w:uiPriority w:val="99"/>
    <w:rPr>
      <w:rFonts w:ascii="宋体" w:eastAsia="宋体" w:cs="宋体"/>
      <w:b/>
      <w:bCs/>
    </w:rPr>
  </w:style>
  <w:style w:type="paragraph" w:customStyle="1" w:styleId="19">
    <w:name w:val="【事项描】"/>
    <w:basedOn w:val="1"/>
    <w:link w:val="18"/>
    <w:qFormat/>
    <w:uiPriority w:val="99"/>
    <w:pPr>
      <w:adjustRightInd w:val="0"/>
      <w:snapToGrid w:val="0"/>
      <w:spacing w:line="360" w:lineRule="auto"/>
      <w:ind w:firstLine="482" w:firstLineChars="200"/>
    </w:pPr>
    <w:rPr>
      <w:rFonts w:ascii="宋体" w:hAnsi="等线" w:cs="宋体"/>
      <w:b/>
      <w:bCs/>
      <w:kern w:val="0"/>
      <w:sz w:val="20"/>
      <w:szCs w:val="20"/>
    </w:rPr>
  </w:style>
  <w:style w:type="character" w:customStyle="1" w:styleId="20">
    <w:name w:val="4.1 XX优惠 字符"/>
    <w:link w:val="21"/>
    <w:qFormat/>
    <w:locked/>
    <w:uiPriority w:val="99"/>
    <w:rPr>
      <w:rFonts w:ascii="Arial" w:hAnsi="Arial" w:eastAsia="黑体" w:cs="Arial"/>
      <w:b/>
      <w:bCs/>
      <w:kern w:val="24"/>
      <w:sz w:val="32"/>
      <w:szCs w:val="32"/>
    </w:rPr>
  </w:style>
  <w:style w:type="paragraph" w:customStyle="1" w:styleId="21">
    <w:name w:val="4.1 XX优惠"/>
    <w:basedOn w:val="3"/>
    <w:link w:val="20"/>
    <w:qFormat/>
    <w:uiPriority w:val="99"/>
    <w:pPr>
      <w:topLinePunct/>
      <w:adjustRightInd w:val="0"/>
      <w:spacing w:before="660" w:line="240" w:lineRule="auto"/>
      <w:ind w:firstLine="510"/>
    </w:pPr>
    <w:rPr>
      <w:rFonts w:ascii="Arial" w:hAnsi="Arial" w:eastAsia="黑体" w:cs="Arial"/>
      <w:kern w:val="24"/>
    </w:rPr>
  </w:style>
  <w:style w:type="character" w:customStyle="1" w:styleId="22">
    <w:name w:val="正文正文 字符"/>
    <w:link w:val="23"/>
    <w:qFormat/>
    <w:locked/>
    <w:uiPriority w:val="99"/>
    <w:rPr>
      <w:rFonts w:ascii="宋体" w:eastAsia="宋体" w:cs="宋体"/>
    </w:rPr>
  </w:style>
  <w:style w:type="paragraph" w:customStyle="1" w:styleId="23">
    <w:name w:val="正文正文"/>
    <w:basedOn w:val="1"/>
    <w:link w:val="22"/>
    <w:qFormat/>
    <w:uiPriority w:val="99"/>
    <w:pPr>
      <w:adjustRightInd w:val="0"/>
      <w:snapToGrid w:val="0"/>
      <w:spacing w:line="360" w:lineRule="auto"/>
      <w:ind w:firstLine="480" w:firstLineChars="200"/>
    </w:pPr>
    <w:rPr>
      <w:rFonts w:ascii="宋体" w:hAnsi="等线" w:cs="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广西壮族自治区国家税务局</Company>
  <Pages>4</Pages>
  <Words>223</Words>
  <Characters>1276</Characters>
  <Lines>0</Lines>
  <Paragraphs>0</Paragraphs>
  <TotalTime>16</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2018-06-08T11:31:00Z</dcterms:created>
  <dc:creator>Microsoft Office 用户</dc:creator>
  <cp:lastModifiedBy>李树仍</cp:lastModifiedBy>
  <dcterms:modified xsi:type="dcterms:W3CDTF">2019-03-29T01:53:46Z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