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rPr>
          <w:color w:val="auto"/>
          <w:sz w:val="32"/>
          <w:szCs w:val="32"/>
          <w:highlight w:val="none"/>
        </w:rPr>
        <w:sectPr>
          <w:pgSz w:w="11906" w:h="16838"/>
          <w:pgMar w:top="1418" w:right="1418" w:bottom="1418" w:left="1418" w:header="851" w:footer="992" w:gutter="0"/>
          <w:cols w:num="1" w:space="720"/>
          <w:docGrid w:type="linesAndChars" w:linePitch="312" w:charSpace="0"/>
        </w:sectPr>
      </w:pPr>
    </w:p>
    <w:p>
      <w:pPr>
        <w:jc w:val="center"/>
        <w:rPr>
          <w:rFonts w:ascii="华文中宋" w:eastAsia="华文中宋" w:hAnsi="华文中宋" w:cs="华文中宋"/>
          <w:color w:val="auto"/>
          <w:sz w:val="48"/>
          <w:szCs w:val="48"/>
          <w:highlight w:val="none"/>
        </w:rPr>
      </w:pPr>
      <w:r>
        <w:rPr>
          <w:rFonts w:ascii="华文中宋" w:eastAsia="华文中宋" w:hAnsi="华文中宋" w:cs="华文中宋" w:hint="eastAsia"/>
          <w:color w:val="auto"/>
          <w:sz w:val="48"/>
          <w:szCs w:val="48"/>
          <w:highlight w:val="none"/>
          <w:lang w:val="zh-CN"/>
        </w:rPr>
        <w:t>目 录</w:t>
      </w:r>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hyperlink w:anchor="_Toc165809808" w:history="1">
        <w:r>
          <w:rPr>
            <w:rStyle w:val="Hyperlink"/>
            <w:rFonts w:asciiTheme="minorEastAsia" w:eastAsiaTheme="minorEastAsia" w:hAnsiTheme="minorEastAsia" w:cs="宋体" w:hint="eastAsia"/>
            <w:bCs/>
            <w:color w:val="auto"/>
            <w:sz w:val="28"/>
            <w:szCs w:val="28"/>
            <w:highlight w:val="none"/>
          </w:rPr>
          <w:t>第一章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投标邀请</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_Toc165809808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2</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09" w:history="1">
        <w:r>
          <w:rPr>
            <w:rStyle w:val="Hyperlink"/>
            <w:rFonts w:asciiTheme="minorEastAsia" w:eastAsiaTheme="minorEastAsia" w:hAnsiTheme="minorEastAsia" w:cs="宋体" w:hint="eastAsia"/>
            <w:bCs/>
            <w:color w:val="auto"/>
            <w:sz w:val="28"/>
            <w:szCs w:val="28"/>
            <w:highlight w:val="none"/>
          </w:rPr>
          <w:t>第二章　投标人须知</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_Toc165809809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5</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1" w:history="1">
        <w:r>
          <w:rPr>
            <w:rStyle w:val="Hyperlink"/>
            <w:rFonts w:asciiTheme="minorEastAsia" w:eastAsiaTheme="minorEastAsia" w:hAnsiTheme="minorEastAsia" w:cs="宋体" w:hint="eastAsia"/>
            <w:bCs/>
            <w:color w:val="auto"/>
            <w:sz w:val="28"/>
            <w:szCs w:val="28"/>
            <w:highlight w:val="none"/>
          </w:rPr>
          <w:t>第三章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评标方法及标准</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_Toc165809811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25</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2" w:history="1">
        <w:r>
          <w:rPr>
            <w:rStyle w:val="Hyperlink"/>
            <w:rFonts w:asciiTheme="minorEastAsia" w:eastAsiaTheme="minorEastAsia" w:hAnsiTheme="minorEastAsia" w:cs="宋体" w:hint="eastAsia"/>
            <w:bCs/>
            <w:color w:val="auto"/>
            <w:sz w:val="28"/>
            <w:szCs w:val="28"/>
            <w:highlight w:val="none"/>
          </w:rPr>
          <w:t>第四章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政府采购合同文本</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_Toc165809812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31</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3" w:history="1">
        <w:r>
          <w:rPr>
            <w:rStyle w:val="Hyperlink"/>
            <w:rFonts w:asciiTheme="minorEastAsia" w:eastAsiaTheme="minorEastAsia" w:hAnsiTheme="minorEastAsia" w:cs="宋体" w:hint="eastAsia"/>
            <w:bCs/>
            <w:color w:val="auto"/>
            <w:sz w:val="28"/>
            <w:szCs w:val="28"/>
            <w:highlight w:val="none"/>
          </w:rPr>
          <w:t>第五章　投标文件格式</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_Toc165809813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44</w:t>
        </w:r>
        <w:r>
          <w:rPr>
            <w:rFonts w:asciiTheme="minorEastAsia" w:eastAsiaTheme="minorEastAsia" w:hAnsiTheme="minorEastAsia"/>
            <w:color w:val="auto"/>
            <w:sz w:val="28"/>
            <w:szCs w:val="28"/>
            <w:highlight w:val="none"/>
          </w:rPr>
          <w:fldChar w:fldCharType="end"/>
        </w:r>
      </w:hyperlink>
    </w:p>
    <w:p>
      <w:pPr>
        <w:pStyle w:val="TOC1"/>
        <w:tabs>
          <w:tab w:val="right" w:leader="dot" w:pos="8392"/>
        </w:tabs>
        <w:spacing w:line="480" w:lineRule="auto"/>
        <w:rPr>
          <w:rFonts w:asciiTheme="minorEastAsia" w:eastAsiaTheme="minorEastAsia" w:hAnsiTheme="minorEastAsia" w:cstheme="minorBidi"/>
          <w:color w:val="auto"/>
          <w:sz w:val="28"/>
          <w:szCs w:val="28"/>
          <w:highlight w:val="none"/>
        </w:rPr>
      </w:pPr>
      <w:hyperlink w:anchor="_Toc165809814" w:history="1">
        <w:r>
          <w:rPr>
            <w:rStyle w:val="Hyperlink"/>
            <w:rFonts w:asciiTheme="minorEastAsia" w:eastAsiaTheme="minorEastAsia" w:hAnsiTheme="minorEastAsia" w:cs="宋体" w:hint="eastAsia"/>
            <w:bCs/>
            <w:color w:val="auto"/>
            <w:sz w:val="28"/>
            <w:szCs w:val="28"/>
            <w:highlight w:val="none"/>
          </w:rPr>
          <w:t>第六章</w:t>
        </w:r>
        <w:r>
          <w:rPr>
            <w:rStyle w:val="Hyperlink"/>
            <w:rFonts w:asciiTheme="minorEastAsia" w:eastAsiaTheme="minorEastAsia" w:hAnsiTheme="minorEastAsia" w:cs="宋体"/>
            <w:bCs/>
            <w:color w:val="auto"/>
            <w:sz w:val="28"/>
            <w:szCs w:val="28"/>
            <w:highlight w:val="none"/>
          </w:rPr>
          <w:t xml:space="preserve">  </w:t>
        </w:r>
        <w:r>
          <w:rPr>
            <w:rStyle w:val="Hyperlink"/>
            <w:rFonts w:asciiTheme="minorEastAsia" w:eastAsiaTheme="minorEastAsia" w:hAnsiTheme="minorEastAsia" w:cs="宋体" w:hint="eastAsia"/>
            <w:bCs/>
            <w:color w:val="auto"/>
            <w:sz w:val="28"/>
            <w:szCs w:val="28"/>
            <w:highlight w:val="none"/>
          </w:rPr>
          <w:t>项目采购需求</w:t>
        </w:r>
        <w:r>
          <w:rPr>
            <w:rFonts w:asciiTheme="minorEastAsia" w:eastAsiaTheme="minorEastAsia" w:hAnsiTheme="minorEastAsia"/>
            <w:color w:val="auto"/>
            <w:sz w:val="28"/>
            <w:szCs w:val="28"/>
            <w:highlight w:val="none"/>
          </w:rPr>
          <w:tab/>
        </w:r>
        <w:r>
          <w:rPr>
            <w:rFonts w:asciiTheme="minorEastAsia" w:eastAsiaTheme="minorEastAsia" w:hAnsiTheme="minorEastAsia"/>
            <w:color w:val="auto"/>
            <w:sz w:val="28"/>
            <w:szCs w:val="28"/>
            <w:highlight w:val="none"/>
          </w:rPr>
          <w:fldChar w:fldCharType="begin"/>
        </w:r>
        <w:r>
          <w:rPr>
            <w:rFonts w:asciiTheme="minorEastAsia" w:eastAsiaTheme="minorEastAsia" w:hAnsiTheme="minorEastAsia"/>
            <w:color w:val="auto"/>
            <w:sz w:val="28"/>
            <w:szCs w:val="28"/>
            <w:highlight w:val="none"/>
          </w:rPr>
          <w:instrText xml:space="preserve"> PAGEREF _Toc165809814 \h </w:instrText>
        </w:r>
        <w:r>
          <w:rPr>
            <w:rFonts w:asciiTheme="minorEastAsia" w:eastAsiaTheme="minorEastAsia" w:hAnsiTheme="minorEastAsia"/>
            <w:color w:val="auto"/>
            <w:sz w:val="28"/>
            <w:szCs w:val="28"/>
            <w:highlight w:val="none"/>
          </w:rPr>
          <w:fldChar w:fldCharType="separate"/>
        </w:r>
        <w:r>
          <w:rPr>
            <w:rFonts w:asciiTheme="minorEastAsia" w:eastAsiaTheme="minorEastAsia" w:hAnsiTheme="minorEastAsia"/>
            <w:color w:val="auto"/>
            <w:sz w:val="28"/>
            <w:szCs w:val="28"/>
            <w:highlight w:val="none"/>
          </w:rPr>
          <w:t>72</w:t>
        </w:r>
        <w:r>
          <w:rPr>
            <w:rFonts w:asciiTheme="minorEastAsia" w:eastAsiaTheme="minorEastAsia" w:hAnsiTheme="minorEastAsia"/>
            <w:color w:val="auto"/>
            <w:sz w:val="28"/>
            <w:szCs w:val="28"/>
            <w:highlight w:val="none"/>
          </w:rPr>
          <w:fldChar w:fldCharType="end"/>
        </w:r>
      </w:hyperlink>
    </w:p>
    <w:p>
      <w:pPr>
        <w:rPr>
          <w:color w:val="auto"/>
          <w:highlight w:val="none"/>
        </w:rPr>
      </w:pPr>
      <w:r>
        <w:rPr>
          <w:color w:val="auto"/>
          <w:highlight w:val="none"/>
        </w:rPr>
        <w:fldChar w:fldCharType="end"/>
      </w:r>
    </w:p>
    <w:p>
      <w:pPr>
        <w:pStyle w:val="BodyText"/>
        <w:rPr>
          <w:rFonts w:cs="宋体"/>
          <w:b w:val="0"/>
          <w:bCs/>
          <w:color w:val="auto"/>
          <w:sz w:val="28"/>
          <w:szCs w:val="28"/>
          <w:highlight w:val="none"/>
        </w:rPr>
        <w:sectPr>
          <w:headerReference w:type="even" r:id="rId5"/>
          <w:footerReference w:type="even" r:id="rId6"/>
          <w:footerReference w:type="default" r:id="rId7"/>
          <w:footerReference w:type="first" r:id="rId8"/>
          <w:pgSz w:w="11906" w:h="16838"/>
          <w:pgMar w:top="1418" w:right="1418" w:bottom="1418" w:left="1418" w:header="851" w:footer="992" w:gutter="0"/>
          <w:pgNumType w:start="1"/>
          <w:cols w:num="1" w:space="720"/>
          <w:titlePg/>
          <w:docGrid w:type="linesAndChars" w:linePitch="312" w:charSpace="0"/>
        </w:sectPr>
      </w:pPr>
      <w:r>
        <w:rPr>
          <w:rFonts w:cs="宋体"/>
          <w:b w:val="0"/>
          <w:bCs/>
          <w:color w:val="auto"/>
          <w:sz w:val="28"/>
          <w:szCs w:val="28"/>
          <w:highlight w:val="none"/>
        </w:rPr>
        <w:br w:type="page"/>
      </w: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（商务部分）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ind w:firstLine="300" w:firstLineChars="100"/>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widowControl/>
        <w:jc w:val="left"/>
        <w:rPr>
          <w:rFonts w:cs="宋体"/>
          <w:b/>
          <w:bCs/>
          <w:color w:val="auto"/>
          <w:sz w:val="28"/>
          <w:szCs w:val="28"/>
          <w:highlight w:val="none"/>
        </w:rPr>
      </w:pP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第一章  投标邀请</w:t>
      </w:r>
    </w:p>
    <w:p>
      <w:pPr>
        <w:pBdr>
          <w:top w:val="single" w:sz="4" w:space="1" w:color="auto"/>
          <w:left w:val="single" w:sz="4" w:space="4" w:color="auto"/>
          <w:bottom w:val="single" w:sz="4" w:space="1" w:color="auto"/>
          <w:right w:val="single" w:sz="4" w:space="4" w:color="auto"/>
        </w:pBdr>
        <w:spacing w:line="360" w:lineRule="auto"/>
        <w:rPr>
          <w:rFonts w:ascii="宋体" w:hAnsi="宋体"/>
          <w:color w:val="auto"/>
          <w:szCs w:val="21"/>
          <w:highlight w:val="none"/>
        </w:rPr>
      </w:pPr>
      <w:r>
        <w:rPr>
          <w:rFonts w:ascii="宋体" w:hAnsi="宋体" w:hint="eastAsia"/>
          <w:color w:val="auto"/>
          <w:szCs w:val="21"/>
          <w:highlight w:val="none"/>
        </w:rPr>
        <w:t>项目概况</w:t>
      </w:r>
    </w:p>
    <w:p>
      <w:pPr>
        <w:pBdr>
          <w:top w:val="single" w:sz="4" w:space="1" w:color="auto"/>
          <w:left w:val="single" w:sz="4" w:space="4" w:color="auto"/>
          <w:bottom w:val="single" w:sz="4" w:space="1" w:color="auto"/>
          <w:right w:val="single" w:sz="4" w:space="4" w:color="auto"/>
        </w:pBdr>
        <w:spacing w:line="360" w:lineRule="auto"/>
        <w:ind w:firstLine="420" w:firstLineChars="200"/>
        <w:rPr>
          <w:rFonts w:ascii="宋体" w:hAnsi="宋体"/>
          <w:color w:val="auto"/>
          <w:szCs w:val="21"/>
          <w:highlight w:val="none"/>
        </w:rPr>
      </w:pPr>
      <w:r>
        <w:rPr>
          <w:rFonts w:ascii="宋体" w:hAnsi="宋体" w:hint="eastAsia"/>
          <w:color w:val="auto"/>
          <w:szCs w:val="21"/>
          <w:highlight w:val="none"/>
          <w:u w:val="single"/>
        </w:rPr>
        <w:t>国家税务总局北流市税务局物业管理服务项目</w:t>
      </w:r>
      <w:r>
        <w:rPr>
          <w:rFonts w:ascii="宋体" w:hAnsi="宋体" w:cs="宋体" w:hint="eastAsia"/>
          <w:color w:val="auto"/>
          <w:szCs w:val="21"/>
          <w:highlight w:val="none"/>
        </w:rPr>
        <w:t>招标项目</w:t>
      </w:r>
      <w:r>
        <w:rPr>
          <w:rFonts w:ascii="宋体" w:hAnsi="宋体" w:hint="eastAsia"/>
          <w:color w:val="auto"/>
          <w:szCs w:val="21"/>
          <w:highlight w:val="none"/>
        </w:rPr>
        <w:t>的潜在投标人</w:t>
      </w:r>
      <w:r>
        <w:rPr>
          <w:rFonts w:ascii="宋体" w:hAnsi="宋体" w:cs="宋体" w:hint="eastAsia"/>
          <w:color w:val="auto"/>
          <w:szCs w:val="21"/>
          <w:highlight w:val="none"/>
        </w:rPr>
        <w:t>应在</w:t>
      </w:r>
      <w:r>
        <w:rPr>
          <w:rFonts w:ascii="宋体" w:hAnsi="宋体" w:cs="宋体" w:hint="eastAsia"/>
          <w:color w:val="auto"/>
          <w:szCs w:val="21"/>
          <w:highlight w:val="none"/>
          <w:u w:val="single"/>
        </w:rPr>
        <w:t>国家税务总局政府采购评审管理系统</w:t>
      </w:r>
      <w:r>
        <w:rPr>
          <w:rFonts w:ascii="宋体" w:hAnsi="宋体" w:hint="eastAsia"/>
          <w:color w:val="auto"/>
          <w:szCs w:val="21"/>
          <w:highlight w:val="none"/>
        </w:rPr>
        <w:t>获取招标文件，并于</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日9</w:t>
      </w:r>
      <w:r>
        <w:rPr>
          <w:rFonts w:ascii="宋体" w:hAnsi="宋体" w:hint="eastAsia"/>
          <w:bCs/>
          <w:color w:val="auto"/>
          <w:szCs w:val="21"/>
          <w:highlight w:val="none"/>
          <w:u w:val="single"/>
        </w:rPr>
        <w:t>点</w:t>
      </w:r>
      <w:r>
        <w:rPr>
          <w:rFonts w:ascii="宋体" w:hAnsi="宋体"/>
          <w:bCs/>
          <w:color w:val="auto"/>
          <w:szCs w:val="21"/>
          <w:highlight w:val="none"/>
          <w:u w:val="single"/>
        </w:rPr>
        <w:t>30</w:t>
      </w:r>
      <w:r>
        <w:rPr>
          <w:rFonts w:ascii="宋体" w:hAnsi="宋体" w:hint="eastAsia"/>
          <w:bCs/>
          <w:color w:val="auto"/>
          <w:szCs w:val="21"/>
          <w:highlight w:val="none"/>
          <w:u w:val="single"/>
        </w:rPr>
        <w:t>分</w:t>
      </w:r>
      <w:r>
        <w:rPr>
          <w:rFonts w:ascii="宋体" w:hAnsi="宋体" w:hint="eastAsia"/>
          <w:bCs/>
          <w:color w:val="auto"/>
          <w:szCs w:val="21"/>
          <w:highlight w:val="none"/>
        </w:rPr>
        <w:t>（北京时间）前递交投标文件</w:t>
      </w:r>
      <w:r>
        <w:rPr>
          <w:rFonts w:ascii="宋体" w:hAnsi="宋体" w:hint="eastAsia"/>
          <w:color w:val="auto"/>
          <w:szCs w:val="21"/>
          <w:highlight w:val="none"/>
        </w:rPr>
        <w:t>。</w:t>
      </w:r>
    </w:p>
    <w:p>
      <w:pPr>
        <w:spacing w:before="156" w:beforeLines="50" w:line="360" w:lineRule="auto"/>
        <w:rPr>
          <w:rFonts w:ascii="宋体" w:hAnsi="宋体"/>
          <w:color w:val="auto"/>
          <w:szCs w:val="21"/>
          <w:highlight w:val="none"/>
        </w:rPr>
      </w:pPr>
      <w:r>
        <w:rPr>
          <w:rFonts w:ascii="宋体" w:hAnsi="宋体" w:hint="eastAsia"/>
          <w:color w:val="auto"/>
          <w:szCs w:val="21"/>
          <w:highlight w:val="none"/>
        </w:rPr>
        <w:t>一、项目基本情况</w:t>
      </w:r>
    </w:p>
    <w:p>
      <w:pPr>
        <w:spacing w:line="360" w:lineRule="auto"/>
        <w:ind w:firstLine="420" w:firstLineChars="200"/>
        <w:rPr>
          <w:rFonts w:ascii="宋体" w:eastAsia="宋体" w:hAnsi="宋体" w:hint="eastAsia"/>
          <w:color w:val="auto"/>
          <w:szCs w:val="21"/>
          <w:highlight w:val="none"/>
          <w:lang w:eastAsia="zh-CN"/>
        </w:rPr>
      </w:pPr>
      <w:r>
        <w:rPr>
          <w:rFonts w:ascii="宋体" w:hAnsi="宋体" w:hint="eastAsia"/>
          <w:color w:val="auto"/>
          <w:szCs w:val="21"/>
          <w:highlight w:val="none"/>
        </w:rPr>
        <w:t>项目编号：</w:t>
      </w:r>
      <w:r>
        <w:rPr>
          <w:rFonts w:ascii="宋体" w:hAnsi="宋体" w:hint="eastAsia"/>
          <w:color w:val="auto"/>
          <w:szCs w:val="21"/>
          <w:highlight w:val="none"/>
          <w:lang w:eastAsia="zh-CN"/>
        </w:rPr>
        <w:t>GX2024-ZXGK-C0040-B00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项目名称：国家税务总局北流市税务局物业管理服务项目</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预算金额：</w:t>
      </w: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；预算总金额为人民币（大写）伍佰零贰万元整（¥5,020,000.00）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最高限价：</w:t>
      </w: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；最高限价总金额为人民币（大写）伍佰零贰万元整（¥5,020,000.00）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采购需求：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合同履行期限：2年。</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本项目不接受联合体投标。</w:t>
      </w:r>
    </w:p>
    <w:p>
      <w:pPr>
        <w:spacing w:line="360" w:lineRule="auto"/>
        <w:rPr>
          <w:rFonts w:ascii="宋体" w:hAnsi="宋体"/>
          <w:color w:val="auto"/>
          <w:szCs w:val="21"/>
          <w:highlight w:val="none"/>
        </w:rPr>
      </w:pPr>
      <w:r>
        <w:rPr>
          <w:rFonts w:ascii="宋体" w:hAnsi="宋体" w:hint="eastAsia"/>
          <w:color w:val="auto"/>
          <w:szCs w:val="21"/>
          <w:highlight w:val="none"/>
        </w:rPr>
        <w:t>二、申请人的资格要求</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本项目属于专门面向小微企业采购的项目,供应商应为小微企业、监狱企业、残疾人福利性单位</w:t>
      </w:r>
      <w:r>
        <w:rPr>
          <w:rFonts w:asciiTheme="minorEastAsia" w:eastAsiaTheme="minorEastAsia" w:hAnsiTheme="minorEastAsia" w:hint="eastAsia"/>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p>
      <w:pPr>
        <w:spacing w:line="360" w:lineRule="auto"/>
        <w:rPr>
          <w:rFonts w:ascii="宋体" w:hAnsi="宋体"/>
          <w:color w:val="auto"/>
          <w:szCs w:val="21"/>
          <w:highlight w:val="none"/>
        </w:rPr>
      </w:pPr>
      <w:r>
        <w:rPr>
          <w:rFonts w:ascii="宋体" w:hAnsi="宋体" w:hint="eastAsia"/>
          <w:color w:val="auto"/>
          <w:szCs w:val="21"/>
          <w:highlight w:val="none"/>
        </w:rPr>
        <w:t>三、获取招标文件</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时间：</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7</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至</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17</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，每天上午</w:t>
      </w:r>
      <w:r>
        <w:rPr>
          <w:rFonts w:asciiTheme="minorEastAsia" w:eastAsiaTheme="minorEastAsia" w:hAnsiTheme="minorEastAsia" w:cs="宋体" w:hint="eastAsia"/>
          <w:color w:val="auto"/>
          <w:szCs w:val="21"/>
          <w:highlight w:val="none"/>
          <w:u w:val="single"/>
        </w:rPr>
        <w:t>8</w:t>
      </w:r>
      <w:r>
        <w:rPr>
          <w:rFonts w:asciiTheme="minorEastAsia" w:eastAsiaTheme="minorEastAsia" w:hAnsiTheme="minorEastAsia" w:cs="宋体"/>
          <w:color w:val="auto"/>
          <w:szCs w:val="21"/>
          <w:highlight w:val="none"/>
          <w:u w:val="single"/>
        </w:rPr>
        <w:t>:00</w:t>
      </w:r>
      <w:r>
        <w:rPr>
          <w:rFonts w:asciiTheme="minorEastAsia" w:eastAsiaTheme="minorEastAsia" w:hAnsiTheme="minorEastAsia" w:cs="宋体" w:hint="eastAsia"/>
          <w:color w:val="auto"/>
          <w:szCs w:val="21"/>
          <w:highlight w:val="none"/>
        </w:rPr>
        <w:t>至</w:t>
      </w:r>
      <w:r>
        <w:rPr>
          <w:rFonts w:asciiTheme="minorEastAsia" w:eastAsiaTheme="minorEastAsia" w:hAnsiTheme="minorEastAsia" w:cs="宋体"/>
          <w:color w:val="auto"/>
          <w:szCs w:val="21"/>
          <w:highlight w:val="none"/>
          <w:u w:val="single"/>
        </w:rPr>
        <w:t>12:00</w:t>
      </w:r>
      <w:r>
        <w:rPr>
          <w:rFonts w:ascii="宋体" w:hAnsi="宋体" w:cs="宋体" w:hint="eastAsia"/>
          <w:color w:val="auto"/>
          <w:szCs w:val="21"/>
          <w:highlight w:val="none"/>
        </w:rPr>
        <w:t>，下午</w:t>
      </w:r>
      <w:r>
        <w:rPr>
          <w:rFonts w:asciiTheme="minorEastAsia" w:eastAsiaTheme="minorEastAsia" w:hAnsiTheme="minorEastAsia" w:cs="宋体" w:hint="eastAsia"/>
          <w:color w:val="auto"/>
          <w:szCs w:val="21"/>
          <w:highlight w:val="none"/>
          <w:u w:val="single"/>
          <w:lang w:val="en-US" w:eastAsia="zh-CN"/>
        </w:rPr>
        <w:t>3</w:t>
      </w:r>
      <w:r>
        <w:rPr>
          <w:rFonts w:asciiTheme="minorEastAsia" w:eastAsiaTheme="minorEastAsia" w:hAnsiTheme="minorEastAsia" w:cs="宋体"/>
          <w:color w:val="auto"/>
          <w:szCs w:val="21"/>
          <w:highlight w:val="none"/>
          <w:u w:val="single"/>
        </w:rPr>
        <w:t>:00</w:t>
      </w:r>
      <w:r>
        <w:rPr>
          <w:rFonts w:asciiTheme="minorEastAsia" w:eastAsiaTheme="minorEastAsia" w:hAnsiTheme="minorEastAsia" w:cs="宋体" w:hint="eastAsia"/>
          <w:color w:val="auto"/>
          <w:szCs w:val="21"/>
          <w:highlight w:val="none"/>
        </w:rPr>
        <w:t>至</w:t>
      </w:r>
      <w:r>
        <w:rPr>
          <w:rFonts w:asciiTheme="minorEastAsia" w:eastAsiaTheme="minorEastAsia" w:hAnsiTheme="minorEastAsia" w:cs="宋体" w:hint="eastAsia"/>
          <w:color w:val="auto"/>
          <w:szCs w:val="21"/>
          <w:highlight w:val="none"/>
          <w:u w:val="single"/>
          <w:lang w:val="en-US" w:eastAsia="zh-CN"/>
        </w:rPr>
        <w:t>6</w:t>
      </w:r>
      <w:r>
        <w:rPr>
          <w:rFonts w:asciiTheme="minorEastAsia" w:eastAsiaTheme="minorEastAsia" w:hAnsiTheme="minorEastAsia" w:cs="宋体"/>
          <w:color w:val="auto"/>
          <w:szCs w:val="21"/>
          <w:highlight w:val="none"/>
          <w:u w:val="single"/>
        </w:rPr>
        <w:t>:</w:t>
      </w:r>
      <w:r>
        <w:rPr>
          <w:rFonts w:asciiTheme="minorEastAsia" w:eastAsiaTheme="minorEastAsia" w:hAnsiTheme="minorEastAsia" w:cs="宋体" w:hint="eastAsia"/>
          <w:color w:val="auto"/>
          <w:szCs w:val="21"/>
          <w:highlight w:val="none"/>
          <w:u w:val="single"/>
        </w:rPr>
        <w:t>0</w:t>
      </w:r>
      <w:r>
        <w:rPr>
          <w:rFonts w:asciiTheme="minorEastAsia" w:eastAsiaTheme="minorEastAsia" w:hAnsiTheme="minorEastAsia" w:cs="宋体"/>
          <w:color w:val="auto"/>
          <w:szCs w:val="21"/>
          <w:highlight w:val="none"/>
          <w:u w:val="single"/>
        </w:rPr>
        <w:t>0</w:t>
      </w:r>
      <w:r>
        <w:rPr>
          <w:rFonts w:ascii="宋体" w:hAnsi="宋体" w:cs="宋体" w:hint="eastAsia"/>
          <w:color w:val="auto"/>
          <w:szCs w:val="21"/>
          <w:highlight w:val="none"/>
        </w:rPr>
        <w:t>（北京时间，法定节假日除外）</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地点：国家税务总局政府采购评审管理系统</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方式：在线下载</w:t>
      </w:r>
      <w:r>
        <w:rPr>
          <w:rFonts w:ascii="宋体" w:hAnsi="宋体" w:cs="宋体"/>
          <w:color w:val="auto"/>
          <w:szCs w:val="21"/>
          <w:highlight w:val="none"/>
        </w:rPr>
        <w:t xml:space="preserve"> </w:t>
      </w:r>
    </w:p>
    <w:p>
      <w:pPr>
        <w:spacing w:line="360" w:lineRule="auto"/>
        <w:ind w:firstLine="540"/>
        <w:rPr>
          <w:rFonts w:ascii="宋体" w:hAnsi="宋体" w:cs="宋体"/>
          <w:color w:val="auto"/>
          <w:szCs w:val="21"/>
          <w:highlight w:val="none"/>
        </w:rPr>
      </w:pPr>
      <w:r>
        <w:rPr>
          <w:rFonts w:ascii="宋体" w:hAnsi="宋体" w:cs="宋体"/>
          <w:color w:val="auto"/>
          <w:szCs w:val="21"/>
          <w:highlight w:val="none"/>
        </w:rPr>
        <w:t>售价</w:t>
      </w:r>
      <w:r>
        <w:rPr>
          <w:rFonts w:ascii="宋体" w:hAnsi="宋体" w:cs="宋体" w:hint="eastAsia"/>
          <w:color w:val="auto"/>
          <w:szCs w:val="21"/>
          <w:highlight w:val="none"/>
        </w:rPr>
        <w:t>：免费</w:t>
      </w:r>
    </w:p>
    <w:p>
      <w:pPr>
        <w:spacing w:line="360" w:lineRule="auto"/>
        <w:rPr>
          <w:rFonts w:ascii="宋体" w:hAnsi="宋体"/>
          <w:color w:val="auto"/>
          <w:szCs w:val="21"/>
          <w:highlight w:val="none"/>
        </w:rPr>
      </w:pPr>
      <w:r>
        <w:rPr>
          <w:rFonts w:ascii="宋体" w:hAnsi="宋体" w:hint="eastAsia"/>
          <w:color w:val="auto"/>
          <w:szCs w:val="21"/>
          <w:highlight w:val="none"/>
        </w:rPr>
        <w:t>四、提交投标文件截止时间、开标时间和地点</w:t>
      </w:r>
    </w:p>
    <w:p>
      <w:pPr>
        <w:spacing w:line="360" w:lineRule="auto"/>
        <w:ind w:firstLine="420" w:firstLineChars="200"/>
        <w:rPr>
          <w:rFonts w:ascii="宋体" w:hAnsi="宋体"/>
          <w:bCs/>
          <w:color w:val="auto"/>
          <w:szCs w:val="21"/>
          <w:highlight w:val="none"/>
        </w:rPr>
      </w:pPr>
      <w:r>
        <w:rPr>
          <w:rFonts w:ascii="宋体" w:hAnsi="宋体" w:hint="eastAsia"/>
          <w:bCs/>
          <w:color w:val="auto"/>
          <w:szCs w:val="21"/>
          <w:highlight w:val="none"/>
        </w:rPr>
        <w:t>1.投标文件递交截止时间及开标时间：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ascii="宋体" w:hAnsi="宋体" w:hint="eastAsia"/>
          <w:bCs/>
          <w:color w:val="auto"/>
          <w:szCs w:val="21"/>
          <w:highlight w:val="none"/>
        </w:rPr>
        <w:t>.地点：本项目采用国家税务总局政府采购评审管理系统进行网上投标、开标。</w:t>
      </w:r>
    </w:p>
    <w:p>
      <w:pPr>
        <w:spacing w:line="360" w:lineRule="auto"/>
        <w:rPr>
          <w:rFonts w:ascii="宋体" w:hAnsi="宋体"/>
          <w:color w:val="auto"/>
          <w:szCs w:val="21"/>
          <w:highlight w:val="none"/>
        </w:rPr>
      </w:pPr>
      <w:r>
        <w:rPr>
          <w:rFonts w:ascii="宋体" w:hAnsi="宋体" w:hint="eastAsia"/>
          <w:color w:val="auto"/>
          <w:szCs w:val="21"/>
          <w:highlight w:val="none"/>
        </w:rPr>
        <w:t>五、公告期限</w:t>
      </w:r>
    </w:p>
    <w:p>
      <w:pPr>
        <w:spacing w:line="360" w:lineRule="auto"/>
        <w:ind w:firstLine="420" w:firstLineChars="200"/>
        <w:rPr>
          <w:rFonts w:ascii="宋体" w:hAnsi="宋体" w:cs="宋体"/>
          <w:color w:val="auto"/>
          <w:kern w:val="0"/>
          <w:szCs w:val="21"/>
          <w:highlight w:val="none"/>
        </w:rPr>
      </w:pPr>
      <w:r>
        <w:rPr>
          <w:rFonts w:ascii="宋体" w:hAnsi="宋体" w:cs="宋体" w:hint="eastAsia"/>
          <w:color w:val="auto"/>
          <w:kern w:val="0"/>
          <w:szCs w:val="21"/>
          <w:highlight w:val="none"/>
        </w:rPr>
        <w:t>自本公告发布之日起5个工作日。</w:t>
      </w:r>
    </w:p>
    <w:p>
      <w:pPr>
        <w:spacing w:line="360" w:lineRule="auto"/>
        <w:rPr>
          <w:rFonts w:ascii="宋体" w:hAnsi="宋体"/>
          <w:color w:val="auto"/>
          <w:szCs w:val="21"/>
          <w:highlight w:val="none"/>
        </w:rPr>
      </w:pPr>
      <w:r>
        <w:rPr>
          <w:rFonts w:ascii="宋体" w:hAnsi="宋体" w:hint="eastAsia"/>
          <w:color w:val="auto"/>
          <w:szCs w:val="21"/>
          <w:highlight w:val="none"/>
        </w:rPr>
        <w:t>六、其他补充事宜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4.供应商在国家税务总局集中采购中心网站“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6.供应商在投标过程中涉及系统操作的技术问题，可致电系统服务热线：15195887725。</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7.公告媒体：中国政府采购网（www.ccgp.gov.cn）、国家税务总局集中采购中心网站（https://swcg.chinatax.gov.cn）、国家税务总局广西壮族自治区税务局玉林市频道（</w:t>
      </w:r>
      <w:r>
        <w:rPr>
          <w:rFonts w:ascii="宋体" w:hAnsi="宋体"/>
          <w:color w:val="auto"/>
          <w:szCs w:val="21"/>
          <w:highlight w:val="none"/>
        </w:rPr>
        <w:t>https://guangxi.chinatax.gov.cn/yulin/</w:t>
      </w:r>
      <w:r>
        <w:rPr>
          <w:rFonts w:ascii="宋体" w:hAnsi="宋体" w:hint="eastAsia"/>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8.本项目需要落实的政府采购政策：（1）政府采购促进中小企业发展政策；（2）政府采购促进残疾人就业政策；（3）政府采购支持监狱企业发展政策。</w:t>
      </w:r>
    </w:p>
    <w:p>
      <w:pPr>
        <w:spacing w:line="360" w:lineRule="auto"/>
        <w:rPr>
          <w:rFonts w:ascii="宋体" w:hAnsi="宋体"/>
          <w:color w:val="auto"/>
          <w:szCs w:val="21"/>
          <w:highlight w:val="none"/>
        </w:rPr>
      </w:pPr>
      <w:r>
        <w:rPr>
          <w:rFonts w:ascii="宋体" w:hAnsi="宋体" w:hint="eastAsia"/>
          <w:color w:val="auto"/>
          <w:szCs w:val="21"/>
          <w:highlight w:val="none"/>
        </w:rPr>
        <w:t>七、对本次招标提出询问，请按以下方式联系。</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1.采购人信息</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名称：</w:t>
      </w:r>
      <w:r>
        <w:rPr>
          <w:rFonts w:asciiTheme="minorEastAsia" w:eastAsiaTheme="minorEastAsia" w:hAnsiTheme="minorEastAsia" w:hint="eastAsia"/>
          <w:color w:val="auto"/>
          <w:szCs w:val="21"/>
          <w:highlight w:val="none"/>
          <w:u w:val="single"/>
        </w:rPr>
        <w:t>国家税务总局北流市税务局</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地址：</w:t>
      </w:r>
      <w:r>
        <w:rPr>
          <w:rFonts w:asciiTheme="minorEastAsia" w:eastAsiaTheme="minorEastAsia" w:hAnsiTheme="minorEastAsia" w:hint="eastAsia"/>
          <w:color w:val="auto"/>
          <w:szCs w:val="21"/>
          <w:highlight w:val="none"/>
          <w:u w:val="single"/>
        </w:rPr>
        <w:t>北流市新松路0031号</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联系方式：</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2.采购代理机构信息：无。</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3.项目联系方式</w:t>
      </w:r>
    </w:p>
    <w:p>
      <w:pPr>
        <w:widowControl/>
        <w:spacing w:line="360" w:lineRule="auto"/>
        <w:ind w:firstLine="420" w:firstLineChars="200"/>
        <w:jc w:val="left"/>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项目联系人：</w:t>
      </w:r>
      <w:r>
        <w:rPr>
          <w:rFonts w:ascii="宋体" w:hAnsi="宋体" w:hint="eastAsia"/>
          <w:color w:val="auto"/>
          <w:szCs w:val="21"/>
          <w:highlight w:val="none"/>
          <w:u w:val="single"/>
        </w:rPr>
        <w:t>宁冰</w:t>
      </w:r>
    </w:p>
    <w:p>
      <w:pPr>
        <w:widowControl/>
        <w:spacing w:line="360" w:lineRule="auto"/>
        <w:ind w:firstLine="420" w:firstLineChars="200"/>
        <w:jc w:val="left"/>
        <w:rPr>
          <w:rFonts w:ascii="宋体" w:eastAsia="宋体" w:hAnsi="宋体" w:hint="eastAsia"/>
          <w:color w:val="auto"/>
          <w:szCs w:val="21"/>
          <w:highlight w:val="none"/>
          <w:u w:val="single"/>
          <w:lang w:val="en-US" w:eastAsia="zh-CN"/>
        </w:rPr>
      </w:pPr>
      <w:r>
        <w:rPr>
          <w:rFonts w:ascii="宋体" w:hAnsi="宋体" w:cs="宋体" w:hint="eastAsia"/>
          <w:color w:val="auto"/>
          <w:szCs w:val="21"/>
          <w:highlight w:val="none"/>
        </w:rPr>
        <w:t>电　话：</w:t>
      </w:r>
      <w:r>
        <w:rPr>
          <w:rFonts w:ascii="宋体" w:hAnsi="宋体" w:hint="eastAsia"/>
          <w:color w:val="auto"/>
          <w:szCs w:val="21"/>
          <w:highlight w:val="none"/>
          <w:u w:val="single"/>
        </w:rPr>
        <w:t>0771-5562212</w:t>
      </w:r>
    </w:p>
    <w:p>
      <w:pPr>
        <w:spacing w:line="360" w:lineRule="auto"/>
        <w:rPr>
          <w:color w:val="auto"/>
          <w:highlight w:val="none"/>
        </w:rPr>
      </w:pPr>
    </w:p>
    <w:p>
      <w:pPr>
        <w:spacing w:line="360" w:lineRule="auto"/>
        <w:rPr>
          <w:color w:val="auto"/>
          <w:highlight w:val="none"/>
        </w:rPr>
        <w:sectPr>
          <w:footerReference w:type="first" r:id="rId9"/>
          <w:pgSz w:w="11906" w:h="16838"/>
          <w:pgMar w:top="1418" w:right="1418" w:bottom="1418" w:left="1418" w:header="851" w:footer="992" w:gutter="0"/>
          <w:pgNumType w:start="1"/>
          <w:cols w:num="1" w:space="720"/>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第二章　投标人须知</w:t>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投标人须知前附表</w:t>
      </w:r>
    </w:p>
    <w:tbl>
      <w:tblPr>
        <w:tblStyle w:val="TableNormal"/>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72"/>
        <w:gridCol w:w="1780"/>
        <w:gridCol w:w="709"/>
        <w:gridCol w:w="5862"/>
      </w:tblGrid>
      <w:tr>
        <w:tblPrEx>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序号</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类</w:t>
            </w:r>
            <w:r>
              <w:rPr>
                <w:rFonts w:ascii="宋体" w:hAnsi="宋体"/>
                <w:b/>
                <w:color w:val="auto"/>
                <w:szCs w:val="21"/>
                <w:highlight w:val="none"/>
              </w:rPr>
              <w:t xml:space="preserve">  </w:t>
            </w:r>
            <w:r>
              <w:rPr>
                <w:rFonts w:ascii="宋体" w:hAnsi="宋体" w:hint="eastAsia"/>
                <w:b/>
                <w:color w:val="auto"/>
                <w:szCs w:val="21"/>
                <w:highlight w:val="none"/>
              </w:rPr>
              <w:t>别</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内</w:t>
            </w:r>
            <w:r>
              <w:rPr>
                <w:rFonts w:ascii="宋体" w:hAnsi="宋体"/>
                <w:b/>
                <w:color w:val="auto"/>
                <w:szCs w:val="21"/>
                <w:highlight w:val="none"/>
              </w:rPr>
              <w:t xml:space="preserve">     </w:t>
            </w:r>
            <w:r>
              <w:rPr>
                <w:rFonts w:ascii="宋体" w:hAnsi="宋体" w:hint="eastAsia"/>
                <w:b/>
                <w:color w:val="auto"/>
                <w:szCs w:val="21"/>
                <w:highlight w:val="none"/>
              </w:rPr>
              <w:t>容</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项目名称、编号、预算及最高限价</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项目名称：</w:t>
            </w:r>
            <w:r>
              <w:rPr>
                <w:rFonts w:ascii="宋体" w:hAnsi="宋体" w:hint="eastAsia"/>
                <w:color w:val="auto"/>
                <w:szCs w:val="21"/>
                <w:highlight w:val="none"/>
                <w:u w:val="single"/>
              </w:rPr>
              <w:t>国家税务总局北流市税务局物业管理服务项目</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eastAsia="宋体" w:hAnsi="宋体" w:hint="eastAsia"/>
                <w:color w:val="auto"/>
                <w:szCs w:val="21"/>
                <w:highlight w:val="none"/>
                <w:lang w:eastAsia="zh-CN"/>
              </w:rPr>
            </w:pPr>
            <w:r>
              <w:rPr>
                <w:rFonts w:ascii="宋体" w:hAnsi="宋体" w:hint="eastAsia"/>
                <w:color w:val="auto"/>
                <w:szCs w:val="21"/>
                <w:highlight w:val="none"/>
              </w:rPr>
              <w:t>项目编号：</w:t>
            </w:r>
            <w:r>
              <w:rPr>
                <w:rFonts w:ascii="宋体" w:hAnsi="宋体" w:hint="eastAsia"/>
                <w:color w:val="auto"/>
                <w:szCs w:val="21"/>
                <w:highlight w:val="none"/>
                <w:lang w:eastAsia="zh-CN"/>
              </w:rPr>
              <w:t>GX2024-ZXGK-C0040-B00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项目预算：</w:t>
            </w:r>
            <w:r>
              <w:rPr>
                <w:rFonts w:ascii="宋体" w:hAnsi="宋体" w:hint="eastAsia"/>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预算总金额为人民币（大写）伍佰零贰万元整（¥5,020,000.00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最高限价：</w:t>
            </w:r>
            <w:r>
              <w:rPr>
                <w:rFonts w:ascii="宋体" w:hAnsi="宋体" w:hint="eastAsia"/>
                <w:color w:val="auto"/>
                <w:szCs w:val="21"/>
                <w:highlight w:val="none"/>
                <w:u w:val="single"/>
              </w:rPr>
              <w:t>人民币（大写）贰佰伍拾壹万元整/年[其中，物业管理服务项目：人民币（大写）壹佰柒拾壹万捌仟元整/年，餐饮服务项目：人民币（大写）柒拾玖万贰仟元整/年]，服务期2年[¥2,510,000.00元/年（其中，物业管理服务项目：¥1,718,000.00元/年，餐饮服务项目：¥792,000.00元/年），服务期2年]；最高限价总金额为人民币（大写）伍佰零贰万元整（¥5,020,000.00）</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采购需求</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详见《招标文件（技术部分）》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项目属性</w:t>
            </w:r>
            <w:r>
              <w:rPr>
                <w:rFonts w:ascii="宋体" w:hAnsi="宋体" w:hint="eastAsia"/>
                <w:color w:val="auto"/>
                <w:szCs w:val="21"/>
                <w:highlight w:val="none"/>
              </w:rPr>
              <w:t>、</w:t>
            </w:r>
            <w:r>
              <w:rPr>
                <w:rFonts w:ascii="宋体" w:hAnsi="宋体"/>
                <w:color w:val="auto"/>
                <w:szCs w:val="21"/>
                <w:highlight w:val="none"/>
              </w:rPr>
              <w:t>类别</w:t>
            </w:r>
            <w:r>
              <w:rPr>
                <w:rFonts w:ascii="宋体" w:hAnsi="宋体" w:hint="eastAsia"/>
                <w:color w:val="auto"/>
                <w:szCs w:val="21"/>
                <w:highlight w:val="none"/>
              </w:rPr>
              <w:t>等</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项目属性：</w:t>
            </w:r>
            <w:r>
              <w:rPr>
                <w:rFonts w:ascii="Wingdings 2" w:hAnsi="Wingdings 2"/>
                <w:color w:val="auto"/>
                <w:szCs w:val="21"/>
                <w:highlight w:val="none"/>
              </w:rPr>
              <w:sym w:font="Wingdings 2" w:char="F0A3"/>
            </w:r>
            <w:r>
              <w:rPr>
                <w:rFonts w:ascii="宋体" w:hAnsi="宋体"/>
                <w:color w:val="auto"/>
                <w:szCs w:val="21"/>
                <w:highlight w:val="none"/>
              </w:rPr>
              <w:t xml:space="preserve">货物           </w:t>
            </w:r>
            <w:r>
              <w:rPr>
                <w:rFonts w:ascii="Wingdings 2" w:hAnsi="Wingdings 2"/>
                <w:color w:val="auto"/>
                <w:szCs w:val="21"/>
                <w:highlight w:val="none"/>
              </w:rPr>
              <w:sym w:font="Wingdings 2" w:char="F052"/>
            </w:r>
            <w:r>
              <w:rPr>
                <w:rFonts w:ascii="宋体" w:hAnsi="宋体"/>
                <w:color w:val="auto"/>
                <w:szCs w:val="21"/>
                <w:highlight w:val="none"/>
              </w:rPr>
              <w:t>服务</w:t>
            </w:r>
          </w:p>
          <w:p>
            <w:pPr>
              <w:spacing w:line="360" w:lineRule="auto"/>
              <w:jc w:val="left"/>
              <w:rPr>
                <w:rFonts w:ascii="宋体" w:hAnsi="宋体"/>
                <w:color w:val="auto"/>
                <w:szCs w:val="21"/>
                <w:highlight w:val="none"/>
              </w:rPr>
            </w:pPr>
            <w:r>
              <w:rPr>
                <w:rFonts w:ascii="宋体" w:hAnsi="宋体"/>
                <w:color w:val="auto"/>
                <w:szCs w:val="21"/>
                <w:highlight w:val="none"/>
              </w:rPr>
              <w:t>项目类别：</w:t>
            </w:r>
            <w:r>
              <w:rPr>
                <w:rFonts w:ascii="Wingdings 2" w:hAnsi="Wingdings 2"/>
                <w:color w:val="auto"/>
                <w:szCs w:val="21"/>
                <w:highlight w:val="none"/>
              </w:rPr>
              <w:sym w:font="Wingdings 2" w:char="F0A3"/>
            </w:r>
            <w:r>
              <w:rPr>
                <w:rFonts w:ascii="宋体" w:hAnsi="宋体"/>
                <w:color w:val="auto"/>
                <w:szCs w:val="21"/>
                <w:highlight w:val="none"/>
              </w:rPr>
              <w:t xml:space="preserve">信息化项目     </w:t>
            </w:r>
            <w:r>
              <w:rPr>
                <w:rFonts w:ascii="Wingdings 2" w:hAnsi="Wingdings 2"/>
                <w:color w:val="auto"/>
                <w:szCs w:val="21"/>
                <w:highlight w:val="none"/>
              </w:rPr>
              <w:sym w:font="Wingdings 2" w:char="F052"/>
            </w:r>
            <w:r>
              <w:rPr>
                <w:rFonts w:ascii="宋体" w:hAnsi="宋体"/>
                <w:color w:val="auto"/>
                <w:szCs w:val="21"/>
                <w:highlight w:val="none"/>
              </w:rPr>
              <w:t>非信息化项目</w:t>
            </w:r>
          </w:p>
          <w:p>
            <w:pPr>
              <w:spacing w:line="360" w:lineRule="auto"/>
              <w:jc w:val="left"/>
              <w:rPr>
                <w:rFonts w:ascii="宋体" w:hAnsi="宋体"/>
                <w:color w:val="auto"/>
                <w:szCs w:val="21"/>
                <w:highlight w:val="none"/>
              </w:rPr>
            </w:pPr>
            <w:r>
              <w:rPr>
                <w:rFonts w:ascii="宋体" w:hAnsi="宋体"/>
                <w:color w:val="auto"/>
                <w:szCs w:val="21"/>
                <w:highlight w:val="none"/>
              </w:rPr>
              <w:t>线上采购项目</w:t>
            </w:r>
            <w:r>
              <w:rPr>
                <w:rFonts w:ascii="宋体" w:hAnsi="宋体" w:hint="eastAsia"/>
                <w:color w:val="auto"/>
                <w:szCs w:val="21"/>
                <w:highlight w:val="none"/>
              </w:rPr>
              <w:t>：</w:t>
            </w:r>
            <w:r>
              <w:rPr>
                <w:rFonts w:ascii="Wingdings 2" w:hAnsi="Wingdings 2"/>
                <w:color w:val="auto"/>
                <w:szCs w:val="21"/>
                <w:highlight w:val="none"/>
              </w:rPr>
              <w:sym w:font="Wingdings 2" w:char="F052"/>
            </w:r>
            <w:r>
              <w:rPr>
                <w:rFonts w:ascii="宋体" w:hAnsi="宋体" w:hint="eastAsia"/>
                <w:color w:val="auto"/>
                <w:szCs w:val="21"/>
                <w:highlight w:val="none"/>
              </w:rPr>
              <w:t>是</w:t>
            </w:r>
            <w:r>
              <w:rPr>
                <w:rFonts w:ascii="宋体" w:hAnsi="宋体"/>
                <w:color w:val="auto"/>
                <w:szCs w:val="21"/>
                <w:highlight w:val="none"/>
              </w:rPr>
              <w:t xml:space="preserve">    </w:t>
            </w: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□否</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采购人</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名称：</w:t>
            </w:r>
            <w:r>
              <w:rPr>
                <w:rFonts w:asciiTheme="minorEastAsia" w:eastAsiaTheme="minorEastAsia" w:hAnsiTheme="minorEastAsia" w:hint="eastAsia"/>
                <w:color w:val="auto"/>
                <w:szCs w:val="21"/>
                <w:highlight w:val="none"/>
                <w:u w:val="single"/>
              </w:rPr>
              <w:t>国家税务总局北流市税务局</w:t>
            </w:r>
          </w:p>
          <w:p>
            <w:pPr>
              <w:spacing w:line="360" w:lineRule="auto"/>
              <w:jc w:val="left"/>
              <w:rPr>
                <w:rFonts w:ascii="宋体" w:hAnsi="宋体"/>
                <w:bCs/>
                <w:color w:val="auto"/>
                <w:szCs w:val="21"/>
                <w:highlight w:val="none"/>
              </w:rPr>
            </w:pPr>
            <w:r>
              <w:rPr>
                <w:rFonts w:ascii="宋体" w:hAnsi="宋体" w:hint="eastAsia"/>
                <w:color w:val="auto"/>
                <w:szCs w:val="21"/>
                <w:highlight w:val="none"/>
              </w:rPr>
              <w:t>地址：</w:t>
            </w:r>
            <w:r>
              <w:rPr>
                <w:rFonts w:asciiTheme="minorEastAsia" w:eastAsiaTheme="minorEastAsia" w:hAnsiTheme="minorEastAsia" w:hint="eastAsia"/>
                <w:color w:val="auto"/>
                <w:szCs w:val="21"/>
                <w:highlight w:val="none"/>
                <w:u w:val="single"/>
              </w:rPr>
              <w:t>北流市新松路0031号</w:t>
            </w:r>
          </w:p>
          <w:p>
            <w:pPr>
              <w:spacing w:line="360" w:lineRule="auto"/>
              <w:jc w:val="left"/>
              <w:rPr>
                <w:rFonts w:ascii="宋体" w:hAnsi="宋体"/>
                <w:bCs/>
                <w:color w:val="auto"/>
                <w:szCs w:val="21"/>
                <w:highlight w:val="none"/>
                <w:u w:val="single"/>
              </w:rPr>
            </w:pPr>
            <w:r>
              <w:rPr>
                <w:rFonts w:ascii="宋体" w:hAnsi="宋体" w:hint="eastAsia"/>
                <w:color w:val="auto"/>
                <w:szCs w:val="21"/>
                <w:highlight w:val="none"/>
              </w:rPr>
              <w:t>联系</w:t>
            </w:r>
            <w:r>
              <w:rPr>
                <w:rFonts w:ascii="宋体" w:hAnsi="宋体" w:hint="eastAsia"/>
                <w:bCs/>
                <w:color w:val="auto"/>
                <w:szCs w:val="21"/>
                <w:highlight w:val="none"/>
              </w:rPr>
              <w:t>电话：</w:t>
            </w:r>
            <w:r>
              <w:rPr>
                <w:rFonts w:ascii="宋体" w:hAnsi="宋体" w:hint="eastAsia"/>
                <w:color w:val="auto"/>
                <w:szCs w:val="21"/>
                <w:highlight w:val="none"/>
                <w:u w:val="single"/>
              </w:rPr>
              <w:t>0771-5562212</w:t>
            </w:r>
          </w:p>
          <w:p>
            <w:pPr>
              <w:spacing w:line="360" w:lineRule="auto"/>
              <w:jc w:val="left"/>
              <w:rPr>
                <w:rFonts w:ascii="宋体" w:eastAsia="宋体" w:hAnsi="宋体" w:hint="eastAsia"/>
                <w:color w:val="auto"/>
                <w:szCs w:val="21"/>
                <w:highlight w:val="none"/>
                <w:lang w:val="zh-CN" w:eastAsia="zh-CN"/>
              </w:rPr>
            </w:pPr>
            <w:r>
              <w:rPr>
                <w:rFonts w:ascii="宋体" w:hAnsi="宋体" w:hint="eastAsia"/>
                <w:color w:val="auto"/>
                <w:szCs w:val="21"/>
                <w:highlight w:val="none"/>
              </w:rPr>
              <w:t>联系人：</w:t>
            </w:r>
            <w:r>
              <w:rPr>
                <w:rFonts w:ascii="宋体" w:hAnsi="宋体" w:hint="eastAsia"/>
                <w:color w:val="auto"/>
                <w:szCs w:val="21"/>
                <w:highlight w:val="none"/>
                <w:u w:val="single"/>
              </w:rPr>
              <w:t>宁冰</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采购代理机构</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投标人资格要求</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本项目属于专门面向小微企业采购的项目,供应商应为小微企业、监狱企业、残疾人福利性单位</w:t>
            </w:r>
            <w:r>
              <w:rPr>
                <w:rFonts w:asciiTheme="minorEastAsia" w:eastAsiaTheme="minorEastAsia" w:hAnsiTheme="minorEastAsia" w:hint="eastAsia"/>
                <w:color w:val="auto"/>
                <w:szCs w:val="21"/>
                <w:highlight w:val="none"/>
              </w:rPr>
              <w:t>。</w:t>
            </w:r>
          </w:p>
          <w:p>
            <w:pPr>
              <w:spacing w:line="360" w:lineRule="auto"/>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是否接受联合体投标</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不接受</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接受（接受联合体投标且投标人为联合体的，投标人应提供联合体协议；否则无须提供。）</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采购标的对应的中小企业划分标准所属行业</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Theme="minorEastAsia" w:eastAsiaTheme="minorEastAsia" w:hAnsiTheme="minorEastAsia" w:cs="仿宋_GB2312" w:hint="eastAsia"/>
                <w:color w:val="auto"/>
                <w:szCs w:val="21"/>
                <w:highlight w:val="none"/>
              </w:rPr>
              <w:t>物业管理、餐饮业</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非主体、非关键性工作分包</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是否允许中标人将本项目的非主体、非关键性工作进行分包：</w:t>
            </w:r>
          </w:p>
          <w:p>
            <w:pPr>
              <w:spacing w:line="360" w:lineRule="auto"/>
              <w:jc w:val="left"/>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不允许</w:t>
            </w:r>
          </w:p>
          <w:p>
            <w:pPr>
              <w:spacing w:line="360" w:lineRule="auto"/>
              <w:jc w:val="left"/>
              <w:rPr>
                <w:rFonts w:ascii="宋体" w:hAnsi="宋体"/>
                <w:i/>
                <w:color w:val="auto"/>
                <w:szCs w:val="21"/>
                <w:highlight w:val="none"/>
                <w:u w:val="single"/>
              </w:rPr>
            </w:pPr>
            <w:r>
              <w:rPr>
                <w:rFonts w:ascii="宋体" w:hAnsi="宋体" w:hint="eastAsia"/>
                <w:color w:val="auto"/>
                <w:szCs w:val="21"/>
                <w:highlight w:val="none"/>
              </w:rPr>
              <w:t>□允许，</w:t>
            </w:r>
            <w:r>
              <w:rPr>
                <w:rFonts w:ascii="宋体" w:hAnsi="宋体" w:hint="eastAsia"/>
                <w:i/>
                <w:color w:val="auto"/>
                <w:szCs w:val="21"/>
                <w:highlight w:val="none"/>
                <w:u w:val="single"/>
              </w:rPr>
              <w:t>（写明可以分包履行的具体内容、金额或者比例）</w:t>
            </w:r>
          </w:p>
          <w:p>
            <w:pPr>
              <w:spacing w:line="360" w:lineRule="auto"/>
              <w:jc w:val="left"/>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2</w:t>
            </w:r>
            <w:r>
              <w:rPr>
                <w:rFonts w:ascii="宋体" w:hAnsi="宋体" w:hint="eastAsia"/>
                <w:color w:val="auto"/>
                <w:szCs w:val="21"/>
                <w:highlight w:val="none"/>
              </w:rPr>
              <w:t>：</w:t>
            </w:r>
            <w:r>
              <w:rPr>
                <w:rFonts w:ascii="宋体" w:hAnsi="宋体" w:hint="eastAsia"/>
                <w:color w:val="auto"/>
                <w:szCs w:val="21"/>
                <w:highlight w:val="none"/>
                <w:u w:val="singl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核心产品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货物类项目填写此栏</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无</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有</w:t>
            </w:r>
          </w:p>
          <w:p>
            <w:pPr>
              <w:spacing w:line="360" w:lineRule="auto"/>
              <w:jc w:val="left"/>
              <w:rPr>
                <w:rFonts w:ascii="宋体" w:hAnsi="宋体"/>
                <w:color w:val="auto"/>
                <w:szCs w:val="21"/>
                <w:highlight w:val="none"/>
                <w:u w:val="single"/>
              </w:rPr>
            </w:pPr>
            <w:r>
              <w:rPr>
                <w:rFonts w:ascii="宋体" w:hAnsi="宋体" w:hint="eastAsia"/>
                <w:color w:val="auto"/>
                <w:szCs w:val="21"/>
                <w:highlight w:val="none"/>
              </w:rPr>
              <w:t>产品名称：</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hint="eastAsia"/>
                <w:color w:val="auto"/>
                <w:szCs w:val="21"/>
                <w:highlight w:val="none"/>
                <w:u w:val="single"/>
              </w:rPr>
              <w:t>/</w:t>
            </w:r>
            <w:r>
              <w:rPr>
                <w:rFonts w:asciiTheme="minorEastAsia" w:eastAsiaTheme="minorEastAsia" w:hAnsiTheme="minorEastAsia"/>
                <w:color w:val="auto"/>
                <w:szCs w:val="21"/>
                <w:highlight w:val="none"/>
                <w:u w:val="single"/>
              </w:rPr>
              <w:t xml:space="preserve">   </w:t>
            </w:r>
          </w:p>
          <w:p>
            <w:pPr>
              <w:spacing w:line="360" w:lineRule="auto"/>
              <w:jc w:val="left"/>
              <w:rPr>
                <w:rFonts w:ascii="宋体" w:hAnsi="宋体"/>
                <w:b/>
                <w:bCs/>
                <w:color w:val="auto"/>
                <w:szCs w:val="21"/>
                <w:highlight w:val="none"/>
                <w:lang w:val="zh-CN"/>
              </w:rPr>
            </w:pPr>
            <w:r>
              <w:rPr>
                <w:rFonts w:ascii="宋体" w:hAnsi="宋体" w:hint="eastAsia"/>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b/>
                <w:bCs/>
                <w:color w:val="auto"/>
                <w:szCs w:val="21"/>
                <w:highlight w:val="none"/>
                <w:u w:val="single"/>
                <w:lang w:val="zh-CN"/>
              </w:rPr>
              <w:t xml:space="preserve">         </w:t>
            </w:r>
            <w:r>
              <w:rPr>
                <w:rFonts w:ascii="宋体" w:hAnsi="宋体" w:hint="eastAsia"/>
                <w:b/>
                <w:bCs/>
                <w:color w:val="auto"/>
                <w:szCs w:val="21"/>
                <w:highlight w:val="none"/>
                <w:lang w:val="zh-CN"/>
              </w:rPr>
              <w:t>的方式确定一个参加评标的投标人，招标文件未规定的采取随机抽取方式确定，其他投标无效。</w:t>
            </w:r>
          </w:p>
          <w:p>
            <w:pPr>
              <w:spacing w:line="360" w:lineRule="auto"/>
              <w:jc w:val="left"/>
              <w:rPr>
                <w:rFonts w:ascii="宋体" w:hAnsi="宋体"/>
                <w:color w:val="auto"/>
                <w:szCs w:val="21"/>
                <w:highlight w:val="none"/>
                <w:u w:val="single"/>
              </w:rPr>
            </w:pPr>
            <w:r>
              <w:rPr>
                <w:rFonts w:ascii="宋体" w:hAnsi="宋体" w:hint="eastAsia"/>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ascii="宋体" w:hAnsi="宋体" w:hint="eastAsia"/>
                <w:b/>
                <w:color w:val="auto"/>
                <w:szCs w:val="21"/>
                <w:highlight w:val="none"/>
              </w:rPr>
              <w:t>评审得分相同的，由评标委员会按照“</w:t>
            </w:r>
            <w:r>
              <w:rPr>
                <w:rFonts w:ascii="宋体" w:hAnsi="宋体" w:hint="eastAsia"/>
                <w:b/>
                <w:color w:val="auto"/>
                <w:szCs w:val="21"/>
                <w:highlight w:val="none"/>
                <w:u w:val="single"/>
              </w:rPr>
              <w:t>以投标报价由低到高顺序排列；得分相同且投标报价相同的，按技术指标优劣顺序排列</w:t>
            </w:r>
            <w:r>
              <w:rPr>
                <w:rFonts w:ascii="宋体" w:hAnsi="宋体" w:hint="eastAsia"/>
                <w:b/>
                <w:color w:val="auto"/>
                <w:szCs w:val="21"/>
                <w:highlight w:val="none"/>
              </w:rPr>
              <w:t>”的方式确定一个投标人获得中标人推荐资格</w:t>
            </w:r>
            <w:r>
              <w:rPr>
                <w:rFonts w:ascii="宋体" w:hAnsi="宋体" w:hint="eastAsia"/>
                <w:b/>
                <w:bCs/>
                <w:color w:val="auto"/>
                <w:szCs w:val="21"/>
                <w:highlight w:val="none"/>
                <w:lang w:val="zh-CN"/>
              </w:rPr>
              <w:t>），其他同品牌投标人不作为中标候选人。</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采购进口产品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□本采购项目拒绝进口产品参加投标</w:t>
            </w:r>
          </w:p>
          <w:p>
            <w:pPr>
              <w:spacing w:line="360" w:lineRule="auto"/>
              <w:jc w:val="left"/>
              <w:rPr>
                <w:rFonts w:ascii="宋体" w:hAnsi="宋体"/>
                <w:color w:val="auto"/>
                <w:szCs w:val="21"/>
                <w:highlight w:val="none"/>
              </w:rPr>
            </w:pPr>
            <w:r>
              <w:rPr>
                <w:rFonts w:ascii="宋体" w:hAnsi="宋体" w:hint="eastAsia"/>
                <w:color w:val="auto"/>
                <w:szCs w:val="21"/>
                <w:highlight w:val="none"/>
              </w:rPr>
              <w:t>□本采购项目已经财政部审核同意购买进口产品</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其他</w:t>
            </w:r>
            <w:r>
              <w:rPr>
                <w:rFonts w:asciiTheme="minorEastAsia" w:eastAsiaTheme="minorEastAsia" w:hAnsiTheme="minorEastAsia" w:hint="eastAsia"/>
                <w:color w:val="auto"/>
                <w:szCs w:val="21"/>
                <w:highlight w:val="none"/>
              </w:rPr>
              <w:t>：</w:t>
            </w:r>
            <w:r>
              <w:rPr>
                <w:rFonts w:ascii="Times New Roman" w:hAnsi="Times New Roman" w:hint="eastAsia"/>
                <w:color w:val="auto"/>
                <w:szCs w:val="21"/>
                <w:highlight w:val="none"/>
                <w:u w:val="single"/>
              </w:rPr>
              <w:t>本项目不涉及</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信息发布媒体</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（1）中国政府采购网（www.ccgp.gov.cn）</w:t>
            </w:r>
          </w:p>
          <w:p>
            <w:pPr>
              <w:spacing w:line="360" w:lineRule="auto"/>
              <w:jc w:val="left"/>
              <w:rPr>
                <w:rFonts w:ascii="宋体" w:hAnsi="宋体"/>
                <w:color w:val="auto"/>
                <w:szCs w:val="21"/>
                <w:highlight w:val="none"/>
              </w:rPr>
            </w:pPr>
            <w:r>
              <w:rPr>
                <w:rFonts w:ascii="宋体" w:hAnsi="宋体" w:hint="eastAsia"/>
                <w:color w:val="auto"/>
                <w:szCs w:val="21"/>
                <w:highlight w:val="none"/>
              </w:rPr>
              <w:t>（2）国家税务总局集中采购中心网站（https://swcg.chinatax.gov.cn）</w:t>
            </w:r>
          </w:p>
          <w:p>
            <w:pPr>
              <w:spacing w:line="360" w:lineRule="auto"/>
              <w:jc w:val="left"/>
              <w:rPr>
                <w:rFonts w:ascii="宋体" w:hAnsi="宋体"/>
                <w:color w:val="auto"/>
                <w:szCs w:val="21"/>
                <w:highlight w:val="none"/>
              </w:rPr>
            </w:pPr>
            <w:r>
              <w:rPr>
                <w:rFonts w:ascii="宋体" w:hAnsi="宋体" w:hint="eastAsia"/>
                <w:color w:val="auto"/>
                <w:szCs w:val="21"/>
                <w:highlight w:val="none"/>
              </w:rPr>
              <w:t>（3）国家税务总局广西壮族自治区税务局玉林市频道（</w:t>
            </w:r>
            <w:r>
              <w:rPr>
                <w:rFonts w:ascii="宋体" w:hAnsi="宋体"/>
                <w:color w:val="auto"/>
                <w:szCs w:val="21"/>
                <w:highlight w:val="none"/>
              </w:rPr>
              <w:t>https://guangxi.chinatax.gov.cn/yulin/</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13</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获取招标文件时间、地点和方式等</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12" w:lineRule="auto"/>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时间</w:t>
            </w:r>
            <w:r>
              <w:rPr>
                <w:rFonts w:asciiTheme="minorEastAsia" w:eastAsiaTheme="minorEastAsia" w:hAnsiTheme="minorEastAsia"/>
                <w:bCs/>
                <w:color w:val="auto"/>
                <w:szCs w:val="21"/>
                <w:highlight w:val="none"/>
              </w:rPr>
              <w:t>：</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12" w:lineRule="auto"/>
              <w:rPr>
                <w:rFonts w:asciiTheme="minorEastAsia" w:eastAsiaTheme="minorEastAsia" w:hAnsiTheme="minorEastAsia"/>
                <w:bCs/>
                <w:color w:val="auto"/>
                <w:szCs w:val="21"/>
                <w:highlight w:val="none"/>
              </w:rPr>
            </w:pPr>
            <w:r>
              <w:rPr>
                <w:rFonts w:asciiTheme="minorEastAsia" w:eastAsiaTheme="minorEastAsia" w:hAnsiTheme="minorEastAsia"/>
                <w:color w:val="auto"/>
                <w:szCs w:val="21"/>
                <w:highlight w:val="none"/>
              </w:rPr>
              <w:t>地点：</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60" w:lineRule="auto"/>
              <w:rPr>
                <w:rFonts w:ascii="宋体" w:hAnsi="宋体"/>
                <w:color w:val="auto"/>
                <w:szCs w:val="21"/>
                <w:highlight w:val="none"/>
              </w:rPr>
            </w:pPr>
            <w:r>
              <w:rPr>
                <w:rFonts w:asciiTheme="minorEastAsia" w:eastAsiaTheme="minorEastAsia" w:hAnsiTheme="minorEastAsia"/>
                <w:color w:val="auto"/>
                <w:szCs w:val="21"/>
                <w:highlight w:val="none"/>
              </w:rPr>
              <w:t>方式：</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r>
              <w:rPr>
                <w:rFonts w:ascii="宋体" w:hAnsi="宋体"/>
                <w:color w:val="auto"/>
                <w:szCs w:val="21"/>
                <w:highlight w:val="non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14</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现场考察</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abs>
                <w:tab w:val="left" w:pos="0"/>
                <w:tab w:val="left" w:pos="420"/>
              </w:tabs>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不组织现场考察</w:t>
            </w:r>
          </w:p>
          <w:p>
            <w:pPr>
              <w:tabs>
                <w:tab w:val="left" w:pos="0"/>
                <w:tab w:val="left" w:pos="420"/>
              </w:tabs>
              <w:spacing w:line="360" w:lineRule="auto"/>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组织现场考察：</w:t>
            </w:r>
          </w:p>
          <w:p>
            <w:pPr>
              <w:tabs>
                <w:tab w:val="left" w:pos="0"/>
                <w:tab w:val="left" w:pos="420"/>
              </w:tabs>
              <w:spacing w:line="360" w:lineRule="auto"/>
              <w:rPr>
                <w:rFonts w:ascii="宋体" w:hAnsi="宋体"/>
                <w:bCs/>
                <w:color w:val="auto"/>
                <w:szCs w:val="21"/>
                <w:highlight w:val="none"/>
              </w:rPr>
            </w:pPr>
            <w:r>
              <w:rPr>
                <w:rFonts w:ascii="宋体" w:hAnsi="宋体" w:hint="eastAsia"/>
                <w:b/>
                <w:color w:val="auto"/>
                <w:szCs w:val="21"/>
                <w:highlight w:val="none"/>
              </w:rPr>
              <w:t>时间：</w:t>
            </w:r>
            <w:r>
              <w:rPr>
                <w:rFonts w:ascii="宋体" w:hAnsi="宋体"/>
                <w:color w:val="auto"/>
                <w:szCs w:val="21"/>
                <w:highlight w:val="none"/>
                <w:u w:val="single"/>
              </w:rPr>
              <w:t xml:space="preserve">   </w:t>
            </w:r>
            <w:r>
              <w:rPr>
                <w:rFonts w:ascii="宋体" w:hAnsi="宋体" w:hint="eastAsia"/>
                <w:bCs/>
                <w:color w:val="auto"/>
                <w:szCs w:val="21"/>
                <w:highlight w:val="none"/>
              </w:rPr>
              <w:t>年</w:t>
            </w:r>
            <w:r>
              <w:rPr>
                <w:rFonts w:ascii="宋体" w:hAnsi="宋体"/>
                <w:color w:val="auto"/>
                <w:szCs w:val="21"/>
                <w:highlight w:val="none"/>
                <w:u w:val="single"/>
              </w:rPr>
              <w:t xml:space="preserve">   </w:t>
            </w:r>
            <w:r>
              <w:rPr>
                <w:rFonts w:ascii="宋体" w:hAnsi="宋体" w:hint="eastAsia"/>
                <w:bCs/>
                <w:color w:val="auto"/>
                <w:szCs w:val="21"/>
                <w:highlight w:val="none"/>
              </w:rPr>
              <w:t>月</w:t>
            </w:r>
            <w:r>
              <w:rPr>
                <w:rFonts w:ascii="宋体" w:hAnsi="宋体"/>
                <w:color w:val="auto"/>
                <w:szCs w:val="21"/>
                <w:highlight w:val="none"/>
                <w:u w:val="single"/>
              </w:rPr>
              <w:t xml:space="preserve">   </w:t>
            </w:r>
            <w:r>
              <w:rPr>
                <w:rFonts w:ascii="宋体" w:hAnsi="宋体" w:hint="eastAsia"/>
                <w:bCs/>
                <w:color w:val="auto"/>
                <w:szCs w:val="21"/>
                <w:highlight w:val="none"/>
              </w:rPr>
              <w:t>日</w:t>
            </w:r>
            <w:r>
              <w:rPr>
                <w:rFonts w:ascii="宋体" w:hAnsi="宋体"/>
                <w:color w:val="auto"/>
                <w:szCs w:val="21"/>
                <w:highlight w:val="none"/>
                <w:u w:val="single"/>
              </w:rPr>
              <w:t xml:space="preserve">   </w:t>
            </w:r>
            <w:r>
              <w:rPr>
                <w:rFonts w:ascii="宋体" w:hAnsi="宋体" w:hint="eastAsia"/>
                <w:bCs/>
                <w:color w:val="auto"/>
                <w:szCs w:val="21"/>
                <w:highlight w:val="none"/>
              </w:rPr>
              <w:t>午</w:t>
            </w:r>
            <w:r>
              <w:rPr>
                <w:rFonts w:ascii="宋体" w:hAnsi="宋体"/>
                <w:color w:val="auto"/>
                <w:szCs w:val="21"/>
                <w:highlight w:val="none"/>
                <w:u w:val="single"/>
              </w:rPr>
              <w:t xml:space="preserve">   </w:t>
            </w:r>
            <w:r>
              <w:rPr>
                <w:rFonts w:ascii="宋体" w:hAnsi="宋体" w:hint="eastAsia"/>
                <w:color w:val="auto"/>
                <w:szCs w:val="21"/>
                <w:highlight w:val="none"/>
              </w:rPr>
              <w:t>（北京时间）</w:t>
            </w:r>
          </w:p>
          <w:p>
            <w:pPr>
              <w:tabs>
                <w:tab w:val="left" w:pos="0"/>
                <w:tab w:val="left" w:pos="420"/>
              </w:tabs>
              <w:spacing w:line="360" w:lineRule="auto"/>
              <w:rPr>
                <w:rFonts w:ascii="宋体" w:hAnsi="宋体"/>
                <w:b/>
                <w:color w:val="auto"/>
                <w:szCs w:val="21"/>
                <w:highlight w:val="none"/>
              </w:rPr>
            </w:pPr>
            <w:r>
              <w:rPr>
                <w:rFonts w:ascii="宋体" w:hAnsi="宋体" w:hint="eastAsia"/>
                <w:b/>
                <w:color w:val="auto"/>
                <w:szCs w:val="21"/>
                <w:highlight w:val="none"/>
              </w:rPr>
              <w:t>地点：</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
                <w:bCs/>
                <w:color w:val="auto"/>
                <w:szCs w:val="21"/>
                <w:highlight w:val="none"/>
              </w:rPr>
            </w:pPr>
            <w:r>
              <w:rPr>
                <w:rFonts w:ascii="宋体" w:hAnsi="宋体" w:hint="eastAsia"/>
                <w:b/>
                <w:color w:val="auto"/>
                <w:szCs w:val="21"/>
                <w:highlight w:val="none"/>
              </w:rPr>
              <w:t>联系人：</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Cs/>
                <w:color w:val="auto"/>
                <w:szCs w:val="21"/>
                <w:highlight w:val="none"/>
                <w:u w:val="single"/>
              </w:rPr>
            </w:pPr>
            <w:r>
              <w:rPr>
                <w:rFonts w:ascii="宋体" w:hAnsi="宋体" w:hint="eastAsia"/>
                <w:b/>
                <w:color w:val="auto"/>
                <w:szCs w:val="21"/>
                <w:highlight w:val="none"/>
              </w:rPr>
              <w:t>联系电话：</w:t>
            </w:r>
            <w:r>
              <w:rPr>
                <w:rFonts w:ascii="宋体" w:hAnsi="宋体"/>
                <w:color w:val="auto"/>
                <w:szCs w:val="21"/>
                <w:highlight w:val="none"/>
                <w:u w:val="single"/>
              </w:rPr>
              <w:t xml:space="preserve">             </w:t>
            </w:r>
          </w:p>
          <w:p>
            <w:pPr>
              <w:tabs>
                <w:tab w:val="left" w:pos="0"/>
                <w:tab w:val="left" w:pos="420"/>
              </w:tabs>
              <w:spacing w:line="360" w:lineRule="auto"/>
              <w:rPr>
                <w:rFonts w:ascii="宋体" w:hAnsi="宋体"/>
                <w:color w:val="auto"/>
                <w:szCs w:val="21"/>
                <w:highlight w:val="none"/>
              </w:rPr>
            </w:pPr>
            <w:r>
              <w:rPr>
                <w:rFonts w:ascii="宋体" w:hAnsi="宋体" w:hint="eastAsia"/>
                <w:b/>
                <w:color w:val="auto"/>
                <w:szCs w:val="21"/>
                <w:highlight w:val="none"/>
              </w:rPr>
              <w:t>要求：</w:t>
            </w:r>
            <w:r>
              <w:rPr>
                <w:rFonts w:ascii="宋体" w:hAnsi="宋体"/>
                <w:color w:val="auto"/>
                <w:szCs w:val="21"/>
                <w:highlight w:val="none"/>
                <w:u w:val="singl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15</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样品</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spacing w:line="360" w:lineRule="auto"/>
              <w:jc w:val="left"/>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要求提供：</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样品制作的标准和要求：</w:t>
            </w:r>
            <w:r>
              <w:rPr>
                <w:rFonts w:ascii="宋体" w:hAnsi="宋体"/>
                <w:color w:val="auto"/>
                <w:szCs w:val="21"/>
                <w:highlight w:val="none"/>
              </w:rPr>
              <w:t>____________________</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样品检测报告：</w:t>
            </w:r>
            <w:r>
              <w:rPr>
                <w:rFonts w:ascii="宋体" w:hAnsi="宋体"/>
                <w:color w:val="auto"/>
                <w:szCs w:val="21"/>
                <w:highlight w:val="none"/>
              </w:rPr>
              <w:t>(</w:t>
            </w:r>
            <w:r>
              <w:rPr>
                <w:rFonts w:ascii="宋体" w:hAnsi="宋体" w:hint="eastAsia"/>
                <w:color w:val="auto"/>
                <w:szCs w:val="21"/>
                <w:highlight w:val="none"/>
              </w:rPr>
              <w:t>□否；□是，检测机构的要求、检测内容详见第六章项目采购需求</w:t>
            </w:r>
            <w:r>
              <w:rPr>
                <w:rFonts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样品的评审方法及评审标准：内容详见第三章评标办法及标准</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16</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投标文件组成</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商务部</w:t>
            </w:r>
            <w:r>
              <w:rPr>
                <w:rFonts w:ascii="宋体" w:hAnsi="宋体" w:hint="eastAsia"/>
                <w:bCs/>
                <w:color w:val="auto"/>
                <w:szCs w:val="21"/>
                <w:highlight w:val="none"/>
              </w:rPr>
              <w:t>分</w:t>
            </w:r>
          </w:p>
        </w:tc>
        <w:tc>
          <w:tcPr>
            <w:tcW w:w="5862" w:type="dxa"/>
            <w:tcBorders>
              <w:top w:val="single" w:sz="4" w:space="0" w:color="auto"/>
              <w:left w:val="single" w:sz="4" w:space="0" w:color="auto"/>
              <w:bottom w:val="single" w:sz="4" w:space="0" w:color="auto"/>
              <w:right w:val="single" w:sz="4" w:space="0" w:color="auto"/>
            </w:tcBorders>
            <w:vAlign w:val="center"/>
          </w:tcPr>
          <w:p>
            <w:pPr>
              <w:widowControl/>
              <w:tabs>
                <w:tab w:val="left" w:pos="0"/>
                <w:tab w:val="left" w:pos="420"/>
              </w:tabs>
              <w:spacing w:line="360" w:lineRule="auto"/>
              <w:jc w:val="left"/>
              <w:rPr>
                <w:rFonts w:ascii="宋体" w:hAnsi="宋体"/>
                <w:color w:val="auto"/>
                <w:szCs w:val="21"/>
                <w:highlight w:val="none"/>
              </w:rPr>
            </w:pPr>
            <w:r>
              <w:rPr>
                <w:rFonts w:ascii="宋体" w:hAnsi="宋体"/>
                <w:b/>
                <w:color w:val="auto"/>
                <w:szCs w:val="21"/>
                <w:highlight w:val="none"/>
              </w:rPr>
              <w:t>一、资格证明文件：</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投标人基本情况（</w:t>
            </w:r>
            <w:r>
              <w:rPr>
                <w:rFonts w:ascii="宋体" w:hAnsi="宋体" w:hint="eastAsia"/>
                <w:color w:val="auto"/>
                <w:szCs w:val="21"/>
                <w:highlight w:val="none"/>
                <w:lang w:val="en-US" w:eastAsia="zh-CN"/>
              </w:rPr>
              <w:t>需上传</w:t>
            </w:r>
            <w:r>
              <w:rPr>
                <w:rFonts w:ascii="宋体" w:hAnsi="宋体"/>
                <w:color w:val="auto"/>
                <w:szCs w:val="21"/>
                <w:highlight w:val="none"/>
              </w:rPr>
              <w:t>法人或者其他组织的营业执照等证明文件</w:t>
            </w:r>
            <w:r>
              <w:rPr>
                <w:rFonts w:ascii="宋体" w:hAnsi="宋体" w:hint="eastAsia"/>
                <w:color w:val="auto"/>
                <w:szCs w:val="21"/>
                <w:highlight w:val="none"/>
              </w:rPr>
              <w:t>扫描</w:t>
            </w:r>
            <w:r>
              <w:rPr>
                <w:rFonts w:ascii="宋体" w:hAnsi="宋体"/>
                <w:color w:val="auto"/>
                <w:szCs w:val="21"/>
                <w:highlight w:val="none"/>
              </w:rPr>
              <w:t>件</w:t>
            </w:r>
            <w:r>
              <w:rPr>
                <w:rFonts w:ascii="宋体" w:hAnsi="宋体" w:hint="eastAsia"/>
                <w:color w:val="auto"/>
                <w:szCs w:val="21"/>
                <w:highlight w:val="none"/>
              </w:rPr>
              <w:t>；投标人如为</w:t>
            </w:r>
            <w:r>
              <w:rPr>
                <w:rFonts w:ascii="宋体" w:hAnsi="宋体"/>
                <w:color w:val="auto"/>
                <w:szCs w:val="21"/>
                <w:highlight w:val="none"/>
              </w:rPr>
              <w:t>自然人</w:t>
            </w:r>
            <w:r>
              <w:rPr>
                <w:rFonts w:ascii="宋体" w:hAnsi="宋体" w:hint="eastAsia"/>
                <w:color w:val="auto"/>
                <w:szCs w:val="21"/>
                <w:highlight w:val="none"/>
              </w:rPr>
              <w:t>，</w:t>
            </w:r>
            <w:r>
              <w:rPr>
                <w:rFonts w:ascii="宋体" w:hAnsi="宋体" w:hint="eastAsia"/>
                <w:color w:val="auto"/>
                <w:szCs w:val="21"/>
                <w:highlight w:val="none"/>
                <w:lang w:val="en-US" w:eastAsia="zh-CN"/>
              </w:rPr>
              <w:t>上传</w:t>
            </w:r>
            <w:r>
              <w:rPr>
                <w:rFonts w:ascii="宋体" w:hAnsi="宋体" w:hint="eastAsia"/>
                <w:color w:val="auto"/>
                <w:szCs w:val="21"/>
                <w:highlight w:val="none"/>
              </w:rPr>
              <w:t>自然人</w:t>
            </w:r>
            <w:r>
              <w:rPr>
                <w:rFonts w:ascii="宋体" w:hAnsi="宋体"/>
                <w:color w:val="auto"/>
                <w:szCs w:val="21"/>
                <w:highlight w:val="none"/>
              </w:rPr>
              <w:t>的身份证明</w:t>
            </w:r>
            <w:r>
              <w:rPr>
                <w:rFonts w:ascii="宋体" w:hAnsi="宋体" w:hint="eastAsia"/>
                <w:color w:val="auto"/>
                <w:szCs w:val="21"/>
                <w:highlight w:val="none"/>
              </w:rPr>
              <w:t>扫描件）</w:t>
            </w:r>
            <w:r>
              <w:rPr>
                <w:rFonts w:ascii="宋体" w:hAnsi="宋体"/>
                <w:color w:val="auto"/>
                <w:szCs w:val="21"/>
                <w:highlight w:val="none"/>
              </w:rPr>
              <w:t>。</w:t>
            </w:r>
          </w:p>
          <w:p>
            <w:pPr>
              <w:spacing w:line="360" w:lineRule="auto"/>
              <w:jc w:val="left"/>
              <w:rPr>
                <w:rFonts w:ascii="宋体" w:hAnsi="宋体" w:cstheme="minorEastAsia"/>
                <w:color w:val="auto"/>
                <w:szCs w:val="21"/>
                <w:highlight w:val="none"/>
              </w:rPr>
            </w:pPr>
            <w:r>
              <w:rPr>
                <w:rFonts w:ascii="宋体" w:hAnsi="宋体" w:cstheme="minorEastAsia" w:hint="eastAsia"/>
                <w:color w:val="auto"/>
                <w:szCs w:val="21"/>
                <w:highlight w:val="none"/>
              </w:rPr>
              <w:t>2.★财务状况报告：</w:t>
            </w:r>
            <w:r>
              <w:rPr>
                <w:rFonts w:ascii="宋体" w:hAnsi="宋体" w:hint="eastAsia"/>
                <w:color w:val="auto"/>
                <w:szCs w:val="21"/>
                <w:highlight w:val="none"/>
              </w:rPr>
              <w:t>上一年度的</w:t>
            </w:r>
            <w:r>
              <w:rPr>
                <w:rFonts w:ascii="宋体" w:hAnsi="宋体" w:cstheme="minorEastAsia" w:hint="eastAsia"/>
                <w:color w:val="auto"/>
                <w:szCs w:val="21"/>
                <w:highlight w:val="none"/>
              </w:rPr>
              <w:t>经会计师事务所审计的财务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报告（须上传加盖会计师事务所公章及注册会计师签章的扫描件）；没有经审计的财务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报告的，可以上传基本开户银行出具的资信证明扫描件；</w:t>
            </w:r>
            <w:r>
              <w:rPr>
                <w:rFonts w:ascii="宋体" w:hAnsi="宋体" w:cs="宋体" w:hint="eastAsia"/>
                <w:color w:val="auto"/>
                <w:szCs w:val="21"/>
                <w:highlight w:val="none"/>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PlainText"/>
              <w:spacing w:line="360" w:lineRule="auto"/>
              <w:rPr>
                <w:rFonts w:hAnsi="宋体"/>
                <w:color w:val="auto"/>
                <w:highlight w:val="none"/>
              </w:rPr>
            </w:pPr>
            <w:r>
              <w:rPr>
                <w:rFonts w:hAnsi="宋体" w:cstheme="minorEastAsia" w:hint="eastAsia"/>
                <w:color w:val="auto"/>
                <w:highlight w:val="none"/>
              </w:rPr>
              <w:t>3.★依法缴纳税收：</w:t>
            </w:r>
            <w:r>
              <w:rPr>
                <w:rFonts w:hAnsi="宋体" w:hint="eastAsia"/>
                <w:color w:val="auto"/>
                <w:highlight w:val="none"/>
              </w:rPr>
              <w:t>投标截止之日前半年内投标人连续三个月的</w:t>
            </w:r>
            <w:r>
              <w:rPr>
                <w:rFonts w:hAnsi="宋体" w:cstheme="minorEastAsia" w:hint="eastAsia"/>
                <w:color w:val="auto"/>
                <w:highlight w:val="none"/>
              </w:rPr>
              <w:t>依法缴纳税收（不包括个人所得税）的相关材料</w:t>
            </w:r>
            <w:r>
              <w:rPr>
                <w:rFonts w:hAnsi="宋体" w:hint="eastAsia"/>
                <w:color w:val="auto"/>
                <w:highlight w:val="none"/>
              </w:rPr>
              <w:t>，</w:t>
            </w:r>
            <w:r>
              <w:rPr>
                <w:rFonts w:hAnsi="宋体" w:cstheme="minorEastAsia" w:hint="eastAsia"/>
                <w:color w:val="auto"/>
                <w:highlight w:val="none"/>
              </w:rPr>
              <w:t>如依法免税或不需要纳税的，应上传相应证明材料扫描件</w:t>
            </w:r>
            <w:r>
              <w:rPr>
                <w:rFonts w:hAnsi="宋体" w:hint="eastAsia"/>
                <w:color w:val="auto"/>
                <w:highlight w:val="none"/>
              </w:rPr>
              <w:t>；投标人无纳税记录或为新成立公司，应</w:t>
            </w:r>
            <w:r>
              <w:rPr>
                <w:rFonts w:hAnsi="宋体" w:cstheme="minorEastAsia" w:hint="eastAsia"/>
                <w:color w:val="auto"/>
                <w:highlight w:val="none"/>
              </w:rPr>
              <w:t>上传</w:t>
            </w:r>
            <w:r>
              <w:rPr>
                <w:rFonts w:hAnsi="宋体" w:hint="eastAsia"/>
                <w:color w:val="auto"/>
                <w:highlight w:val="none"/>
              </w:rPr>
              <w:t>由投标人所在地主管税务部门出具的依法纳税或依法免税证明（扫描件）。</w:t>
            </w:r>
          </w:p>
          <w:p>
            <w:pPr>
              <w:spacing w:line="360" w:lineRule="auto"/>
              <w:jc w:val="left"/>
              <w:rPr>
                <w:rFonts w:ascii="宋体" w:hAnsi="宋体"/>
                <w:color w:val="auto"/>
                <w:szCs w:val="21"/>
                <w:highlight w:val="none"/>
              </w:rPr>
            </w:pPr>
            <w:r>
              <w:rPr>
                <w:rFonts w:ascii="宋体" w:hAnsi="宋体"/>
                <w:color w:val="auto"/>
                <w:szCs w:val="21"/>
                <w:highlight w:val="none"/>
              </w:rPr>
              <w:t>4.★</w:t>
            </w:r>
            <w:r>
              <w:rPr>
                <w:rFonts w:asciiTheme="minorEastAsia" w:eastAsiaTheme="minorEastAsia" w:hAnsiTheme="minorEastAsia" w:hint="eastAsia"/>
                <w:color w:val="auto"/>
                <w:szCs w:val="21"/>
                <w:highlight w:val="none"/>
              </w:rPr>
              <w:t>依法缴纳</w:t>
            </w:r>
            <w:r>
              <w:rPr>
                <w:rFonts w:ascii="宋体" w:hAnsi="宋体"/>
                <w:color w:val="auto"/>
                <w:szCs w:val="21"/>
                <w:highlight w:val="none"/>
              </w:rPr>
              <w:t>社会保障资金：</w:t>
            </w:r>
            <w:r>
              <w:rPr>
                <w:rFonts w:ascii="宋体" w:hAnsi="宋体" w:hint="eastAsia"/>
                <w:color w:val="auto"/>
                <w:szCs w:val="21"/>
                <w:highlight w:val="none"/>
              </w:rPr>
              <w:t>投标截止之日前半年内投标人连续三个月的依法缴纳</w:t>
            </w:r>
            <w:r>
              <w:rPr>
                <w:rFonts w:ascii="宋体" w:hAnsi="宋体"/>
                <w:color w:val="auto"/>
                <w:szCs w:val="21"/>
                <w:highlight w:val="none"/>
              </w:rPr>
              <w:t>社会保障资金的相关材料，如依法不需要缴纳社会保障资金的，则应</w:t>
            </w:r>
            <w:r>
              <w:rPr>
                <w:rFonts w:ascii="宋体" w:hAnsi="宋体" w:hint="eastAsia"/>
                <w:color w:val="auto"/>
                <w:szCs w:val="21"/>
                <w:highlight w:val="none"/>
              </w:rPr>
              <w:t>上传</w:t>
            </w:r>
            <w:r>
              <w:rPr>
                <w:rFonts w:ascii="宋体" w:hAnsi="宋体"/>
                <w:color w:val="auto"/>
                <w:szCs w:val="21"/>
                <w:highlight w:val="none"/>
              </w:rPr>
              <w:t>相应证明材料</w:t>
            </w:r>
            <w:r>
              <w:rPr>
                <w:rFonts w:hAnsi="宋体" w:cstheme="minorEastAsia" w:hint="eastAsia"/>
                <w:color w:val="auto"/>
                <w:highlight w:val="none"/>
              </w:rPr>
              <w:t>扫描件</w:t>
            </w:r>
            <w:r>
              <w:rPr>
                <w:rFonts w:ascii="宋体" w:hAnsi="宋体"/>
                <w:color w:val="auto"/>
                <w:szCs w:val="21"/>
                <w:highlight w:val="none"/>
              </w:rPr>
              <w:t>；</w:t>
            </w:r>
            <w:r>
              <w:rPr>
                <w:rFonts w:ascii="宋体" w:hAnsi="宋体" w:hint="eastAsia"/>
                <w:color w:val="auto"/>
                <w:szCs w:val="21"/>
                <w:highlight w:val="none"/>
              </w:rPr>
              <w:t>投标人无缴费记录或为新成立公司，应</w:t>
            </w:r>
            <w:r>
              <w:rPr>
                <w:rFonts w:hAnsi="宋体" w:cstheme="minorEastAsia" w:hint="eastAsia"/>
                <w:color w:val="auto"/>
                <w:highlight w:val="none"/>
              </w:rPr>
              <w:t>上传</w:t>
            </w:r>
            <w:r>
              <w:rPr>
                <w:rFonts w:ascii="宋体" w:hAnsi="宋体" w:hint="eastAsia"/>
                <w:color w:val="auto"/>
                <w:szCs w:val="21"/>
                <w:highlight w:val="none"/>
              </w:rPr>
              <w:t>由投标人所在地社保部门出具的依法缴纳或依法免缴社保费证明（扫描件）。</w:t>
            </w:r>
          </w:p>
          <w:p>
            <w:pPr>
              <w:spacing w:line="360" w:lineRule="auto"/>
              <w:jc w:val="left"/>
              <w:rPr>
                <w:rFonts w:ascii="宋体" w:hAnsi="宋体"/>
                <w:color w:val="auto"/>
                <w:szCs w:val="21"/>
                <w:highlight w:val="none"/>
              </w:rPr>
            </w:pPr>
            <w:r>
              <w:rPr>
                <w:rFonts w:ascii="宋体" w:hAnsi="宋体"/>
                <w:color w:val="auto"/>
                <w:szCs w:val="21"/>
                <w:highlight w:val="none"/>
              </w:rPr>
              <w:t>5.具备履行合同所必需的设备和专业技术能力的证明材料</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6.★参加政府采购活动前3年内在经营活动中没有重大违法记录的书面声明</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7.</w:t>
            </w:r>
            <w:r>
              <w:rPr>
                <w:rFonts w:ascii="宋体" w:hAnsi="宋体" w:cs="Segoe UI Symbol"/>
                <w:color w:val="auto"/>
                <w:szCs w:val="21"/>
                <w:highlight w:val="none"/>
              </w:rPr>
              <w:t>★</w:t>
            </w:r>
            <w:r>
              <w:rPr>
                <w:rFonts w:ascii="宋体" w:hAnsi="宋体"/>
                <w:color w:val="auto"/>
                <w:szCs w:val="21"/>
                <w:highlight w:val="none"/>
              </w:rPr>
              <w:t>具备法律、行政法规规定的其他条件的证明材料</w:t>
            </w:r>
            <w:r>
              <w:rPr>
                <w:rFonts w:ascii="宋体" w:hAnsi="宋体" w:hint="eastAsia"/>
                <w:color w:val="auto"/>
                <w:szCs w:val="21"/>
                <w:highlight w:val="none"/>
              </w:rPr>
              <w:t>：</w:t>
            </w:r>
          </w:p>
          <w:p>
            <w:pPr>
              <w:spacing w:line="312" w:lineRule="auto"/>
              <w:jc w:val="left"/>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（1）中小企业声明函[小微企业投标的，应按照《政府采购促进中小企业发展管理办法》（财库﹝2020﹞46 号）《关于印发中小企业划型标准规定的通知》（工信部联企业〔2011〕300号）如实填写并提交此函]；</w:t>
            </w:r>
          </w:p>
          <w:p>
            <w:pPr>
              <w:spacing w:line="312" w:lineRule="auto"/>
              <w:jc w:val="left"/>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（2）监狱企业证明文件[监狱企业投标的，应提交省级以上监狱管理局、戒毒管理局（含新疆生产建设兵团）出具的证明文件]；</w:t>
            </w:r>
          </w:p>
          <w:p>
            <w:pPr>
              <w:spacing w:line="312" w:lineRule="auto"/>
              <w:jc w:val="left"/>
              <w:rPr>
                <w:rFonts w:ascii="宋体" w:hAnsi="宋体"/>
                <w:color w:val="auto"/>
                <w:szCs w:val="21"/>
                <w:highlight w:val="none"/>
              </w:rPr>
            </w:pPr>
            <w:r>
              <w:rPr>
                <w:rFonts w:asciiTheme="minorEastAsia" w:eastAsiaTheme="minorEastAsia" w:hAnsiTheme="minorEastAsia" w:hint="eastAsia"/>
                <w:color w:val="auto"/>
                <w:szCs w:val="21"/>
                <w:highlight w:val="none"/>
              </w:rPr>
              <w:t>（3）残疾人福利性单位声明函（残疾人福利性单位投标的，应提交此函）。</w:t>
            </w:r>
          </w:p>
          <w:p>
            <w:pPr>
              <w:spacing w:line="360" w:lineRule="auto"/>
              <w:jc w:val="left"/>
              <w:rPr>
                <w:rFonts w:ascii="宋体" w:hAnsi="宋体"/>
                <w:color w:val="auto"/>
                <w:szCs w:val="21"/>
                <w:highlight w:val="none"/>
              </w:rPr>
            </w:pPr>
            <w:r>
              <w:rPr>
                <w:rFonts w:asciiTheme="minorEastAsia" w:eastAsiaTheme="minorEastAsia" w:hAnsiTheme="minorEastAsia"/>
                <w:color w:val="auto"/>
                <w:szCs w:val="21"/>
                <w:highlight w:val="none"/>
              </w:rPr>
              <w:t>8.</w:t>
            </w:r>
            <w:r>
              <w:rPr>
                <w:rFonts w:ascii="宋体" w:hAnsi="宋体" w:cs="宋体" w:hint="eastAsia"/>
                <w:color w:val="auto"/>
                <w:szCs w:val="21"/>
                <w:highlight w:val="none"/>
                <w:u w:val="single"/>
              </w:rPr>
              <w:t>投标人认为需提供的其他资格证明资料</w:t>
            </w:r>
            <w:r>
              <w:rPr>
                <w:rFonts w:asciiTheme="minorEastAsia" w:eastAsiaTheme="minorEastAsia" w:hAnsiTheme="minor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862"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bCs/>
                <w:color w:val="auto"/>
                <w:szCs w:val="21"/>
                <w:highlight w:val="none"/>
              </w:rPr>
            </w:pPr>
            <w:r>
              <w:rPr>
                <w:rFonts w:ascii="宋体" w:hAnsi="宋体" w:hint="eastAsia"/>
                <w:b/>
                <w:bCs/>
                <w:color w:val="auto"/>
                <w:szCs w:val="21"/>
                <w:highlight w:val="none"/>
              </w:rPr>
              <w:t>二、</w:t>
            </w:r>
            <w:r>
              <w:rPr>
                <w:rFonts w:ascii="宋体" w:hAnsi="宋体" w:hint="eastAsia"/>
                <w:b/>
                <w:color w:val="auto"/>
                <w:szCs w:val="21"/>
                <w:highlight w:val="none"/>
              </w:rPr>
              <w:t>开标一览表</w:t>
            </w:r>
            <w:r>
              <w:rPr>
                <w:rFonts w:ascii="宋体" w:hAnsi="宋体" w:hint="eastAsia"/>
                <w:b/>
                <w:bCs/>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投标报价表（线上采购项目，投标人应按照投标工具的流程和提示编制并上传）。</w:t>
            </w:r>
          </w:p>
          <w:p>
            <w:pPr>
              <w:spacing w:line="360" w:lineRule="auto"/>
              <w:jc w:val="left"/>
              <w:rPr>
                <w:rFonts w:ascii="宋体" w:hAnsi="宋体"/>
                <w:color w:val="auto"/>
                <w:szCs w:val="21"/>
                <w:highlight w:val="none"/>
              </w:rPr>
            </w:pPr>
            <w:r>
              <w:rPr>
                <w:rFonts w:ascii="宋体" w:hAnsi="宋体" w:hint="eastAsia"/>
                <w:color w:val="auto"/>
                <w:szCs w:val="21"/>
                <w:highlight w:val="none"/>
              </w:rPr>
              <w:t>2</w:t>
            </w:r>
            <w:r>
              <w:rPr>
                <w:rFonts w:ascii="宋体" w:hAnsi="宋体"/>
                <w:color w:val="auto"/>
                <w:szCs w:val="21"/>
                <w:highlight w:val="none"/>
              </w:rPr>
              <w:t>.</w:t>
            </w:r>
            <w:r>
              <w:rPr>
                <w:rFonts w:ascii="宋体" w:hAnsi="宋体" w:cs="Segoe UI Symbol"/>
                <w:color w:val="auto"/>
                <w:szCs w:val="21"/>
                <w:highlight w:val="none"/>
              </w:rPr>
              <w:t>★</w:t>
            </w:r>
            <w:r>
              <w:rPr>
                <w:rFonts w:ascii="宋体" w:hAnsi="宋体" w:hint="eastAsia"/>
                <w:color w:val="auto"/>
                <w:szCs w:val="21"/>
                <w:highlight w:val="none"/>
              </w:rPr>
              <w:t>分项价格表。</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862" w:type="dxa"/>
            <w:tcBorders>
              <w:top w:val="single" w:sz="4" w:space="0" w:color="auto"/>
              <w:left w:val="single" w:sz="4" w:space="0" w:color="auto"/>
              <w:bottom w:val="single" w:sz="4" w:space="0" w:color="auto"/>
              <w:right w:val="single" w:sz="4" w:space="0" w:color="auto"/>
            </w:tcBorders>
            <w:vAlign w:val="center"/>
          </w:tcPr>
          <w:p>
            <w:pPr>
              <w:widowControl/>
              <w:shd w:val="clear" w:color="auto" w:fill="FFFFFF"/>
              <w:tabs>
                <w:tab w:val="left" w:pos="475"/>
                <w:tab w:val="left" w:pos="617"/>
              </w:tabs>
              <w:spacing w:line="360" w:lineRule="auto"/>
              <w:jc w:val="left"/>
              <w:rPr>
                <w:rFonts w:ascii="宋体" w:hAnsi="宋体"/>
                <w:color w:val="auto"/>
                <w:szCs w:val="21"/>
                <w:highlight w:val="none"/>
              </w:rPr>
            </w:pPr>
            <w:r>
              <w:rPr>
                <w:rFonts w:ascii="宋体" w:hAnsi="宋体" w:hint="eastAsia"/>
                <w:b/>
                <w:bCs/>
                <w:color w:val="auto"/>
                <w:szCs w:val="21"/>
                <w:highlight w:val="none"/>
              </w:rPr>
              <w:t>三、其他文件及资料：</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授权委托书。</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cs="Segoe UI Symbol"/>
                <w:color w:val="auto"/>
                <w:szCs w:val="21"/>
                <w:highlight w:val="none"/>
              </w:rPr>
              <w:t>★</w:t>
            </w:r>
            <w:r>
              <w:rPr>
                <w:rFonts w:ascii="宋体" w:hAnsi="宋体" w:hint="eastAsia"/>
                <w:color w:val="auto"/>
                <w:szCs w:val="21"/>
                <w:highlight w:val="none"/>
              </w:rPr>
              <w:t>投标函。</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★商务条款偏离表。</w:t>
            </w:r>
          </w:p>
          <w:p>
            <w:pPr>
              <w:spacing w:line="360" w:lineRule="auto"/>
              <w:jc w:val="left"/>
              <w:rPr>
                <w:rFonts w:ascii="宋体" w:hAnsi="宋体"/>
                <w:color w:val="auto"/>
                <w:szCs w:val="21"/>
                <w:highlight w:val="none"/>
              </w:rPr>
            </w:pPr>
            <w:r>
              <w:rPr>
                <w:rFonts w:ascii="宋体" w:hAnsi="宋体" w:hint="eastAsia"/>
                <w:color w:val="auto"/>
                <w:szCs w:val="21"/>
                <w:highlight w:val="none"/>
              </w:rPr>
              <w:t>4</w:t>
            </w:r>
            <w:r>
              <w:rPr>
                <w:rFonts w:ascii="宋体" w:hAnsi="宋体"/>
                <w:color w:val="auto"/>
                <w:szCs w:val="21"/>
                <w:highlight w:val="none"/>
              </w:rPr>
              <w:t>.</w:t>
            </w:r>
            <w:r>
              <w:rPr>
                <w:rFonts w:ascii="宋体" w:hAnsi="宋体" w:hint="eastAsia"/>
                <w:color w:val="auto"/>
                <w:szCs w:val="21"/>
                <w:highlight w:val="none"/>
              </w:rPr>
              <w:t>投标人认为需要提供的其它说明和资料。</w:t>
            </w:r>
          </w:p>
          <w:p>
            <w:pPr>
              <w:widowControl/>
              <w:tabs>
                <w:tab w:val="left" w:pos="0"/>
                <w:tab w:val="left" w:pos="220"/>
              </w:tabs>
              <w:spacing w:line="360" w:lineRule="auto"/>
              <w:jc w:val="left"/>
              <w:rPr>
                <w:rFonts w:ascii="宋体" w:hAnsi="宋体"/>
                <w:bCs/>
                <w:color w:val="auto"/>
                <w:szCs w:val="21"/>
                <w:highlight w:val="none"/>
              </w:rPr>
            </w:pPr>
            <w:r>
              <w:rPr>
                <w:rFonts w:ascii="宋体" w:hAnsi="宋体" w:hint="eastAsia"/>
                <w:color w:val="auto"/>
                <w:szCs w:val="21"/>
                <w:highlight w:val="none"/>
              </w:rPr>
              <w:t>5.★投标保证金提交凭证（如要求提交投标保证金的则必须上传，否则按无效投标处理）。</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09"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技术部分</w:t>
            </w:r>
          </w:p>
        </w:tc>
        <w:tc>
          <w:tcPr>
            <w:tcW w:w="5862"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★技术条款偏离表。</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综合服务及会议服务方案。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3.保洁、绿化服务方案。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4.秩序维护服务方案。</w:t>
            </w:r>
          </w:p>
          <w:p>
            <w:pPr>
              <w:spacing w:line="360" w:lineRule="auto"/>
              <w:jc w:val="left"/>
              <w:rPr>
                <w:rFonts w:ascii="宋体" w:hAnsi="宋体"/>
                <w:color w:val="auto"/>
                <w:szCs w:val="21"/>
                <w:highlight w:val="none"/>
              </w:rPr>
            </w:pPr>
            <w:r>
              <w:rPr>
                <w:rFonts w:ascii="宋体" w:hAnsi="宋体" w:hint="eastAsia"/>
                <w:color w:val="auto"/>
                <w:szCs w:val="21"/>
                <w:highlight w:val="none"/>
              </w:rPr>
              <w:t>5.餐饮服务方案。</w:t>
            </w:r>
          </w:p>
          <w:p>
            <w:pPr>
              <w:spacing w:line="360" w:lineRule="auto"/>
              <w:jc w:val="left"/>
              <w:rPr>
                <w:rFonts w:ascii="宋体" w:hAnsi="宋体"/>
                <w:bCs/>
                <w:color w:val="auto"/>
                <w:szCs w:val="21"/>
                <w:highlight w:val="none"/>
              </w:rPr>
            </w:pPr>
            <w:r>
              <w:rPr>
                <w:rFonts w:ascii="宋体" w:hAnsi="宋体" w:hint="eastAsia"/>
                <w:color w:val="auto"/>
                <w:szCs w:val="21"/>
                <w:highlight w:val="none"/>
              </w:rPr>
              <w:t>6.突发事件应急预案。</w:t>
            </w:r>
          </w:p>
          <w:p>
            <w:pPr>
              <w:spacing w:line="360" w:lineRule="auto"/>
              <w:jc w:val="left"/>
              <w:rPr>
                <w:rFonts w:ascii="宋体" w:hAnsi="宋体"/>
                <w:color w:val="auto"/>
                <w:szCs w:val="21"/>
                <w:highlight w:val="none"/>
              </w:rPr>
            </w:pPr>
            <w:r>
              <w:rPr>
                <w:rFonts w:ascii="宋体" w:hAnsi="宋体" w:hint="eastAsia"/>
                <w:color w:val="auto"/>
                <w:szCs w:val="21"/>
                <w:highlight w:val="none"/>
              </w:rPr>
              <w:t>7</w:t>
            </w:r>
            <w:r>
              <w:rPr>
                <w:rFonts w:ascii="宋体" w:hAnsi="宋体"/>
                <w:color w:val="auto"/>
                <w:szCs w:val="21"/>
                <w:highlight w:val="none"/>
              </w:rPr>
              <w:t>.</w:t>
            </w:r>
            <w:r>
              <w:rPr>
                <w:rFonts w:ascii="宋体" w:hAnsi="宋体" w:hint="eastAsia"/>
                <w:color w:val="auto"/>
                <w:szCs w:val="21"/>
                <w:highlight w:val="none"/>
              </w:rPr>
              <w:t>投标人认为需要提供的其它说明和资料。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ascii="宋体" w:hAnsi="宋体" w:hint="eastAsia"/>
                <w:b/>
                <w:color w:val="auto"/>
                <w:szCs w:val="21"/>
                <w:highlight w:val="none"/>
              </w:rPr>
              <w:t>以上带</w:t>
            </w:r>
            <w:r>
              <w:rPr>
                <w:rFonts w:ascii="宋体" w:hAnsi="宋体" w:cs="Segoe UI Symbol" w:hint="eastAsia"/>
                <w:b/>
                <w:color w:val="auto"/>
                <w:szCs w:val="21"/>
                <w:highlight w:val="none"/>
              </w:rPr>
              <w:t>★</w:t>
            </w:r>
            <w:r>
              <w:rPr>
                <w:rFonts w:ascii="宋体" w:hAnsi="宋体" w:hint="eastAsia"/>
                <w:b/>
                <w:color w:val="auto"/>
                <w:szCs w:val="21"/>
                <w:highlight w:val="none"/>
              </w:rPr>
              <w:t>的文件及资料未提供或提供的无效，则投标无效。</w:t>
            </w:r>
          </w:p>
          <w:p>
            <w:pPr>
              <w:spacing w:line="360" w:lineRule="auto"/>
              <w:jc w:val="left"/>
              <w:rPr>
                <w:rFonts w:ascii="宋体" w:hAnsi="宋体"/>
                <w:color w:val="auto"/>
                <w:szCs w:val="21"/>
                <w:highlight w:val="none"/>
              </w:rPr>
            </w:pPr>
            <w:r>
              <w:rPr>
                <w:rFonts w:ascii="宋体" w:hAnsi="宋体"/>
                <w:b/>
                <w:color w:val="auto"/>
                <w:szCs w:val="21"/>
                <w:highlight w:val="none"/>
              </w:rPr>
              <w:t>2.</w:t>
            </w:r>
            <w:r>
              <w:rPr>
                <w:rFonts w:ascii="宋体" w:hAnsi="宋体" w:hint="eastAsia"/>
                <w:b/>
                <w:color w:val="auto"/>
                <w:szCs w:val="21"/>
                <w:highlight w:val="none"/>
              </w:rPr>
              <w:t>以上带★的文件及资料，</w:t>
            </w:r>
            <w:r>
              <w:rPr>
                <w:rFonts w:ascii="宋体" w:hAnsi="宋体" w:cs="Segoe UI Symbol" w:hint="eastAsia"/>
                <w:b/>
                <w:color w:val="auto"/>
                <w:szCs w:val="21"/>
                <w:highlight w:val="none"/>
              </w:rPr>
              <w:t>必须加盖投标人公章，否则按无效投标处理。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17</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投标有效期</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从提交投标文件的截止之日起计算</w:t>
            </w:r>
            <w:r>
              <w:rPr>
                <w:rFonts w:ascii="宋体" w:hAnsi="宋体"/>
                <w:color w:val="auto"/>
                <w:szCs w:val="21"/>
                <w:highlight w:val="none"/>
                <w:u w:val="single"/>
              </w:rPr>
              <w:t xml:space="preserve"> 90 </w:t>
            </w:r>
            <w:r>
              <w:rPr>
                <w:rFonts w:ascii="宋体" w:hAnsi="宋体" w:hint="eastAsia"/>
                <w:color w:val="auto"/>
                <w:szCs w:val="21"/>
                <w:highlight w:val="none"/>
              </w:rPr>
              <w:t>日历日。</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提交投标文件方式、截止时间、开标时间、地点</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提交方式：</w:t>
            </w:r>
            <w:r>
              <w:rPr>
                <w:rFonts w:ascii="宋体" w:hAnsi="宋体" w:hint="eastAsia"/>
                <w:color w:val="auto"/>
                <w:szCs w:val="21"/>
                <w:highlight w:val="none"/>
                <w:u w:val="single"/>
              </w:rPr>
              <w:t>线上电子文件提交</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投标截止时间和开标时间：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6</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28</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color w:val="auto"/>
                <w:szCs w:val="21"/>
                <w:highlight w:val="none"/>
              </w:rPr>
              <w:t>（北京时间）</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开标方式：</w:t>
            </w:r>
            <w:r>
              <w:rPr>
                <w:rFonts w:ascii="宋体" w:hAnsi="宋体" w:hint="eastAsia"/>
                <w:color w:val="auto"/>
                <w:szCs w:val="21"/>
                <w:highlight w:val="none"/>
                <w:u w:val="single"/>
              </w:rPr>
              <w:t>线上电子开标</w:t>
            </w:r>
          </w:p>
          <w:p>
            <w:pPr>
              <w:topLinePunct/>
              <w:autoSpaceDE w:val="0"/>
              <w:autoSpaceDN w:val="0"/>
              <w:spacing w:line="360" w:lineRule="auto"/>
              <w:rPr>
                <w:rFonts w:ascii="宋体" w:hAnsi="宋体"/>
                <w:color w:val="auto"/>
                <w:szCs w:val="21"/>
                <w:highlight w:val="none"/>
                <w:u w:val="single"/>
              </w:rPr>
            </w:pPr>
            <w:r>
              <w:rPr>
                <w:rFonts w:ascii="宋体" w:hAnsi="宋体" w:hint="eastAsia"/>
                <w:b/>
                <w:color w:val="auto"/>
                <w:szCs w:val="21"/>
                <w:highlight w:val="none"/>
              </w:rPr>
              <w:t>提交投标文件地点：</w:t>
            </w:r>
            <w:r>
              <w:rPr>
                <w:rFonts w:ascii="宋体" w:hAnsi="宋体" w:hint="eastAsia"/>
                <w:color w:val="auto"/>
                <w:szCs w:val="21"/>
                <w:highlight w:val="none"/>
                <w:u w:val="single"/>
              </w:rPr>
              <w:t xml:space="preserve">国家税务总局政府采购评审管理系统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开标地点：</w:t>
            </w:r>
            <w:r>
              <w:rPr>
                <w:rFonts w:ascii="宋体" w:hAnsi="宋体" w:hint="eastAsia"/>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b/>
                <w:color w:val="auto"/>
                <w:szCs w:val="21"/>
                <w:highlight w:val="none"/>
              </w:rPr>
              <w:t xml:space="preserve">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联系电话：</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19</w:t>
            </w:r>
          </w:p>
        </w:tc>
        <w:tc>
          <w:tcPr>
            <w:tcW w:w="1780"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投标保证金</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lang w:val="zh-CN"/>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topLinePunct/>
              <w:autoSpaceDE w:val="0"/>
              <w:autoSpaceDN w:val="0"/>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要求提供：</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）金额：</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）提交方式：</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收款人户名：</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开户银行：</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宋体" w:hAnsi="宋体" w:hint="eastAsia"/>
                <w:color w:val="auto"/>
                <w:szCs w:val="21"/>
                <w:highlight w:val="none"/>
              </w:rPr>
              <w:t>银行账号：</w:t>
            </w:r>
            <w:r>
              <w:rPr>
                <w:rFonts w:ascii="宋体" w:hAnsi="宋体" w:hint="eastAsia"/>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不予退还投标保证金的情形</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有下列情形之一的，投标保证金将不予退还：</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）投标人串通投标或有视为串通投标情形之一的；</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）投标人提供虚假材料；</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）投标人采取不正当手段诋毁、排挤其他投标人；</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）投标截止时间后，投标人在投标有效期内撤销投标文件；</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）中标人有下列情形之一的：</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a.</w:t>
            </w:r>
            <w:r>
              <w:rPr>
                <w:rFonts w:ascii="宋体" w:hAnsi="宋体" w:hint="eastAsia"/>
                <w:color w:val="auto"/>
                <w:szCs w:val="21"/>
                <w:highlight w:val="none"/>
              </w:rPr>
              <w:t>除不可抗力外，因中标人自身原因未在中标通知书要求的期限内与采购人签订政府采购合同；</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b.</w:t>
            </w:r>
            <w:r>
              <w:rPr>
                <w:rFonts w:ascii="宋体" w:hAnsi="宋体" w:hint="eastAsia"/>
                <w:color w:val="auto"/>
                <w:szCs w:val="21"/>
                <w:highlight w:val="none"/>
              </w:rPr>
              <w:t>未按照招标文件、投标文件的约定签订政府采购合同或提交履约保证金。</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注：若上述投标保证金不予退还情形给采购人造成损失，则投标人还要承担相应的赔偿责任。</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其他不予退还投标保证金的情形：</w:t>
            </w:r>
            <w:r>
              <w:rPr>
                <w:rFonts w:ascii="宋体" w:hAnsi="宋体" w:hint="eastAsia"/>
                <w:color w:val="auto"/>
                <w:szCs w:val="21"/>
                <w:highlight w:val="none"/>
                <w:u w:val="singl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信用记录审查</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rPr>
            </w:pPr>
            <w:r>
              <w:rPr>
                <w:rFonts w:ascii="宋体" w:hAnsi="宋体" w:hint="eastAsia"/>
                <w:color w:val="auto"/>
                <w:szCs w:val="21"/>
                <w:highlight w:val="none"/>
              </w:rPr>
              <w:t>根据《财政部关于在政府采购活动中查询及使用信用记录有关问题的通知》（财库〔</w:t>
            </w:r>
            <w:r>
              <w:rPr>
                <w:rFonts w:ascii="宋体" w:hAnsi="宋体"/>
                <w:color w:val="auto"/>
                <w:szCs w:val="21"/>
                <w:highlight w:val="none"/>
              </w:rPr>
              <w:t>2016</w:t>
            </w:r>
            <w:r>
              <w:rPr>
                <w:rFonts w:ascii="宋体" w:hAnsi="宋体" w:hint="eastAsia"/>
                <w:color w:val="auto"/>
                <w:szCs w:val="21"/>
                <w:highlight w:val="none"/>
              </w:rPr>
              <w:t>〕</w:t>
            </w:r>
            <w:r>
              <w:rPr>
                <w:rFonts w:ascii="宋体" w:hAnsi="宋体"/>
                <w:color w:val="auto"/>
                <w:szCs w:val="21"/>
                <w:highlight w:val="none"/>
              </w:rPr>
              <w:t>125</w:t>
            </w:r>
            <w:r>
              <w:rPr>
                <w:rFonts w:ascii="宋体" w:hAnsi="宋体" w:hint="eastAsia"/>
                <w:color w:val="auto"/>
                <w:szCs w:val="21"/>
                <w:highlight w:val="none"/>
              </w:rPr>
              <w:t>号）规定，开标结束后，采购人将通过</w:t>
            </w:r>
            <w:r>
              <w:rPr>
                <w:rFonts w:ascii="宋体" w:hAnsi="宋体"/>
                <w:color w:val="auto"/>
                <w:szCs w:val="21"/>
                <w:highlight w:val="none"/>
              </w:rPr>
              <w:t>“</w:t>
            </w:r>
            <w:r>
              <w:rPr>
                <w:rFonts w:ascii="宋体" w:hAnsi="宋体" w:hint="eastAsia"/>
                <w:color w:val="auto"/>
                <w:szCs w:val="21"/>
                <w:highlight w:val="none"/>
              </w:rPr>
              <w:t>信用中国</w:t>
            </w:r>
            <w:r>
              <w:rPr>
                <w:rFonts w:ascii="宋体" w:hAnsi="宋体"/>
                <w:color w:val="auto"/>
                <w:szCs w:val="21"/>
                <w:highlight w:val="none"/>
              </w:rPr>
              <w:t>”</w:t>
            </w:r>
            <w:r>
              <w:rPr>
                <w:rFonts w:ascii="宋体" w:hAnsi="宋体" w:hint="eastAsia"/>
                <w:color w:val="auto"/>
                <w:szCs w:val="21"/>
                <w:highlight w:val="none"/>
              </w:rPr>
              <w:t>网站（</w:t>
            </w:r>
            <w:r>
              <w:rPr>
                <w:rFonts w:ascii="宋体" w:hAnsi="宋体"/>
                <w:color w:val="auto"/>
                <w:szCs w:val="21"/>
                <w:highlight w:val="none"/>
              </w:rPr>
              <w:t>www.creditchina.gov.cn</w:t>
            </w:r>
            <w:r>
              <w:rPr>
                <w:rFonts w:ascii="宋体" w:hAnsi="宋体" w:hint="eastAsia"/>
                <w:color w:val="auto"/>
                <w:szCs w:val="21"/>
                <w:highlight w:val="none"/>
              </w:rPr>
              <w:t>）、中国政府采购网（</w:t>
            </w:r>
            <w:r>
              <w:rPr>
                <w:rFonts w:ascii="宋体" w:hAnsi="宋体"/>
                <w:color w:val="auto"/>
                <w:szCs w:val="21"/>
                <w:highlight w:val="none"/>
              </w:rPr>
              <w:t>www.ccgp.gov.cn</w:t>
            </w:r>
            <w:r>
              <w:rPr>
                <w:rFonts w:ascii="宋体" w:hAnsi="宋体" w:hint="eastAsia"/>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本次查询的信用记录仅限于本项目使用，查询结果将留存在采购档案中。</w:t>
            </w:r>
          </w:p>
          <w:p>
            <w:pPr>
              <w:spacing w:line="360" w:lineRule="auto"/>
              <w:jc w:val="left"/>
              <w:rPr>
                <w:rFonts w:ascii="宋体" w:hAnsi="宋体"/>
                <w:color w:val="auto"/>
                <w:szCs w:val="21"/>
                <w:highlight w:val="none"/>
              </w:rPr>
            </w:pPr>
            <w:r>
              <w:rPr>
                <w:rFonts w:ascii="宋体" w:hAnsi="宋体" w:hint="eastAsia"/>
                <w:color w:val="auto"/>
                <w:szCs w:val="21"/>
                <w:highlight w:val="none"/>
              </w:rPr>
              <w:t>在上述指定网站不能查询信用信息的投标人，应提供相关证明材料（原件加盖公章）。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支持中小型</w:t>
            </w:r>
          </w:p>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企业发展</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根据《政府采购促进中小型企业发展管理办法》（财库〔</w:t>
            </w:r>
            <w:r>
              <w:rPr>
                <w:rFonts w:ascii="宋体" w:hAnsi="宋体"/>
                <w:color w:val="auto"/>
                <w:szCs w:val="21"/>
                <w:highlight w:val="none"/>
              </w:rPr>
              <w:t>2020</w:t>
            </w:r>
            <w:r>
              <w:rPr>
                <w:rFonts w:ascii="宋体" w:hAnsi="宋体" w:hint="eastAsia"/>
                <w:color w:val="auto"/>
                <w:szCs w:val="21"/>
                <w:highlight w:val="none"/>
              </w:rPr>
              <w:t>〕</w:t>
            </w:r>
            <w:r>
              <w:rPr>
                <w:rFonts w:ascii="宋体" w:hAnsi="宋体"/>
                <w:color w:val="auto"/>
                <w:szCs w:val="21"/>
                <w:highlight w:val="none"/>
              </w:rPr>
              <w:t>46</w:t>
            </w:r>
            <w:r>
              <w:rPr>
                <w:rFonts w:ascii="宋体" w:hAnsi="宋体" w:hint="eastAsia"/>
                <w:color w:val="auto"/>
                <w:szCs w:val="21"/>
                <w:highlight w:val="none"/>
              </w:rPr>
              <w:t>号），鼓励中小企业参加本项目采购活动。</w:t>
            </w:r>
          </w:p>
          <w:p>
            <w:pPr>
              <w:spacing w:line="360" w:lineRule="auto"/>
              <w:rPr>
                <w:rFonts w:ascii="宋体" w:hAnsi="宋体"/>
                <w:color w:val="auto"/>
                <w:szCs w:val="21"/>
                <w:highlight w:val="none"/>
              </w:rPr>
            </w:pPr>
            <w:r>
              <w:rPr>
                <w:rFonts w:ascii="宋体" w:hAnsi="宋体" w:hint="eastAsia"/>
                <w:color w:val="auto"/>
                <w:szCs w:val="21"/>
                <w:highlight w:val="none"/>
              </w:rPr>
              <w:t>在货物采购项目中，满足所有标的均由中小企业制造，即所有标的均由中小企业生产且使用该中小企业商号或者注册商标的，可享受中小企业扶持政策。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本项目：</w:t>
            </w:r>
          </w:p>
          <w:p>
            <w:pPr>
              <w:spacing w:line="360" w:lineRule="auto"/>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专门面向小微企业采购项目。</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预留份额面向中小企业采购项目（说明：</w:t>
            </w:r>
            <w:r>
              <w:rPr>
                <w:rFonts w:ascii="宋体" w:hAnsi="宋体"/>
                <w:color w:val="auto"/>
                <w:szCs w:val="21"/>
                <w:highlight w:val="none"/>
                <w:u w:val="single"/>
              </w:rPr>
              <w:t xml:space="preserve">        </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非专门面向中小企业采购项目。对小型和微型企业的投标价格给予</w:t>
            </w:r>
            <w:r>
              <w:rPr>
                <w:rFonts w:ascii="宋体" w:hAnsi="宋体" w:hint="eastAsia"/>
                <w:color w:val="auto"/>
                <w:szCs w:val="21"/>
                <w:highlight w:val="none"/>
                <w:u w:val="single"/>
              </w:rPr>
              <w:t xml:space="preserve">   </w:t>
            </w:r>
            <w:r>
              <w:rPr>
                <w:rFonts w:ascii="宋体" w:hAnsi="宋体"/>
                <w:color w:val="auto"/>
                <w:szCs w:val="21"/>
                <w:highlight w:val="none"/>
              </w:rPr>
              <w:t>%</w:t>
            </w:r>
            <w:r>
              <w:rPr>
                <w:rFonts w:ascii="宋体" w:hAnsi="宋体" w:hint="eastAsia"/>
                <w:color w:val="auto"/>
                <w:szCs w:val="21"/>
                <w:highlight w:val="none"/>
              </w:rPr>
              <w:t xml:space="preserve">的扣除，用扣除后的价格参与评审。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23</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支持监狱企业发展</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根据《关于政府采购支持监狱企业发展有关问题的通知》（财库〔</w:t>
            </w:r>
            <w:r>
              <w:rPr>
                <w:rFonts w:ascii="宋体" w:hAnsi="宋体"/>
                <w:color w:val="auto"/>
                <w:szCs w:val="21"/>
                <w:highlight w:val="none"/>
              </w:rPr>
              <w:t>2014</w:t>
            </w:r>
            <w:r>
              <w:rPr>
                <w:rFonts w:ascii="宋体" w:hAnsi="宋体" w:hint="eastAsia"/>
                <w:color w:val="auto"/>
                <w:szCs w:val="21"/>
                <w:highlight w:val="none"/>
              </w:rPr>
              <w:t>〕</w:t>
            </w:r>
            <w:r>
              <w:rPr>
                <w:rFonts w:ascii="宋体" w:hAnsi="宋体"/>
                <w:color w:val="auto"/>
                <w:szCs w:val="21"/>
                <w:highlight w:val="none"/>
              </w:rPr>
              <w:t>68</w:t>
            </w:r>
            <w:r>
              <w:rPr>
                <w:rFonts w:ascii="宋体" w:hAnsi="宋体" w:hint="eastAsia"/>
                <w:color w:val="auto"/>
                <w:szCs w:val="21"/>
                <w:highlight w:val="none"/>
              </w:rPr>
              <w:t>号），监狱企业视同小型、微型企业，按照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24</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促进残疾人</w:t>
            </w:r>
          </w:p>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就业</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根据《关于促进残疾人就业政府采购政策的通知》（财库〔</w:t>
            </w:r>
            <w:r>
              <w:rPr>
                <w:rFonts w:ascii="宋体" w:hAnsi="宋体"/>
                <w:color w:val="auto"/>
                <w:szCs w:val="21"/>
                <w:highlight w:val="none"/>
              </w:rPr>
              <w:t>2017</w:t>
            </w:r>
            <w:r>
              <w:rPr>
                <w:rFonts w:ascii="宋体" w:hAnsi="宋体" w:hint="eastAsia"/>
                <w:color w:val="auto"/>
                <w:szCs w:val="21"/>
                <w:highlight w:val="none"/>
              </w:rPr>
              <w:t>〕</w:t>
            </w:r>
            <w:r>
              <w:rPr>
                <w:rFonts w:ascii="宋体" w:hAnsi="宋体"/>
                <w:color w:val="auto"/>
                <w:szCs w:val="21"/>
                <w:highlight w:val="none"/>
              </w:rPr>
              <w:t>141</w:t>
            </w:r>
            <w:r>
              <w:rPr>
                <w:rFonts w:ascii="宋体" w:hAnsi="宋体" w:hint="eastAsia"/>
                <w:color w:val="auto"/>
                <w:szCs w:val="21"/>
                <w:highlight w:val="none"/>
              </w:rPr>
              <w:t>号），残疾人福利性单位视同小型、微型企业，按照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color w:val="auto"/>
                <w:szCs w:val="21"/>
                <w:highlight w:val="none"/>
              </w:rPr>
              <w:t>25</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其他法律法规强制性规定或扶持政策</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本项目中强制采购节能产品的货物名称：无。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w:t>
            </w:r>
            <w:r>
              <w:rPr>
                <w:rFonts w:ascii="宋体" w:hAnsi="宋体" w:hint="eastAsia"/>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本项目中采购信息安全产品的货物名称：无。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7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571"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其他法律法规强制性规定或扶持政策：无。</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26</w:t>
            </w:r>
          </w:p>
        </w:tc>
        <w:tc>
          <w:tcPr>
            <w:tcW w:w="1780"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评标方法</w:t>
            </w:r>
          </w:p>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及分值</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本项目采用最低评标价法，详见招标文件商务部分第三章。</w:t>
            </w:r>
          </w:p>
          <w:p>
            <w:pPr>
              <w:spacing w:line="360" w:lineRule="auto"/>
              <w:jc w:val="left"/>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本项目采用综合评分法，其中价格分值为</w:t>
            </w:r>
            <w:r>
              <w:rPr>
                <w:rFonts w:ascii="宋体" w:hAnsi="宋体" w:hint="eastAsia"/>
                <w:color w:val="auto"/>
                <w:szCs w:val="21"/>
                <w:highlight w:val="none"/>
                <w:u w:val="single"/>
              </w:rPr>
              <w:t>15</w:t>
            </w:r>
            <w:r>
              <w:rPr>
                <w:rFonts w:ascii="宋体" w:hAnsi="宋体" w:hint="eastAsia"/>
                <w:color w:val="auto"/>
                <w:szCs w:val="21"/>
                <w:highlight w:val="none"/>
              </w:rPr>
              <w:t>分，其他因素分值为</w:t>
            </w:r>
            <w:r>
              <w:rPr>
                <w:rFonts w:ascii="宋体" w:hAnsi="宋体" w:hint="eastAsia"/>
                <w:color w:val="auto"/>
                <w:szCs w:val="21"/>
                <w:highlight w:val="none"/>
                <w:u w:val="single"/>
              </w:rPr>
              <w:t>85</w:t>
            </w:r>
            <w:r>
              <w:rPr>
                <w:rFonts w:ascii="宋体" w:hAnsi="宋体" w:hint="eastAsia"/>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27</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履约保证金</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不要求提供</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要求提供，本项目履约保证金为合同总金额的</w:t>
            </w:r>
            <w:r>
              <w:rPr>
                <w:rFonts w:ascii="宋体" w:hAnsi="宋体" w:hint="eastAsia"/>
                <w:color w:val="auto"/>
                <w:szCs w:val="21"/>
                <w:highlight w:val="none"/>
                <w:u w:val="single"/>
              </w:rPr>
              <w:t>2</w:t>
            </w:r>
            <w:r>
              <w:rPr>
                <w:rFonts w:ascii="宋体" w:hAnsi="宋体" w:hint="eastAsia"/>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spacing w:line="360" w:lineRule="auto"/>
              <w:rPr>
                <w:rFonts w:ascii="宋体" w:hAnsi="宋体"/>
                <w:color w:val="auto"/>
                <w:szCs w:val="21"/>
                <w:highlight w:val="none"/>
              </w:rPr>
            </w:pPr>
            <w:r>
              <w:rPr>
                <w:rFonts w:ascii="宋体" w:hAnsi="宋体" w:hint="eastAsia"/>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spacing w:line="360" w:lineRule="auto"/>
              <w:jc w:val="left"/>
              <w:rPr>
                <w:rFonts w:ascii="宋体" w:hAnsi="宋体"/>
                <w:color w:val="auto"/>
                <w:szCs w:val="21"/>
                <w:highlight w:val="none"/>
              </w:rPr>
            </w:pPr>
            <w:r>
              <w:rPr>
                <w:rFonts w:ascii="宋体" w:hAnsi="宋体" w:hint="eastAsia"/>
                <w:color w:val="auto"/>
                <w:szCs w:val="21"/>
                <w:highlight w:val="none"/>
              </w:rPr>
              <w:t>满足履约保证金返还条件且双方对核实结果无异议的，自完成核实之日起30日内，采购人根据项目验收意见扣除应扣除的款项（如有）后，原路无息返还履约保证金。</w:t>
            </w:r>
          </w:p>
          <w:p>
            <w:pPr>
              <w:spacing w:line="360" w:lineRule="auto"/>
              <w:jc w:val="left"/>
              <w:rPr>
                <w:rFonts w:ascii="宋体" w:hAnsi="宋体"/>
                <w:color w:val="auto"/>
                <w:szCs w:val="21"/>
                <w:highlight w:val="none"/>
              </w:rPr>
            </w:pPr>
          </w:p>
          <w:p>
            <w:pPr>
              <w:spacing w:line="360" w:lineRule="auto"/>
              <w:jc w:val="left"/>
              <w:rPr>
                <w:rFonts w:ascii="宋体" w:hAnsi="宋体"/>
                <w:color w:val="auto"/>
                <w:szCs w:val="21"/>
                <w:highlight w:val="none"/>
              </w:rPr>
            </w:pPr>
            <w:r>
              <w:rPr>
                <w:rFonts w:ascii="宋体" w:hAnsi="宋体" w:hint="eastAsia"/>
                <w:color w:val="auto"/>
                <w:szCs w:val="21"/>
                <w:highlight w:val="none"/>
              </w:rPr>
              <w:t>采购人账户：</w:t>
            </w:r>
          </w:p>
          <w:p>
            <w:pPr>
              <w:spacing w:line="360" w:lineRule="auto"/>
              <w:jc w:val="left"/>
              <w:rPr>
                <w:rFonts w:ascii="宋体" w:hAnsi="宋体"/>
                <w:color w:val="auto"/>
                <w:szCs w:val="21"/>
                <w:highlight w:val="none"/>
              </w:rPr>
            </w:pPr>
            <w:r>
              <w:rPr>
                <w:rFonts w:asciiTheme="minorEastAsia" w:eastAsiaTheme="minorEastAsia" w:hAnsiTheme="minorEastAsia" w:cs="宋体" w:hint="eastAsia"/>
                <w:color w:val="auto"/>
                <w:szCs w:val="21"/>
                <w:highlight w:val="none"/>
              </w:rPr>
              <w:t>开户名称：</w:t>
            </w:r>
            <w:r>
              <w:rPr>
                <w:rFonts w:ascii="宋体" w:hAnsi="宋体" w:hint="eastAsia"/>
                <w:color w:val="auto"/>
                <w:szCs w:val="21"/>
                <w:highlight w:val="none"/>
                <w:u w:val="single"/>
              </w:rPr>
              <w:t>国家税务总局北流市税务局</w:t>
            </w:r>
          </w:p>
          <w:p>
            <w:pPr>
              <w:spacing w:line="360" w:lineRule="auto"/>
              <w:jc w:val="left"/>
              <w:rPr>
                <w:rFonts w:ascii="宋体" w:hAnsi="宋体"/>
                <w:color w:val="auto"/>
                <w:szCs w:val="21"/>
                <w:highlight w:val="none"/>
              </w:rPr>
            </w:pPr>
            <w:r>
              <w:rPr>
                <w:rFonts w:ascii="宋体" w:hAnsi="宋体" w:hint="eastAsia"/>
                <w:color w:val="auto"/>
                <w:szCs w:val="21"/>
                <w:highlight w:val="none"/>
              </w:rPr>
              <w:t>开户银行：</w:t>
            </w:r>
            <w:r>
              <w:rPr>
                <w:rFonts w:ascii="宋体" w:hAnsi="宋体" w:hint="eastAsia"/>
                <w:color w:val="auto"/>
                <w:szCs w:val="21"/>
                <w:highlight w:val="none"/>
                <w:u w:val="single"/>
              </w:rPr>
              <w:t>中国建设银行股份有限公司北流支行</w:t>
            </w:r>
          </w:p>
          <w:p>
            <w:pPr>
              <w:spacing w:line="360" w:lineRule="auto"/>
              <w:jc w:val="left"/>
              <w:rPr>
                <w:rFonts w:ascii="宋体" w:hAnsi="宋体"/>
                <w:color w:val="auto"/>
                <w:szCs w:val="21"/>
                <w:highlight w:val="none"/>
              </w:rPr>
            </w:pPr>
            <w:r>
              <w:rPr>
                <w:rFonts w:ascii="宋体" w:hAnsi="宋体" w:hint="eastAsia"/>
                <w:color w:val="auto"/>
                <w:szCs w:val="21"/>
                <w:highlight w:val="none"/>
              </w:rPr>
              <w:t>银行账号：</w:t>
            </w:r>
            <w:r>
              <w:rPr>
                <w:rFonts w:ascii="宋体" w:hAnsi="宋体"/>
                <w:color w:val="auto"/>
                <w:szCs w:val="21"/>
                <w:highlight w:val="none"/>
                <w:u w:val="single"/>
              </w:rPr>
              <w:t>45001664145050502413</w:t>
            </w:r>
          </w:p>
          <w:p>
            <w:pPr>
              <w:spacing w:line="360" w:lineRule="auto"/>
              <w:jc w:val="left"/>
              <w:rPr>
                <w:rFonts w:ascii="宋体" w:hAnsi="宋体"/>
                <w:b/>
                <w:color w:val="auto"/>
                <w:szCs w:val="21"/>
                <w:highlight w:val="none"/>
              </w:rPr>
            </w:pPr>
            <w:r>
              <w:rPr>
                <w:rFonts w:ascii="宋体" w:hAnsi="宋体" w:hint="eastAsia"/>
                <w:color w:val="auto"/>
                <w:szCs w:val="21"/>
                <w:highlight w:val="none"/>
              </w:rPr>
              <w:t>注：以电汇方式递交履约保证金须在电汇凭据附言栏中写明采购编号、包号及用途(履约保证金)。</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28</w:t>
            </w:r>
          </w:p>
        </w:tc>
        <w:tc>
          <w:tcPr>
            <w:tcW w:w="178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接收质疑的方式、部门、电话和通讯地址</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质疑联系方式：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）接收质疑函的方式：</w:t>
            </w:r>
            <w:r>
              <w:rPr>
                <w:rFonts w:ascii="宋体" w:hAnsi="宋体" w:hint="eastAsia"/>
                <w:color w:val="auto"/>
                <w:szCs w:val="21"/>
                <w:highlight w:val="none"/>
                <w:u w:val="single"/>
              </w:rPr>
              <w:t>书面形式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）联系部门：</w:t>
            </w:r>
            <w:r>
              <w:rPr>
                <w:rFonts w:ascii="宋体" w:hAnsi="宋体" w:hint="eastAsia"/>
                <w:color w:val="auto"/>
                <w:szCs w:val="21"/>
                <w:highlight w:val="none"/>
                <w:u w:val="single"/>
              </w:rPr>
              <w:t>国家税务总局广西壮族自治区税务局财务管理处</w:t>
            </w:r>
          </w:p>
          <w:p>
            <w:pPr>
              <w:spacing w:line="360" w:lineRule="auto"/>
              <w:rPr>
                <w:rFonts w:asciiTheme="minorEastAsia" w:eastAsiaTheme="minorEastAsia" w:hAnsiTheme="minorEastAsia"/>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）联系电话：</w:t>
            </w:r>
            <w:r>
              <w:rPr>
                <w:rFonts w:asciiTheme="minorEastAsia" w:eastAsiaTheme="minorEastAsia" w:hAnsiTheme="minorEastAsia" w:hint="eastAsia"/>
                <w:color w:val="auto"/>
                <w:szCs w:val="21"/>
                <w:highlight w:val="none"/>
                <w:u w:val="single"/>
              </w:rPr>
              <w:t>宁冰，</w:t>
            </w:r>
            <w:r>
              <w:rPr>
                <w:rFonts w:asciiTheme="minorEastAsia" w:eastAsiaTheme="minorEastAsia" w:hAnsiTheme="minorEastAsia"/>
                <w:color w:val="auto"/>
                <w:szCs w:val="21"/>
                <w:highlight w:val="none"/>
                <w:u w:val="single"/>
              </w:rPr>
              <w:t>0771-5562212</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）通讯地址：</w:t>
            </w:r>
            <w:r>
              <w:rPr>
                <w:rFonts w:ascii="宋体" w:hAnsi="宋体" w:hint="eastAsia"/>
                <w:color w:val="auto"/>
                <w:szCs w:val="21"/>
                <w:highlight w:val="none"/>
                <w:u w:val="single"/>
              </w:rPr>
              <w:t>广西南宁市青秀区民族大道105号6009室</w:t>
            </w:r>
          </w:p>
          <w:p>
            <w:pPr>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）电子邮箱：</w:t>
            </w:r>
            <w:r>
              <w:rPr>
                <w:rFonts w:ascii="宋体" w:hAnsi="宋体"/>
                <w:color w:val="auto"/>
                <w:szCs w:val="21"/>
                <w:highlight w:val="none"/>
                <w:u w:val="single"/>
              </w:rPr>
              <w:t xml:space="preserve">        /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29</w:t>
            </w:r>
          </w:p>
        </w:tc>
        <w:tc>
          <w:tcPr>
            <w:tcW w:w="178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其他补充事项</w:t>
            </w:r>
          </w:p>
        </w:tc>
        <w:tc>
          <w:tcPr>
            <w:tcW w:w="6571" w:type="dxa"/>
            <w:gridSpan w:val="2"/>
            <w:tcBorders>
              <w:top w:val="single" w:sz="4" w:space="0" w:color="auto"/>
              <w:left w:val="single" w:sz="4" w:space="0" w:color="auto"/>
              <w:bottom w:val="single" w:sz="4" w:space="0" w:color="auto"/>
              <w:right w:val="single" w:sz="4" w:space="0" w:color="auto"/>
            </w:tcBorders>
            <w:vAlign w:val="center"/>
          </w:tcPr>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（3）中标人享受中小企业扶持政策的，采购人应当随中标结果公开中标人的《中小企业声明函》。</w:t>
            </w:r>
          </w:p>
          <w:p>
            <w:pPr>
              <w:widowControl/>
              <w:spacing w:line="360" w:lineRule="auto"/>
              <w:rPr>
                <w:rFonts w:ascii="宋体" w:hAnsi="宋体"/>
                <w:color w:val="auto"/>
                <w:szCs w:val="21"/>
                <w:highlight w:val="none"/>
              </w:rPr>
            </w:pPr>
            <w:r>
              <w:rPr>
                <w:rFonts w:asciiTheme="minorEastAsia" w:eastAsiaTheme="minorEastAsia" w:hAnsiTheme="minorEastAsia" w:cs="宋体" w:hint="eastAsia"/>
                <w:color w:val="auto"/>
                <w:kern w:val="0"/>
                <w:szCs w:val="21"/>
                <w:highlight w:val="none"/>
              </w:rPr>
              <w:t>（4）中标人为残疾人福利性单位的，采购人应当随中标结果同时公告其《残疾人福利性单位声明函》，接受社会监督。</w:t>
            </w:r>
          </w:p>
        </w:tc>
      </w:tr>
    </w:tbl>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一、总则</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预算资金及来源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 </w:t>
      </w:r>
      <w:r>
        <w:rPr>
          <w:rFonts w:asciiTheme="minorEastAsia" w:eastAsiaTheme="minorEastAsia" w:hAnsiTheme="minorEastAsia" w:hint="eastAsia"/>
          <w:color w:val="auto"/>
          <w:szCs w:val="21"/>
          <w:highlight w:val="none"/>
          <w:lang w:bidi="ar"/>
        </w:rPr>
        <w:t>本项目已经</w:t>
      </w:r>
      <w:r>
        <w:rPr>
          <w:rFonts w:asciiTheme="minorEastAsia" w:eastAsiaTheme="minorEastAsia" w:hAnsiTheme="minorEastAsia" w:hint="eastAsia"/>
          <w:b/>
          <w:color w:val="auto"/>
          <w:szCs w:val="21"/>
          <w:highlight w:val="none"/>
          <w:u w:val="single"/>
          <w:lang w:bidi="ar"/>
        </w:rPr>
        <w:t>国家税务总局北流市税务局</w:t>
      </w:r>
      <w:r>
        <w:rPr>
          <w:rFonts w:asciiTheme="minorEastAsia" w:eastAsiaTheme="minorEastAsia" w:hAnsiTheme="minorEastAsia" w:hint="eastAsia"/>
          <w:color w:val="auto"/>
          <w:szCs w:val="21"/>
          <w:highlight w:val="none"/>
          <w:lang w:bidi="ar"/>
        </w:rPr>
        <w:t>批准立项。</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 </w:t>
      </w:r>
      <w:r>
        <w:rPr>
          <w:rFonts w:asciiTheme="minorEastAsia" w:eastAsiaTheme="minorEastAsia" w:hAnsiTheme="minorEastAsia" w:hint="eastAsia"/>
          <w:color w:val="auto"/>
          <w:szCs w:val="21"/>
          <w:highlight w:val="none"/>
          <w:lang w:bidi="ar"/>
        </w:rPr>
        <w:t>本项目预算资金见</w:t>
      </w:r>
      <w:r>
        <w:rPr>
          <w:rFonts w:asciiTheme="minorEastAsia" w:eastAsiaTheme="minorEastAsia" w:hAnsiTheme="minorEastAsia" w:hint="eastAsia"/>
          <w:b/>
          <w:bCs/>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，已列入</w:t>
      </w:r>
      <w:r>
        <w:rPr>
          <w:rFonts w:asciiTheme="minorEastAsia" w:eastAsiaTheme="minorEastAsia" w:hAnsiTheme="minorEastAsia" w:hint="eastAsia"/>
          <w:b/>
          <w:color w:val="auto"/>
          <w:szCs w:val="21"/>
          <w:highlight w:val="none"/>
          <w:u w:val="single"/>
          <w:lang w:bidi="ar"/>
        </w:rPr>
        <w:t>国家税务总局北流市税务局</w:t>
      </w:r>
      <w:r>
        <w:rPr>
          <w:rFonts w:asciiTheme="minorEastAsia" w:eastAsiaTheme="minorEastAsia" w:hAnsiTheme="minorEastAsia" w:hint="eastAsia"/>
          <w:color w:val="auto"/>
          <w:szCs w:val="21"/>
          <w:highlight w:val="none"/>
          <w:lang w:bidi="ar"/>
        </w:rPr>
        <w:t>预算。</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合格的产品和服务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 </w:t>
      </w:r>
      <w:r>
        <w:rPr>
          <w:rFonts w:asciiTheme="minorEastAsia" w:eastAsiaTheme="minorEastAsia" w:hAnsiTheme="minorEastAsia" w:hint="eastAsia"/>
          <w:color w:val="auto"/>
          <w:szCs w:val="21"/>
          <w:highlight w:val="none"/>
          <w:lang w:bidi="ar"/>
        </w:rPr>
        <w:t>本项目所涉及的所有产品和服务均应来自中国境内（指关境内），合同金额的支付也仅限于这些产品和服务。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 </w:t>
      </w:r>
      <w:r>
        <w:rPr>
          <w:rFonts w:asciiTheme="minorEastAsia" w:eastAsiaTheme="minorEastAsia" w:hAnsiTheme="minorEastAsia" w:hint="eastAsia"/>
          <w:color w:val="auto"/>
          <w:szCs w:val="21"/>
          <w:highlight w:val="none"/>
          <w:lang w:bidi="ar"/>
        </w:rPr>
        <w:t>合格的产品和服务即</w:t>
      </w:r>
      <w:r>
        <w:rPr>
          <w:rFonts w:asciiTheme="minorEastAsia" w:eastAsiaTheme="minorEastAsia" w:hAnsiTheme="minorEastAsia" w:hint="eastAsia"/>
          <w:b/>
          <w:bCs/>
          <w:color w:val="auto"/>
          <w:szCs w:val="21"/>
          <w:highlight w:val="none"/>
          <w:lang w:bidi="ar"/>
        </w:rPr>
        <w:t>采购需求</w:t>
      </w:r>
      <w:r>
        <w:rPr>
          <w:rFonts w:asciiTheme="minorEastAsia" w:eastAsiaTheme="minorEastAsia" w:hAnsiTheme="minorEastAsia" w:hint="eastAsia"/>
          <w:color w:val="auto"/>
          <w:szCs w:val="21"/>
          <w:highlight w:val="none"/>
          <w:lang w:bidi="ar"/>
        </w:rPr>
        <w:t>见</w:t>
      </w:r>
      <w:r>
        <w:rPr>
          <w:rFonts w:asciiTheme="minorEastAsia" w:eastAsiaTheme="minorEastAsia" w:hAnsiTheme="minorEastAsia" w:hint="eastAsia"/>
          <w:b/>
          <w:color w:val="auto"/>
          <w:szCs w:val="21"/>
          <w:highlight w:val="none"/>
          <w:lang w:bidi="ar"/>
        </w:rPr>
        <w:t>招标文件（技术部分）。</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2.3 </w:t>
      </w:r>
      <w:r>
        <w:rPr>
          <w:rFonts w:asciiTheme="minorEastAsia" w:eastAsiaTheme="minorEastAsia" w:hAnsiTheme="minorEastAsia" w:hint="eastAsia"/>
          <w:color w:val="auto"/>
          <w:szCs w:val="21"/>
          <w:highlight w:val="none"/>
          <w:lang w:bidi="ar"/>
        </w:rPr>
        <w:t>投标人应保证所提供的产品及服务免受第三方提出侵犯其知识产权（专利权、商标权、工业设计权及使用权）的请求及起诉。</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合格的投标人</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3.1一般规定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3.1.2投标人的资格要求及本项目的特定资格要求见</w:t>
      </w:r>
      <w:r>
        <w:rPr>
          <w:rFonts w:asciiTheme="minorEastAsia" w:eastAsiaTheme="minorEastAsia" w:hAnsiTheme="minorEastAsia" w:hint="eastAsia"/>
          <w:b/>
          <w:bCs/>
          <w:color w:val="auto"/>
          <w:kern w:val="0"/>
          <w:szCs w:val="21"/>
          <w:highlight w:val="none"/>
        </w:rPr>
        <w:t>投标人须知前附表</w:t>
      </w:r>
      <w:r>
        <w:rPr>
          <w:rFonts w:asciiTheme="minorEastAsia" w:eastAsiaTheme="minorEastAsia" w:hAnsiTheme="minorEastAsia" w:hint="eastAsia"/>
          <w:color w:val="auto"/>
          <w:kern w:val="0"/>
          <w:szCs w:val="21"/>
          <w:highlight w:val="none"/>
        </w:rPr>
        <w:t>。</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3.1.3资格条件中所称“重大违法记录”，是指投标人因违法经营受到刑事处罚或者责令停产停业、吊销许可证或者执照、较大数额罚款等行政处罚。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投标人在参加政府采购活动前3年内因违法经营被禁止在一定期限内参加政府采购活动，期限届满的，可以参加政府采购活动。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“较大数额罚款”认定为200万元以上的罚款，法律、行政法规以及国务院有关部门明确规定相关领域“较大数额罚款”标准高于200万元的，从其规定。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3.1.4信用记录要求</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3.2联合体</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3.2.1若本项目接受联合体投标，则两个以上的自然人、法人或者其他组织可以组成一个联合体，以一个投标人的身份共同参加政府采购。</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3.2.2以联合体形式参加投标的，联合体各方应按第二章要求提供资格条件材料。</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3.2.3联合体中有同类资质的投标人按照联合体分工承担相同工作的，应当按照资质等级较低的投标人确定资质等级。</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3.2.4联合体应当提交联合协议，载明联合体各方承担的工作和义务。</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3.2.5联合体各方应当共同与采购人签订采购合同，就采购合同约定的事项对采购人承担连带责任。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3.2.6以联合体形式参加政府采购活动的，联合体各方不得再单独参加或者与其他投标人另外组成联合体参加同一合同项下的政府采购活动。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3.3禁止规定</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3.3.1单位负责人为同一人或者存在直接控股、管理关系的不同投标人，不得参加同一采购包的政府采购活动。</w:t>
      </w:r>
      <w:r>
        <w:rPr>
          <w:rFonts w:asciiTheme="minorEastAsia" w:eastAsiaTheme="minorEastAsia" w:hAnsiTheme="minorEastAsia" w:hint="eastAsia"/>
          <w:b/>
          <w:bCs/>
          <w:color w:val="auto"/>
          <w:kern w:val="0"/>
          <w:szCs w:val="21"/>
          <w:highlight w:val="none"/>
        </w:rPr>
        <w:t>否则投标均无效。</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3.3.2除单一来源采购项目外，为采购项目提供整体设计、规范编制或者项目管理、监理、检测等服务的供应商，不得再参加该采购项目的其他采购活动。</w:t>
      </w:r>
      <w:r>
        <w:rPr>
          <w:rFonts w:asciiTheme="minorEastAsia" w:eastAsiaTheme="minorEastAsia" w:hAnsiTheme="minorEastAsia" w:hint="eastAsia"/>
          <w:b/>
          <w:bCs/>
          <w:color w:val="auto"/>
          <w:kern w:val="0"/>
          <w:szCs w:val="21"/>
          <w:highlight w:val="none"/>
        </w:rPr>
        <w:t>否则投标无效。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投标费用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4.1 </w:t>
      </w:r>
      <w:r>
        <w:rPr>
          <w:rFonts w:asciiTheme="minorEastAsia" w:eastAsiaTheme="minorEastAsia" w:hAnsiTheme="minorEastAsia" w:hint="eastAsia"/>
          <w:color w:val="auto"/>
          <w:szCs w:val="21"/>
          <w:highlight w:val="none"/>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二、招标文件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招标文件构成</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第一部分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商务部分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s="宋体" w:hint="eastAsia"/>
          <w:color w:val="auto"/>
          <w:szCs w:val="21"/>
          <w:highlight w:val="none"/>
          <w:lang w:bidi="ar"/>
        </w:rPr>
        <w:t>投标邀请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）投标人须知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）评标方法及标准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）政府采购合同文本</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5</w:t>
      </w:r>
      <w:r>
        <w:rPr>
          <w:rFonts w:asciiTheme="minorEastAsia" w:eastAsiaTheme="minorEastAsia" w:hAnsiTheme="minorEastAsia" w:hint="eastAsia"/>
          <w:color w:val="auto"/>
          <w:szCs w:val="21"/>
          <w:highlight w:val="none"/>
          <w:lang w:bidi="ar"/>
        </w:rPr>
        <w:t>）投标文件格式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第二部分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技术部分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6</w:t>
      </w:r>
      <w:r>
        <w:rPr>
          <w:rFonts w:asciiTheme="minorEastAsia" w:eastAsiaTheme="minorEastAsia" w:hAnsiTheme="minorEastAsia" w:hint="eastAsia"/>
          <w:color w:val="auto"/>
          <w:szCs w:val="21"/>
          <w:highlight w:val="none"/>
          <w:lang w:bidi="ar"/>
        </w:rPr>
        <w:t>）项目采购需求</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6.</w:t>
      </w:r>
      <w:r>
        <w:rPr>
          <w:rFonts w:asciiTheme="minorEastAsia" w:eastAsiaTheme="minorEastAsia" w:hAnsiTheme="minorEastAsia" w:hint="eastAsia"/>
          <w:b/>
          <w:color w:val="auto"/>
          <w:szCs w:val="21"/>
          <w:highlight w:val="none"/>
          <w:lang w:bidi="ar"/>
        </w:rPr>
        <w:t>招标文件询问、澄清或修改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6.1 </w:t>
      </w:r>
      <w:r>
        <w:rPr>
          <w:rFonts w:asciiTheme="minorEastAsia" w:eastAsiaTheme="minorEastAsia" w:hAnsiTheme="minorEastAsia" w:hint="eastAsia"/>
          <w:color w:val="auto"/>
          <w:szCs w:val="21"/>
          <w:highlight w:val="none"/>
          <w:lang w:bidi="ar"/>
        </w:rPr>
        <w:t>投标人对招标文件如有疑问的，可以向采购人提出询问，采购人应当在</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个工作日内作出答复，但答复的内容不得涉及商业秘密。如有必要，采购人可对招标文件进行澄清或者修改。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6.2 </w:t>
      </w:r>
      <w:r>
        <w:rPr>
          <w:rFonts w:asciiTheme="minorEastAsia" w:eastAsiaTheme="minorEastAsia" w:hAnsiTheme="minorEastAsia" w:hint="eastAsia"/>
          <w:color w:val="auto"/>
          <w:szCs w:val="21"/>
          <w:highlight w:val="none"/>
          <w:lang w:bidi="ar"/>
        </w:rPr>
        <w:t>采购人可主动对招标文件进行必要的澄清或者修改，但不得改变采购标的和资格条件。</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6.3 </w:t>
      </w:r>
      <w:r>
        <w:rPr>
          <w:rFonts w:asciiTheme="minorEastAsia" w:eastAsiaTheme="minorEastAsia" w:hAnsiTheme="minorEastAsia" w:hint="eastAsia"/>
          <w:color w:val="auto"/>
          <w:szCs w:val="21"/>
          <w:highlight w:val="none"/>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6.4 </w:t>
      </w:r>
      <w:r>
        <w:rPr>
          <w:rFonts w:asciiTheme="minorEastAsia" w:eastAsiaTheme="minorEastAsia" w:hAnsiTheme="minorEastAsia" w:hint="eastAsia"/>
          <w:color w:val="auto"/>
          <w:szCs w:val="21"/>
          <w:highlight w:val="none"/>
          <w:lang w:bidi="ar"/>
        </w:rPr>
        <w:t>澄清或者修改的内容可能影响投标文件编制的，采购人应当在投标截止时间至少</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日前，通过评审管理系统通知所有获取招标文件的潜在投标人；不足</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日的，采购人应当顺延提交投标文件的截止时间。</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6.5 </w:t>
      </w:r>
      <w:r>
        <w:rPr>
          <w:rFonts w:asciiTheme="minorEastAsia" w:eastAsiaTheme="minorEastAsia" w:hAnsiTheme="minorEastAsia" w:hint="eastAsia"/>
          <w:color w:val="auto"/>
          <w:szCs w:val="21"/>
          <w:highlight w:val="none"/>
          <w:lang w:bidi="ar"/>
        </w:rPr>
        <w:t>澄清或者修改的内容为招标文件的组成部分。</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三、投标文件</w:t>
      </w:r>
    </w:p>
    <w:p>
      <w:pPr>
        <w:topLinePunct/>
        <w:autoSpaceDE w:val="0"/>
        <w:autoSpaceDN w:val="0"/>
        <w:spacing w:line="360" w:lineRule="auto"/>
        <w:ind w:firstLine="420" w:firstLineChars="200"/>
        <w:rPr>
          <w:rFonts w:asciiTheme="minorEastAsia" w:eastAsiaTheme="minorEastAsia" w:hAnsiTheme="minorEastAsia" w:hint="default"/>
          <w:b/>
          <w:color w:val="auto"/>
          <w:szCs w:val="21"/>
          <w:highlight w:val="none"/>
          <w:lang w:val="en-US" w:eastAsia="zh-CN"/>
        </w:rPr>
      </w:pPr>
      <w:r>
        <w:rPr>
          <w:rFonts w:asciiTheme="minorEastAsia" w:eastAsiaTheme="minorEastAsia" w:hAnsiTheme="minorEastAsia"/>
          <w:b/>
          <w:color w:val="auto"/>
          <w:szCs w:val="21"/>
          <w:highlight w:val="none"/>
          <w:lang w:bidi="ar"/>
        </w:rPr>
        <w:t>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7.1投标文件的编制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7.1.1投标人应先仔细阅读招标文件的全部内容后，再进行投标文件的编制。</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7.2投标文件的语言</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7.2.1除招标文件另有规定外，投标文件应使用中文文本并使用中文简化字，若有不同文本，以中文简化字文本为准。</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7.2.2投标文件提供的全部资料中，若属于非中文描述的，应同时提供中文简化字译本。</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7.2.3除在招标文件的要求中另有规定外，投标文件计量单位应使用中华人民共和国法定计量单位。</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8.</w:t>
      </w:r>
      <w:r>
        <w:rPr>
          <w:rFonts w:asciiTheme="minorEastAsia" w:eastAsiaTheme="minorEastAsia" w:hAnsiTheme="minorEastAsia" w:hint="eastAsia"/>
          <w:b/>
          <w:color w:val="auto"/>
          <w:szCs w:val="21"/>
          <w:highlight w:val="none"/>
          <w:lang w:bidi="ar"/>
        </w:rPr>
        <w:t>投标文件的组成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8.1 </w:t>
      </w:r>
      <w:r>
        <w:rPr>
          <w:rFonts w:asciiTheme="minorEastAsia" w:eastAsiaTheme="minorEastAsia" w:hAnsiTheme="minorEastAsia" w:hint="eastAsia"/>
          <w:color w:val="auto"/>
          <w:szCs w:val="21"/>
          <w:highlight w:val="none"/>
          <w:lang w:bidi="ar"/>
        </w:rPr>
        <w:t>投标文件包括商务部分和技术部分。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商务部分</w:t>
      </w:r>
      <w:r>
        <w:rPr>
          <w:rFonts w:asciiTheme="minorEastAsia" w:eastAsiaTheme="minorEastAsia" w:hAnsiTheme="minorEastAsia" w:hint="eastAsia"/>
          <w:color w:val="auto"/>
          <w:szCs w:val="21"/>
          <w:highlight w:val="none"/>
          <w:lang w:bidi="ar"/>
        </w:rPr>
        <w:t>主要包括的文件和资料：</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8.2.1 </w:t>
      </w:r>
      <w:r>
        <w:rPr>
          <w:rFonts w:asciiTheme="minorEastAsia" w:eastAsiaTheme="minorEastAsia" w:hAnsiTheme="minorEastAsia" w:hint="eastAsia"/>
          <w:color w:val="auto"/>
          <w:szCs w:val="21"/>
          <w:highlight w:val="none"/>
          <w:lang w:bidi="ar"/>
        </w:rPr>
        <w:t>资格证明文件，见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8.2.2 </w:t>
      </w:r>
      <w:r>
        <w:rPr>
          <w:rFonts w:asciiTheme="minorEastAsia" w:eastAsiaTheme="minorEastAsia" w:hAnsiTheme="minorEastAsia" w:hint="eastAsia"/>
          <w:color w:val="auto"/>
          <w:szCs w:val="21"/>
          <w:highlight w:val="none"/>
          <w:lang w:bidi="ar"/>
        </w:rPr>
        <w:t>其他文件及资料，见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8.3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技术部分</w:t>
      </w:r>
      <w:r>
        <w:rPr>
          <w:rFonts w:asciiTheme="minorEastAsia" w:eastAsiaTheme="minorEastAsia" w:hAnsiTheme="minorEastAsia" w:hint="eastAsia"/>
          <w:color w:val="auto"/>
          <w:szCs w:val="21"/>
          <w:highlight w:val="none"/>
          <w:lang w:bidi="ar"/>
        </w:rPr>
        <w:t>主要包括的文件及资料，见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8.4 </w:t>
      </w:r>
      <w:r>
        <w:rPr>
          <w:rFonts w:asciiTheme="minorEastAsia" w:eastAsiaTheme="minorEastAsia" w:hAnsiTheme="minorEastAsia" w:hint="eastAsia"/>
          <w:color w:val="auto"/>
          <w:szCs w:val="21"/>
          <w:highlight w:val="none"/>
          <w:lang w:bidi="ar"/>
        </w:rPr>
        <w:t>证明资料如标明有效期的，必须在有效期内。</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9.</w:t>
      </w:r>
      <w:r>
        <w:rPr>
          <w:rFonts w:asciiTheme="minorEastAsia" w:eastAsiaTheme="minorEastAsia" w:hAnsiTheme="minorEastAsia" w:hint="eastAsia"/>
          <w:b/>
          <w:color w:val="auto"/>
          <w:szCs w:val="21"/>
          <w:highlight w:val="none"/>
          <w:lang w:bidi="ar"/>
        </w:rPr>
        <w:t>报价要求</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9.1 除招标文件另有规定外，投标应以人民币报价，线上采购项目还须按照投标工具的流程和提示编制并上传投标报价表。</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9.2 本项目不接受任何形式的赠送、“零”报价和折扣报价。</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9.3 本项目以投标报价为依据计算价格分。投标报价应包括招标文件中要求投标人承担所有工作内容的全部费用。</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9.5 最低报价不能作为中标的保证。</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10.</w:t>
      </w:r>
      <w:r>
        <w:rPr>
          <w:rFonts w:asciiTheme="minorEastAsia" w:eastAsiaTheme="minorEastAsia" w:hAnsiTheme="minorEastAsia" w:hint="eastAsia"/>
          <w:b/>
          <w:color w:val="auto"/>
          <w:szCs w:val="21"/>
          <w:highlight w:val="none"/>
          <w:lang w:bidi="ar"/>
        </w:rPr>
        <w:t>投标文件的签署、盖章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10.1 </w:t>
      </w:r>
      <w:r>
        <w:rPr>
          <w:rFonts w:asciiTheme="minorEastAsia" w:eastAsiaTheme="minorEastAsia" w:hAnsiTheme="minorEastAsia" w:hint="eastAsia"/>
          <w:color w:val="auto"/>
          <w:szCs w:val="21"/>
          <w:highlight w:val="none"/>
          <w:lang w:bidi="ar"/>
        </w:rPr>
        <w:t>投标文件必须按照招标文件给出文件格式的签署要求进行电子签署。</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10.2 </w:t>
      </w:r>
      <w:r>
        <w:rPr>
          <w:rFonts w:asciiTheme="minorEastAsia" w:eastAsiaTheme="minorEastAsia" w:hAnsiTheme="minorEastAsia" w:hint="eastAsia"/>
          <w:color w:val="auto"/>
          <w:szCs w:val="21"/>
          <w:highlight w:val="none"/>
          <w:lang w:bidi="ar"/>
        </w:rPr>
        <w:t>投标人在</w:t>
      </w:r>
      <w:r>
        <w:rPr>
          <w:rFonts w:asciiTheme="minorEastAsia" w:eastAsiaTheme="minorEastAsia" w:hAnsiTheme="minorEastAsia" w:hint="eastAsia"/>
          <w:b/>
          <w:color w:val="auto"/>
          <w:szCs w:val="21"/>
          <w:highlight w:val="none"/>
          <w:lang w:bidi="ar"/>
        </w:rPr>
        <w:t>“投标函”“法定代表人授权委托书”</w:t>
      </w:r>
      <w:r>
        <w:rPr>
          <w:rFonts w:asciiTheme="minorEastAsia" w:eastAsiaTheme="minorEastAsia" w:hAnsiTheme="minorEastAsia" w:hint="eastAsia"/>
          <w:color w:val="auto"/>
          <w:szCs w:val="21"/>
          <w:highlight w:val="none"/>
          <w:lang w:bidi="ar"/>
        </w:rPr>
        <w:t>上应当按格式要求加盖与投标人名称全称一致的标准公章，并按照招标文件第五章投标文件格式中的相应格式文件要求签署全名或加盖名章。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10.3 </w:t>
      </w:r>
      <w:r>
        <w:rPr>
          <w:rFonts w:asciiTheme="minorEastAsia" w:eastAsiaTheme="minorEastAsia" w:hAnsiTheme="minorEastAsia" w:hint="eastAsia"/>
          <w:color w:val="auto"/>
          <w:szCs w:val="21"/>
          <w:highlight w:val="none"/>
          <w:lang w:bidi="ar"/>
        </w:rPr>
        <w:t>投标文件中的“盖章”指加盖投标人的“公章”，而非“合同专用章”、“投标专用章”等其他非公章。</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投标有效期</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11.1 </w:t>
      </w:r>
      <w:r>
        <w:rPr>
          <w:rFonts w:asciiTheme="minorEastAsia" w:eastAsiaTheme="minorEastAsia" w:hAnsiTheme="minorEastAsia" w:hint="eastAsia"/>
          <w:color w:val="auto"/>
          <w:szCs w:val="21"/>
          <w:highlight w:val="none"/>
          <w:lang w:bidi="ar"/>
        </w:rPr>
        <w:t>投标有效期见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asciiTheme="minorEastAsia" w:eastAsiaTheme="minorEastAsia" w:hAnsiTheme="minorEastAsia" w:hint="eastAsia"/>
          <w:color w:val="auto"/>
          <w:szCs w:val="21"/>
          <w:highlight w:val="none"/>
          <w:lang w:bidi="ar"/>
        </w:rPr>
      </w:pPr>
      <w:r>
        <w:rPr>
          <w:rFonts w:asciiTheme="minorEastAsia" w:eastAsiaTheme="minorEastAsia" w:hAnsiTheme="minorEastAsia"/>
          <w:color w:val="auto"/>
          <w:szCs w:val="21"/>
          <w:highlight w:val="none"/>
          <w:lang w:bidi="ar"/>
        </w:rPr>
        <w:t xml:space="preserve">11.2 </w:t>
      </w:r>
      <w:r>
        <w:rPr>
          <w:rFonts w:asciiTheme="minorEastAsia" w:eastAsiaTheme="minorEastAsia" w:hAnsiTheme="minorEastAsia" w:hint="eastAsia"/>
          <w:color w:val="auto"/>
          <w:szCs w:val="21"/>
          <w:highlight w:val="none"/>
          <w:lang w:bidi="ar"/>
        </w:rPr>
        <w:t>特殊情况下，在原投标有效期期满之前，采购人可征得投标人同意延长投标有效期。</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四、投标文件递交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投标文件递交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12.1 </w:t>
      </w:r>
      <w:r>
        <w:rPr>
          <w:rFonts w:asciiTheme="minorEastAsia" w:eastAsiaTheme="minorEastAsia" w:hAnsiTheme="minorEastAsia" w:hint="eastAsia"/>
          <w:color w:val="auto"/>
          <w:szCs w:val="21"/>
          <w:highlight w:val="none"/>
          <w:lang w:bidi="ar"/>
        </w:rPr>
        <w:t>投标人应当在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12.2 </w:t>
      </w:r>
      <w:r>
        <w:rPr>
          <w:rFonts w:asciiTheme="minorEastAsia" w:eastAsiaTheme="minorEastAsia" w:hAnsiTheme="minorEastAsia" w:hint="eastAsia"/>
          <w:color w:val="auto"/>
          <w:szCs w:val="21"/>
          <w:highlight w:val="none"/>
          <w:lang w:bidi="ar"/>
        </w:rPr>
        <w:t>提交投标文件截止时间后，评审管理系统不提供投标文件上传功能。投标人未完成投标文件上传的，投标将被拒绝。</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13</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投标文件补充、修改或撤回</w:t>
      </w:r>
    </w:p>
    <w:p>
      <w:pPr>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13.1 投标人在投标截止时间前，可以对所递交的投标文件进行补充、修改或者撤回，并书面通知采购人。补充、修改的内容应当按照招标文件要求签署、盖章、密封后，作为投标文件的组成部分。</w:t>
      </w:r>
    </w:p>
    <w:p>
      <w:pPr>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13.3 提交投标文件截止时间后，不得对已提交的投标文件作任何补充、修改或者撤回。</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五、开标与评标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b/>
          <w:color w:val="auto"/>
          <w:szCs w:val="21"/>
          <w:highlight w:val="none"/>
          <w:lang w:bidi="ar"/>
        </w:rPr>
        <w:t>14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开标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14.1 </w:t>
      </w:r>
      <w:r>
        <w:rPr>
          <w:rFonts w:asciiTheme="minorEastAsia" w:eastAsiaTheme="minorEastAsia" w:hAnsiTheme="minorEastAsia" w:hint="eastAsia"/>
          <w:color w:val="auto"/>
          <w:szCs w:val="21"/>
          <w:highlight w:val="none"/>
          <w:lang w:bidi="ar"/>
        </w:rPr>
        <w:t>采购人将在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14.2 </w:t>
      </w:r>
      <w:r>
        <w:rPr>
          <w:rFonts w:asciiTheme="minorEastAsia" w:eastAsiaTheme="minorEastAsia" w:hAnsiTheme="minorEastAsia" w:hint="eastAsia"/>
          <w:color w:val="auto"/>
          <w:szCs w:val="21"/>
          <w:highlight w:val="none"/>
          <w:lang w:bidi="ar"/>
        </w:rPr>
        <w:t>提交投标文件截止时间后进入解密程序，由采购人对所有完成投递的电子投标文件进行解密。投标人不足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家的，不进入解密程序。</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14.3 </w:t>
      </w:r>
      <w:r>
        <w:rPr>
          <w:rFonts w:asciiTheme="minorEastAsia" w:eastAsiaTheme="minorEastAsia" w:hAnsiTheme="minorEastAsia" w:hint="eastAsia"/>
          <w:color w:val="auto"/>
          <w:szCs w:val="21"/>
          <w:highlight w:val="none"/>
          <w:lang w:bidi="ar"/>
        </w:rPr>
        <w:t>解密完成后，进行电子开标。开标结束后，采购人发起开标结果确认，投标人在开标大厅于规定时间内确认开标结果，未按时确认的系统将自动确认。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14.4 </w:t>
      </w:r>
      <w:r>
        <w:rPr>
          <w:rFonts w:asciiTheme="minorEastAsia" w:eastAsiaTheme="minorEastAsia" w:hAnsiTheme="minorEastAsia" w:hint="eastAsia"/>
          <w:color w:val="auto"/>
          <w:szCs w:val="21"/>
          <w:highlight w:val="none"/>
          <w:lang w:bidi="ar"/>
        </w:rPr>
        <w:t>投标人未参加开标的，视同认可开标结果。</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14.5 </w:t>
      </w:r>
      <w:r>
        <w:rPr>
          <w:rFonts w:asciiTheme="minorEastAsia" w:eastAsiaTheme="minorEastAsia" w:hAnsiTheme="minorEastAsia" w:hint="eastAsia"/>
          <w:color w:val="auto"/>
          <w:szCs w:val="21"/>
          <w:highlight w:val="none"/>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14.6 </w:t>
      </w:r>
      <w:r>
        <w:rPr>
          <w:rFonts w:asciiTheme="minorEastAsia" w:eastAsiaTheme="minorEastAsia" w:hAnsiTheme="minorEastAsia" w:hint="eastAsia"/>
          <w:color w:val="auto"/>
          <w:szCs w:val="21"/>
          <w:highlight w:val="none"/>
          <w:lang w:bidi="ar"/>
        </w:rPr>
        <w:t>未解密或解密失败的投标文件，按无效投标处理。若解密成功的投标人不足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家，不进入后续程序。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投标资格审查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15.1 公开招标采购项目开标结束后，由采购人依法对投标人的资格进行审查，以确定投标人是否具备投标资格。</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15.1.1 </w:t>
      </w:r>
      <w:r>
        <w:rPr>
          <w:rFonts w:asciiTheme="minorEastAsia" w:eastAsiaTheme="minorEastAsia" w:hAnsiTheme="minorEastAsia" w:hint="eastAsia"/>
          <w:color w:val="auto"/>
          <w:szCs w:val="21"/>
          <w:highlight w:val="none"/>
          <w:lang w:bidi="ar"/>
        </w:rPr>
        <w:t>审查投标人按照</w:t>
      </w:r>
      <w:r>
        <w:rPr>
          <w:rFonts w:asciiTheme="minorEastAsia" w:eastAsiaTheme="minorEastAsia" w:hAnsiTheme="minorEastAsia"/>
          <w:color w:val="auto"/>
          <w:szCs w:val="21"/>
          <w:highlight w:val="none"/>
          <w:lang w:bidi="ar"/>
        </w:rPr>
        <w:t>8.2.1</w:t>
      </w:r>
      <w:r>
        <w:rPr>
          <w:rFonts w:asciiTheme="minorEastAsia" w:eastAsiaTheme="minorEastAsia" w:hAnsiTheme="minorEastAsia" w:hint="eastAsia"/>
          <w:color w:val="auto"/>
          <w:szCs w:val="21"/>
          <w:highlight w:val="none"/>
          <w:lang w:bidi="ar"/>
        </w:rPr>
        <w:t>提交的</w:t>
      </w:r>
      <w:r>
        <w:rPr>
          <w:rFonts w:asciiTheme="minorEastAsia" w:eastAsiaTheme="minorEastAsia" w:hAnsiTheme="minorEastAsia" w:hint="eastAsia"/>
          <w:b/>
          <w:color w:val="auto"/>
          <w:szCs w:val="21"/>
          <w:highlight w:val="none"/>
          <w:lang w:bidi="ar"/>
        </w:rPr>
        <w:t>“资格证明文件”</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15.1.2 </w:t>
      </w:r>
      <w:r>
        <w:rPr>
          <w:rFonts w:asciiTheme="minorEastAsia" w:eastAsiaTheme="minorEastAsia" w:hAnsiTheme="minorEastAsia" w:hint="eastAsia"/>
          <w:color w:val="auto"/>
          <w:szCs w:val="21"/>
          <w:highlight w:val="none"/>
          <w:lang w:bidi="ar"/>
        </w:rPr>
        <w:t>信用记录审查。</w:t>
      </w:r>
      <w:r>
        <w:rPr>
          <w:rFonts w:asciiTheme="minorEastAsia" w:eastAsiaTheme="minorEastAsia" w:hAnsiTheme="minorEastAsia" w:hint="eastAsia"/>
          <w:b/>
          <w:color w:val="auto"/>
          <w:szCs w:val="21"/>
          <w:highlight w:val="none"/>
          <w:lang w:bidi="ar"/>
        </w:rPr>
        <w:t>见投标人须知前附表</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15.2 </w:t>
      </w:r>
      <w:r>
        <w:rPr>
          <w:rFonts w:asciiTheme="minorEastAsia" w:eastAsiaTheme="minorEastAsia" w:hAnsiTheme="minorEastAsia" w:hint="eastAsia"/>
          <w:color w:val="auto"/>
          <w:szCs w:val="21"/>
          <w:highlight w:val="none"/>
          <w:lang w:bidi="ar"/>
        </w:rPr>
        <w:t>未通过资格审查的投标人，其投标无效。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15.3 </w:t>
      </w:r>
      <w:r>
        <w:rPr>
          <w:rFonts w:asciiTheme="minorEastAsia" w:eastAsiaTheme="minorEastAsia" w:hAnsiTheme="minorEastAsia" w:hint="eastAsia"/>
          <w:color w:val="auto"/>
          <w:szCs w:val="21"/>
          <w:highlight w:val="none"/>
          <w:lang w:bidi="ar"/>
        </w:rPr>
        <w:t>合格投标人不足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家的，不得评标。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16</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评标委员会的组成</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color w:val="auto"/>
          <w:szCs w:val="21"/>
          <w:highlight w:val="none"/>
          <w:lang w:bidi="ar"/>
        </w:rPr>
        <w:t xml:space="preserve">16.1 </w:t>
      </w:r>
      <w:r>
        <w:rPr>
          <w:rFonts w:asciiTheme="minorEastAsia" w:eastAsiaTheme="minorEastAsia" w:hAnsiTheme="minorEastAsia" w:hint="eastAsia"/>
          <w:color w:val="auto"/>
          <w:szCs w:val="21"/>
          <w:highlight w:val="none"/>
          <w:lang w:bidi="ar"/>
        </w:rPr>
        <w:t>根据有关法律法规规定组建评标委员会，评标委员会由采购人代表和评审专家组成。</w:t>
      </w:r>
      <w:r>
        <w:rPr>
          <w:rFonts w:asciiTheme="minorEastAsia" w:eastAsiaTheme="minorEastAsia" w:hAnsiTheme="minorEastAsia"/>
          <w:b/>
          <w:color w:val="auto"/>
          <w:szCs w:val="21"/>
          <w:highlight w:val="none"/>
          <w:lang w:bidi="ar"/>
        </w:rPr>
        <w:t>17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投标符合性审查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17.1 </w:t>
      </w:r>
      <w:r>
        <w:rPr>
          <w:rFonts w:asciiTheme="minorEastAsia" w:eastAsiaTheme="minorEastAsia" w:hAnsiTheme="minorEastAsia" w:hint="eastAsia"/>
          <w:color w:val="auto"/>
          <w:szCs w:val="21"/>
          <w:highlight w:val="none"/>
          <w:lang w:bidi="ar"/>
        </w:rPr>
        <w:t>评标委员会对符合资格的投标人的投标文件进行符合性审查，以确定其是否符合招标文件的商务、技术等实质性要求。</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17.2 </w:t>
      </w:r>
      <w:r>
        <w:rPr>
          <w:rFonts w:asciiTheme="minorEastAsia" w:eastAsiaTheme="minorEastAsia" w:hAnsiTheme="minorEastAsia" w:hint="eastAsia"/>
          <w:color w:val="auto"/>
          <w:szCs w:val="21"/>
          <w:highlight w:val="none"/>
          <w:lang w:bidi="ar"/>
        </w:rPr>
        <w:t>未通过符合性审查的投标人，其投标无效。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17.3 </w:t>
      </w:r>
      <w:r>
        <w:rPr>
          <w:rFonts w:asciiTheme="minorEastAsia" w:eastAsiaTheme="minorEastAsia" w:hAnsiTheme="minorEastAsia" w:hint="eastAsia"/>
          <w:color w:val="auto"/>
          <w:szCs w:val="21"/>
          <w:highlight w:val="none"/>
          <w:lang w:bidi="ar"/>
        </w:rPr>
        <w:t>通过符合性审查的投标人不足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家的，应予以废标。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投标文件的澄清</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18.1对于投标文件中含义不明确、同类问题表述不一致或者有明显文字和计算错误的内容，评标委员会应当以书面形式要求投标人作出必要的澄清、说明或者补正。</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18.3关于投标描述（即投标文件中描述的内容）</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（1）投标描述前后不一致且不涉及证明材料的：按照本节第18.1条规定执行。</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（2）投标描述与证明材料不一致或多份证明材料之间不一致的：</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①评标委员会将要求投标人进行书面澄清，无法澄清的将按照不利于投标人的内容进行评标。</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spacing w:line="360" w:lineRule="auto"/>
        <w:ind w:firstLine="420" w:firstLineChars="200"/>
        <w:rPr>
          <w:rFonts w:asciiTheme="minorEastAsia" w:eastAsiaTheme="minorEastAsia" w:hAnsiTheme="minorEastAsia" w:hint="eastAsia"/>
          <w:color w:val="auto"/>
          <w:kern w:val="0"/>
          <w:szCs w:val="21"/>
          <w:highlight w:val="none"/>
        </w:rPr>
      </w:pPr>
      <w:r>
        <w:rPr>
          <w:rFonts w:asciiTheme="minorEastAsia" w:eastAsiaTheme="minorEastAsia" w:hAnsiTheme="minorEastAsia" w:hint="eastAsia"/>
          <w:color w:val="auto"/>
          <w:kern w:val="0"/>
          <w:szCs w:val="21"/>
          <w:highlight w:val="none"/>
        </w:rPr>
        <w:t>18.4 除评标委员会要求投标人做出的澄清、说明或者补正以外，评标委员会不接受投标人的任何询问、说明、更改及文件。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18.5 投标人的澄清必须在规定的时间内提交。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19</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核价原则</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bCs/>
          <w:color w:val="auto"/>
          <w:szCs w:val="21"/>
          <w:highlight w:val="none"/>
          <w:lang w:bidi="ar"/>
        </w:rPr>
        <w:t xml:space="preserve">19.1 </w:t>
      </w:r>
      <w:r>
        <w:rPr>
          <w:rFonts w:asciiTheme="minorEastAsia" w:eastAsiaTheme="minorEastAsia" w:hAnsiTheme="minorEastAsia" w:hint="eastAsia"/>
          <w:bCs/>
          <w:color w:val="auto"/>
          <w:szCs w:val="21"/>
          <w:highlight w:val="none"/>
          <w:lang w:bidi="ar"/>
        </w:rPr>
        <w:t>投标文件报价出现前后不一致的，除招标文件另有规定外，按照下列规定修正：</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1</w:t>
      </w:r>
      <w:r>
        <w:rPr>
          <w:rFonts w:asciiTheme="minorEastAsia" w:eastAsiaTheme="minorEastAsia" w:hAnsiTheme="minorEastAsia" w:hint="eastAsia"/>
          <w:bCs/>
          <w:color w:val="auto"/>
          <w:szCs w:val="21"/>
          <w:highlight w:val="none"/>
          <w:lang w:bidi="ar"/>
        </w:rPr>
        <w:t>）投标文件中开标一览表（总报价表）内容与投标文件中相应内容不一致的，以开标一览表（总报价表）为准；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2</w:t>
      </w:r>
      <w:r>
        <w:rPr>
          <w:rFonts w:asciiTheme="minorEastAsia" w:eastAsiaTheme="minorEastAsia" w:hAnsiTheme="minorEastAsia" w:hint="eastAsia"/>
          <w:bCs/>
          <w:color w:val="auto"/>
          <w:szCs w:val="21"/>
          <w:highlight w:val="none"/>
          <w:lang w:bidi="ar"/>
        </w:rPr>
        <w:t>）大写金额和小写金额不一致的，以大写金额为准；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3</w:t>
      </w:r>
      <w:r>
        <w:rPr>
          <w:rFonts w:asciiTheme="minorEastAsia" w:eastAsiaTheme="minorEastAsia" w:hAnsiTheme="minorEastAsia" w:hint="eastAsia"/>
          <w:bCs/>
          <w:color w:val="auto"/>
          <w:szCs w:val="21"/>
          <w:highlight w:val="none"/>
          <w:lang w:bidi="ar"/>
        </w:rPr>
        <w:t>）单价金额小数点或者百分比有明显错位的，以开标一览表的总价为准，并修改单价；</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4</w:t>
      </w:r>
      <w:r>
        <w:rPr>
          <w:rFonts w:asciiTheme="minorEastAsia" w:eastAsiaTheme="minorEastAsia" w:hAnsiTheme="minorEastAsia" w:hint="eastAsia"/>
          <w:bCs/>
          <w:color w:val="auto"/>
          <w:szCs w:val="21"/>
          <w:highlight w:val="none"/>
          <w:lang w:bidi="ar"/>
        </w:rPr>
        <w:t>）总价金额与按单价汇总金额不一致的，以单价金额计算结果为准。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5</w:t>
      </w:r>
      <w:r>
        <w:rPr>
          <w:rFonts w:asciiTheme="minorEastAsia" w:eastAsiaTheme="minorEastAsia" w:hAnsiTheme="minorEastAsia" w:hint="eastAsia"/>
          <w:bCs/>
          <w:color w:val="auto"/>
          <w:szCs w:val="21"/>
          <w:highlight w:val="none"/>
          <w:lang w:bidi="ar"/>
        </w:rPr>
        <w:t>）同时出现两种以上不一致的，按照前款规定的顺序修正。修正后的报价按照</w:t>
      </w:r>
      <w:r>
        <w:rPr>
          <w:rFonts w:asciiTheme="minorEastAsia" w:eastAsiaTheme="minorEastAsia" w:hAnsiTheme="minorEastAsia"/>
          <w:bCs/>
          <w:color w:val="auto"/>
          <w:szCs w:val="21"/>
          <w:highlight w:val="none"/>
          <w:lang w:bidi="ar"/>
        </w:rPr>
        <w:t>18.2</w:t>
      </w:r>
      <w:r>
        <w:rPr>
          <w:rFonts w:asciiTheme="minorEastAsia" w:eastAsiaTheme="minorEastAsia" w:hAnsiTheme="minorEastAsia" w:hint="eastAsia"/>
          <w:bCs/>
          <w:color w:val="auto"/>
          <w:szCs w:val="21"/>
          <w:highlight w:val="none"/>
          <w:lang w:bidi="ar"/>
        </w:rPr>
        <w:t>条的规定经投标人确认后产生约束力，投标人不确认的，其投标无效。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20</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20.1 </w:t>
      </w:r>
      <w:r>
        <w:rPr>
          <w:rFonts w:asciiTheme="minorEastAsia" w:eastAsiaTheme="minorEastAsia" w:hAnsiTheme="minorEastAsia" w:hint="eastAsia"/>
          <w:b/>
          <w:color w:val="auto"/>
          <w:szCs w:val="21"/>
          <w:highlight w:val="none"/>
          <w:lang w:bidi="ar"/>
        </w:rPr>
        <w:t>投标人及投标文件有下列情况之一的，应当在资格审查时按照投标无效处理：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不具备招标文件中规定的资格要求的；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投标文件组成中“资格证明文件”未提供或无效的；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未通过信用记录审查或未提供相关证明材料的。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20.2 </w:t>
      </w:r>
      <w:r>
        <w:rPr>
          <w:rFonts w:asciiTheme="minorEastAsia" w:eastAsiaTheme="minorEastAsia" w:hAnsiTheme="minorEastAsia" w:hint="eastAsia"/>
          <w:b/>
          <w:color w:val="auto"/>
          <w:szCs w:val="21"/>
          <w:highlight w:val="none"/>
          <w:lang w:bidi="ar"/>
        </w:rPr>
        <w:t>投标人及投标文件有下列情况之一的，应当在符合性审查时按照投标无效处理：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投标文件组成中除“资格证明文件”外，★条款相关文件及资料未提供或提供无效的</w:t>
      </w:r>
      <w:r>
        <w:rPr>
          <w:rFonts w:asciiTheme="minorEastAsia" w:eastAsiaTheme="minorEastAsia" w:hAnsiTheme="minorEastAsia"/>
          <w:b/>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投标文件未按招标文件要求签署、盖章的；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投标报价超过招标文件中规定的预算金额或者最高限价的；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投标有效期不足的；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投标文件含有采购人不能接受的附加条件的；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20.3 </w:t>
      </w:r>
      <w:r>
        <w:rPr>
          <w:rFonts w:asciiTheme="minorEastAsia" w:eastAsiaTheme="minorEastAsia" w:hAnsiTheme="minorEastAsia" w:hint="eastAsia"/>
          <w:b/>
          <w:color w:val="auto"/>
          <w:szCs w:val="21"/>
          <w:highlight w:val="none"/>
          <w:lang w:bidi="ar"/>
        </w:rPr>
        <w:t>除</w:t>
      </w:r>
      <w:r>
        <w:rPr>
          <w:rFonts w:asciiTheme="minorEastAsia" w:eastAsiaTheme="minorEastAsia" w:hAnsiTheme="minorEastAsia"/>
          <w:b/>
          <w:color w:val="auto"/>
          <w:szCs w:val="21"/>
          <w:highlight w:val="none"/>
          <w:lang w:bidi="ar"/>
        </w:rPr>
        <w:t>20.1</w:t>
      </w:r>
      <w:r>
        <w:rPr>
          <w:rFonts w:asciiTheme="minorEastAsia" w:eastAsiaTheme="minorEastAsia" w:hAnsiTheme="minorEastAsia" w:hint="eastAsia"/>
          <w:b/>
          <w:color w:val="auto"/>
          <w:szCs w:val="21"/>
          <w:highlight w:val="none"/>
          <w:lang w:bidi="ar"/>
        </w:rPr>
        <w:t>及</w:t>
      </w:r>
      <w:r>
        <w:rPr>
          <w:rFonts w:asciiTheme="minorEastAsia" w:eastAsiaTheme="minorEastAsia" w:hAnsiTheme="minorEastAsia"/>
          <w:b/>
          <w:color w:val="auto"/>
          <w:szCs w:val="21"/>
          <w:highlight w:val="none"/>
          <w:lang w:bidi="ar"/>
        </w:rPr>
        <w:t>20.2</w:t>
      </w:r>
      <w:r>
        <w:rPr>
          <w:rFonts w:asciiTheme="minorEastAsia" w:eastAsiaTheme="minorEastAsia" w:hAnsiTheme="minorEastAsia" w:hint="eastAsia"/>
          <w:b/>
          <w:color w:val="auto"/>
          <w:szCs w:val="21"/>
          <w:highlight w:val="none"/>
          <w:lang w:bidi="ar"/>
        </w:rPr>
        <w:t>情形外，投标人及投标文件有下列情况之一的，应当按照投标无效处理：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提供虚假投标文件材料的；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投标人串通投标的；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投标报价明显低于其他通过符合性审查投标人的报价，且不能证明其报价合理性的。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法律、法规和招标文件规定的其他无效情形。</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21.1 </w:t>
      </w:r>
      <w:r>
        <w:rPr>
          <w:rFonts w:asciiTheme="minorEastAsia" w:eastAsiaTheme="minorEastAsia" w:hAnsiTheme="minorEastAsia" w:hint="eastAsia"/>
          <w:color w:val="auto"/>
          <w:szCs w:val="21"/>
          <w:highlight w:val="none"/>
          <w:lang w:bidi="ar"/>
        </w:rPr>
        <w:t>评标委员会按照招标文件中规定的评标方法和标准，对符合性审查合格的投标文件进行商务和技术评估，综合比较与评价。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21.2 </w:t>
      </w:r>
      <w:r>
        <w:rPr>
          <w:rFonts w:asciiTheme="minorEastAsia" w:eastAsiaTheme="minorEastAsia" w:hAnsiTheme="minorEastAsia" w:hint="eastAsia"/>
          <w:color w:val="auto"/>
          <w:szCs w:val="21"/>
          <w:highlight w:val="none"/>
          <w:lang w:bidi="ar"/>
        </w:rPr>
        <w:t>价格分应当采用低价优先法计算。小型、微型企业和监狱企业、残疾人福利性单位的投标报价按照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21.3 </w:t>
      </w:r>
      <w:r>
        <w:rPr>
          <w:rFonts w:asciiTheme="minorEastAsia" w:eastAsiaTheme="minorEastAsia" w:hAnsiTheme="minorEastAsia" w:hint="eastAsia"/>
          <w:color w:val="auto"/>
          <w:szCs w:val="21"/>
          <w:highlight w:val="none"/>
          <w:lang w:bidi="ar"/>
        </w:rPr>
        <w:t>评标委员会各成员独立对每个投标人的投标文件进行评价，并汇总得出每个投标人的评审得分。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21.4 </w:t>
      </w:r>
      <w:r>
        <w:rPr>
          <w:rFonts w:asciiTheme="minorEastAsia" w:eastAsiaTheme="minorEastAsia" w:hAnsiTheme="minorEastAsia" w:hint="eastAsia"/>
          <w:color w:val="auto"/>
          <w:szCs w:val="21"/>
          <w:highlight w:val="none"/>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21.5 </w:t>
      </w:r>
      <w:r>
        <w:rPr>
          <w:rFonts w:asciiTheme="minorEastAsia" w:eastAsiaTheme="minorEastAsia" w:hAnsiTheme="minorEastAsia" w:hint="eastAsia"/>
          <w:color w:val="auto"/>
          <w:szCs w:val="21"/>
          <w:highlight w:val="none"/>
          <w:lang w:bidi="ar"/>
        </w:rPr>
        <w:t>评标方法及标准</w:t>
      </w:r>
      <w:r>
        <w:rPr>
          <w:rFonts w:asciiTheme="minorEastAsia" w:eastAsiaTheme="minorEastAsia" w:hAnsiTheme="minorEastAsia" w:hint="eastAsia"/>
          <w:b/>
          <w:color w:val="auto"/>
          <w:szCs w:val="21"/>
          <w:highlight w:val="none"/>
          <w:lang w:bidi="ar"/>
        </w:rPr>
        <w:t>详见招标文件商务部分第三章</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21.6 </w:t>
      </w:r>
      <w:r>
        <w:rPr>
          <w:rFonts w:asciiTheme="minorEastAsia" w:eastAsiaTheme="minorEastAsia" w:hAnsiTheme="minorEastAsia" w:hint="eastAsia"/>
          <w:color w:val="auto"/>
          <w:szCs w:val="21"/>
          <w:highlight w:val="none"/>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22.1 </w:t>
      </w:r>
      <w:r>
        <w:rPr>
          <w:rFonts w:asciiTheme="minorEastAsia" w:eastAsiaTheme="minorEastAsia" w:hAnsiTheme="minorEastAsia" w:hint="eastAsia"/>
          <w:color w:val="auto"/>
          <w:szCs w:val="21"/>
          <w:highlight w:val="none"/>
          <w:lang w:bidi="ar"/>
        </w:rPr>
        <w:t>在招标采购中，出现下列情形之一的，应予废标：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）符合专业条件的供应商或者对招标文件作实质响应的供应商不足三家的；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）出现影响采购公正的违法、违规行为的；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）投标人的报价均超过了采购预算，采购人不能支付的；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）因重大变故，采购任务取消的。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22.2 </w:t>
      </w:r>
      <w:r>
        <w:rPr>
          <w:rFonts w:asciiTheme="minorEastAsia" w:eastAsiaTheme="minorEastAsia" w:hAnsiTheme="minorEastAsia" w:hint="eastAsia"/>
          <w:color w:val="auto"/>
          <w:szCs w:val="21"/>
          <w:highlight w:val="none"/>
          <w:lang w:bidi="ar"/>
        </w:rPr>
        <w:t>废标后，采购人将废标理由通知所有投标人。</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六、中标和合同</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23．中标信息公告</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23.1中标人确定之日起2个工作日内，采购人应将中标结果在</w:t>
      </w:r>
      <w:r>
        <w:rPr>
          <w:rFonts w:asciiTheme="minorEastAsia" w:eastAsiaTheme="minorEastAsia" w:hAnsiTheme="minorEastAsia" w:hint="eastAsia"/>
          <w:b/>
          <w:bCs/>
          <w:color w:val="auto"/>
          <w:szCs w:val="21"/>
          <w:highlight w:val="none"/>
        </w:rPr>
        <w:t>投标人须知前附表</w:t>
      </w:r>
      <w:r>
        <w:rPr>
          <w:rFonts w:asciiTheme="minorEastAsia" w:eastAsiaTheme="minorEastAsia" w:hAnsiTheme="minorEastAsia" w:hint="eastAsia"/>
          <w:color w:val="auto"/>
          <w:szCs w:val="21"/>
          <w:highlight w:val="none"/>
        </w:rPr>
        <w:t>中规定的公告媒体上公布。</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23.2 招标文件随中标结果同时公告。但中标结果公告前招标文件已公告的，不再重复公告。</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23.3 采购人应当自发布中标公告的同时，发出中标通知书，中标通知书对采购人和中标人具有同等法律效力。</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23.4 中标通知书发出后，采购人不得违法改变中标结果，中标人无正当理由不得放弃中标。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签订合同</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24.1 采购人应当自中标通知书发出之日起25日内，按照招标文件和中标人投标文件的规定，与中标人签订合同。线上采购项目可通过评审管理系统签订合同。</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24.2 所签订的合同不得对招标文件确定的事项和中标人投标文件作实质性修改。</w:t>
      </w:r>
    </w:p>
    <w:p>
      <w:pPr>
        <w:topLinePunct/>
        <w:autoSpaceDE w:val="0"/>
        <w:autoSpaceDN w:val="0"/>
        <w:spacing w:line="360" w:lineRule="auto"/>
        <w:ind w:firstLine="420" w:firstLineChars="200"/>
        <w:rPr>
          <w:rFonts w:asciiTheme="minorEastAsia" w:eastAsiaTheme="minorEastAsia" w:hAnsiTheme="minorEastAsia" w:hint="eastAsia"/>
          <w:color w:val="auto"/>
          <w:szCs w:val="21"/>
          <w:highlight w:val="none"/>
        </w:rPr>
      </w:pPr>
      <w:r>
        <w:rPr>
          <w:rFonts w:asciiTheme="minorEastAsia" w:eastAsiaTheme="minorEastAsia" w:hAnsiTheme="minorEastAsia" w:hint="eastAsia"/>
          <w:color w:val="auto"/>
          <w:szCs w:val="21"/>
          <w:highlight w:val="none"/>
        </w:rPr>
        <w:t>24.3 采购人不得向中标人提出任何不合理的要求作为签订合同的条件。</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24.4 中标人拒绝与采购人签订合同的，采购人可以按照评审报告推荐的中标候选人名单排序，确定下一候选人为中标人，也可以重新开展政府采购活动。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履约保证金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25.1 </w:t>
      </w:r>
      <w:r>
        <w:rPr>
          <w:rFonts w:asciiTheme="minorEastAsia" w:eastAsiaTheme="minorEastAsia" w:hAnsiTheme="minorEastAsia" w:hint="eastAsia"/>
          <w:color w:val="auto"/>
          <w:szCs w:val="21"/>
          <w:highlight w:val="none"/>
          <w:lang w:bidi="ar"/>
        </w:rPr>
        <w:t>需提交履约保证金的项目，中标人应按照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的规定，向采购人提交履约保证金。</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七、询问和质疑</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26. </w:t>
      </w:r>
      <w:r>
        <w:rPr>
          <w:rFonts w:asciiTheme="minorEastAsia" w:eastAsiaTheme="minorEastAsia" w:hAnsiTheme="minorEastAsia" w:hint="eastAsia"/>
          <w:b/>
          <w:color w:val="auto"/>
          <w:szCs w:val="21"/>
          <w:highlight w:val="none"/>
          <w:lang w:bidi="ar"/>
        </w:rPr>
        <w:t>询问</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质疑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27.1 </w:t>
      </w:r>
      <w:r>
        <w:rPr>
          <w:rFonts w:asciiTheme="minorEastAsia" w:eastAsiaTheme="minorEastAsia" w:hAnsiTheme="minorEastAsia" w:hint="eastAsia"/>
          <w:color w:val="auto"/>
          <w:szCs w:val="21"/>
          <w:highlight w:val="none"/>
          <w:lang w:bidi="ar"/>
        </w:rPr>
        <w:t>供应商认为招标文件、招标过程和中标结果使自己的权益受到损害的，可以在知道或者应知其权益受到损害之日起</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个工作日内通过评审管理系统等书面形式向采购人提出质疑。联系部门、联系电话、通讯地址、电子邮箱见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。在法定质疑期内，针对同一采购程序环节的质疑应一次性提出。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27.2 </w:t>
      </w:r>
      <w:r>
        <w:rPr>
          <w:rFonts w:asciiTheme="minorEastAsia" w:eastAsiaTheme="minorEastAsia" w:hAnsiTheme="minorEastAsia" w:hint="eastAsia"/>
          <w:color w:val="auto"/>
          <w:szCs w:val="21"/>
          <w:highlight w:val="none"/>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27.3 </w:t>
      </w:r>
      <w:r>
        <w:rPr>
          <w:rFonts w:asciiTheme="minorEastAsia" w:eastAsiaTheme="minorEastAsia" w:hAnsiTheme="minorEastAsia" w:hint="eastAsia"/>
          <w:color w:val="auto"/>
          <w:szCs w:val="21"/>
          <w:highlight w:val="none"/>
          <w:lang w:bidi="ar"/>
        </w:rPr>
        <w:t>采购人应当在收到供应商的质疑函后</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color w:val="auto"/>
          <w:szCs w:val="21"/>
          <w:highlight w:val="none"/>
          <w:lang w:bidi="ar"/>
        </w:rPr>
        <w:t xml:space="preserve">27.4 </w:t>
      </w:r>
      <w:r>
        <w:rPr>
          <w:rFonts w:asciiTheme="minorEastAsia" w:eastAsiaTheme="minorEastAsia" w:hAnsiTheme="minorEastAsia" w:hint="eastAsia"/>
          <w:color w:val="auto"/>
          <w:szCs w:val="21"/>
          <w:highlight w:val="none"/>
          <w:lang w:bidi="ar"/>
        </w:rPr>
        <w:t>质疑供应商对采购人的答复不满意或者采购人未在规定时间内作出答复的，可以在答复期满后</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个工作日内按有关规定，向同级人民政府财政部门投诉。</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八、其他</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保密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28.1 </w:t>
      </w:r>
      <w:r>
        <w:rPr>
          <w:rFonts w:asciiTheme="minorEastAsia" w:eastAsiaTheme="minorEastAsia" w:hAnsiTheme="minorEastAsia" w:hint="eastAsia"/>
          <w:color w:val="auto"/>
          <w:szCs w:val="21"/>
          <w:highlight w:val="none"/>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28.2 </w:t>
      </w:r>
      <w:r>
        <w:rPr>
          <w:rFonts w:asciiTheme="minorEastAsia" w:eastAsiaTheme="minorEastAsia" w:hAnsiTheme="minorEastAsia" w:hint="eastAsia"/>
          <w:color w:val="auto"/>
          <w:szCs w:val="21"/>
          <w:highlight w:val="none"/>
          <w:lang w:bidi="ar"/>
        </w:rPr>
        <w:t>评标委员会成员和参与评标工作的有关人员对评标情况以及在评标过程中获悉的国家秘密、商业秘密负有保密责任。</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29. </w:t>
      </w:r>
      <w:r>
        <w:rPr>
          <w:rFonts w:asciiTheme="minorEastAsia" w:eastAsiaTheme="minorEastAsia" w:hAnsiTheme="minorEastAsia" w:hint="eastAsia"/>
          <w:b/>
          <w:color w:val="auto"/>
          <w:szCs w:val="21"/>
          <w:highlight w:val="none"/>
          <w:lang w:bidi="ar"/>
        </w:rPr>
        <w:t>知识产权与规避专利、版权纠纷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 </w:t>
      </w:r>
      <w:r>
        <w:rPr>
          <w:rFonts w:asciiTheme="minorEastAsia" w:eastAsiaTheme="minorEastAsia" w:hAnsiTheme="minorEastAsia" w:hint="eastAsia"/>
          <w:color w:val="auto"/>
          <w:szCs w:val="21"/>
          <w:highlight w:val="none"/>
          <w:lang w:bidi="ar"/>
        </w:rPr>
        <w:t>知识产权</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29.1.1 </w:t>
      </w:r>
      <w:r>
        <w:rPr>
          <w:rFonts w:asciiTheme="minorEastAsia" w:eastAsiaTheme="minorEastAsia" w:hAnsiTheme="minorEastAsia" w:hint="eastAsia"/>
          <w:color w:val="auto"/>
          <w:szCs w:val="21"/>
          <w:highlight w:val="none"/>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 </w:t>
      </w:r>
      <w:r>
        <w:rPr>
          <w:rFonts w:asciiTheme="minorEastAsia" w:eastAsiaTheme="minorEastAsia" w:hAnsiTheme="minorEastAsia" w:hint="eastAsia"/>
          <w:color w:val="auto"/>
          <w:szCs w:val="21"/>
          <w:highlight w:val="none"/>
          <w:lang w:bidi="ar"/>
        </w:rPr>
        <w:t>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29.2.1 </w:t>
      </w:r>
      <w:r>
        <w:rPr>
          <w:rFonts w:asciiTheme="minorEastAsia" w:eastAsiaTheme="minorEastAsia" w:hAnsiTheme="minorEastAsia" w:hint="eastAsia"/>
          <w:color w:val="auto"/>
          <w:szCs w:val="21"/>
          <w:highlight w:val="none"/>
          <w:lang w:bidi="ar"/>
        </w:rPr>
        <w:t>投标人应保证其投标方案中的有关软件、文件、图纸等没有违反有关专利和版权等知识产权的规定。</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29.2.2 </w:t>
      </w:r>
      <w:r>
        <w:rPr>
          <w:rFonts w:asciiTheme="minorEastAsia" w:eastAsiaTheme="minorEastAsia" w:hAnsiTheme="minorEastAsia" w:hint="eastAsia"/>
          <w:color w:val="auto"/>
          <w:szCs w:val="21"/>
          <w:highlight w:val="none"/>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29.2.3 </w:t>
      </w:r>
      <w:r>
        <w:rPr>
          <w:rFonts w:asciiTheme="minorEastAsia" w:eastAsiaTheme="minorEastAsia" w:hAnsiTheme="minorEastAsia" w:hint="eastAsia"/>
          <w:color w:val="auto"/>
          <w:szCs w:val="21"/>
          <w:highlight w:val="none"/>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heme="minorEastAsia" w:eastAsiaTheme="minorEastAsia" w:hAnsiTheme="minorEastAsia"/>
          <w:color w:val="auto"/>
          <w:szCs w:val="21"/>
          <w:highlight w:val="none"/>
          <w:lang w:bidi="ar"/>
        </w:rPr>
        <w:t xml:space="preserve">29.2.4 </w:t>
      </w:r>
      <w:r>
        <w:rPr>
          <w:rFonts w:asciiTheme="minorEastAsia" w:eastAsiaTheme="minorEastAsia" w:hAnsiTheme="minorEastAsia" w:hint="eastAsia"/>
          <w:color w:val="auto"/>
          <w:szCs w:val="21"/>
          <w:highlight w:val="none"/>
          <w:lang w:bidi="ar"/>
        </w:rPr>
        <w:t>如果采购人发现任何第三方在采购人未被许可的范围内非法使用采购人获得的知识产权，采购人应通知中标人。中标人应在收到采购人通知后</w:t>
      </w:r>
      <w:r>
        <w:rPr>
          <w:rFonts w:asciiTheme="minorEastAsia" w:eastAsiaTheme="minorEastAsia" w:hAnsiTheme="minorEastAsia"/>
          <w:color w:val="auto"/>
          <w:szCs w:val="21"/>
          <w:highlight w:val="none"/>
          <w:lang w:bidi="ar"/>
        </w:rPr>
        <w:t>14</w:t>
      </w:r>
      <w:r>
        <w:rPr>
          <w:rFonts w:asciiTheme="minorEastAsia" w:eastAsiaTheme="minorEastAsia" w:hAnsiTheme="minorEastAsia" w:hint="eastAsia"/>
          <w:color w:val="auto"/>
          <w:szCs w:val="21"/>
          <w:highlight w:val="none"/>
          <w:lang w:bidi="ar"/>
        </w:rPr>
        <w:t>天内采取行动制止非法使用行为，否则由中标人承担相应的责任。</w:t>
      </w:r>
    </w:p>
    <w:p>
      <w:pPr>
        <w:spacing w:line="360" w:lineRule="auto"/>
        <w:rPr>
          <w:rFonts w:ascii="Times New Roman" w:hAnsi="Times New Roman"/>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第三章  评标方法及标准</w:t>
      </w:r>
    </w:p>
    <w:p>
      <w:pPr>
        <w:topLinePunct/>
        <w:autoSpaceDE w:val="0"/>
        <w:autoSpaceDN w:val="0"/>
        <w:spacing w:before="156" w:beforeLines="50"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w:t>
      </w:r>
      <w:r>
        <w:rPr>
          <w:rFonts w:ascii="Times New Roman" w:hAnsi="Times New Roman" w:hint="eastAsia"/>
          <w:b/>
          <w:color w:val="auto"/>
          <w:szCs w:val="21"/>
          <w:highlight w:val="none"/>
        </w:rPr>
        <w:t>评标方法</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 </w:t>
      </w:r>
      <w:r>
        <w:rPr>
          <w:rFonts w:ascii="Times New Roman" w:hAnsi="Times New Roman" w:hint="eastAsia"/>
          <w:color w:val="auto"/>
          <w:szCs w:val="21"/>
          <w:highlight w:val="none"/>
        </w:rPr>
        <w:t>本项目评标方法：</w:t>
      </w:r>
      <w:r>
        <w:rPr>
          <w:rFonts w:ascii="Times New Roman" w:hAnsi="Times New Roman" w:hint="eastAsia"/>
          <w:b/>
          <w:color w:val="auto"/>
          <w:szCs w:val="21"/>
          <w:highlight w:val="none"/>
          <w:u w:val="single"/>
        </w:rPr>
        <w:t>采用综合评分法</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w:t>
      </w:r>
      <w:r>
        <w:rPr>
          <w:rFonts w:ascii="Times New Roman" w:hAnsi="Times New Roman" w:hint="eastAsia"/>
          <w:b/>
          <w:color w:val="auto"/>
          <w:szCs w:val="21"/>
          <w:highlight w:val="none"/>
        </w:rPr>
        <w:t>评标标准</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2.1 </w:t>
      </w:r>
      <w:r>
        <w:rPr>
          <w:rFonts w:ascii="Times New Roman" w:hAnsi="Times New Roman" w:hint="eastAsia"/>
          <w:color w:val="auto"/>
          <w:kern w:val="0"/>
          <w:szCs w:val="21"/>
          <w:highlight w:val="none"/>
        </w:rPr>
        <w:t>本项目</w:t>
      </w:r>
      <w:r>
        <w:rPr>
          <w:rFonts w:ascii="Times New Roman" w:hAnsi="Times New Roman" w:hint="eastAsia"/>
          <w:b/>
          <w:color w:val="auto"/>
          <w:kern w:val="0"/>
          <w:szCs w:val="21"/>
          <w:highlight w:val="none"/>
          <w:u w:val="single"/>
        </w:rPr>
        <w:t>采用</w:t>
      </w:r>
      <w:r>
        <w:rPr>
          <w:rFonts w:ascii="Times New Roman" w:hAnsi="Times New Roman" w:hint="eastAsia"/>
          <w:b/>
          <w:color w:val="auto"/>
          <w:szCs w:val="21"/>
          <w:highlight w:val="none"/>
          <w:u w:val="single"/>
        </w:rPr>
        <w:t>百分制</w:t>
      </w:r>
      <w:r>
        <w:rPr>
          <w:rFonts w:ascii="Times New Roman" w:hAnsi="Times New Roman" w:hint="eastAsia"/>
          <w:b/>
          <w:color w:val="auto"/>
          <w:kern w:val="0"/>
          <w:szCs w:val="21"/>
          <w:highlight w:val="none"/>
          <w:u w:val="single"/>
        </w:rPr>
        <w:t>综合评分法</w:t>
      </w:r>
      <w:r>
        <w:rPr>
          <w:rFonts w:ascii="Times New Roman" w:hAnsi="Times New Roman" w:hint="eastAsia"/>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 </w:t>
      </w:r>
      <w:r>
        <w:rPr>
          <w:rFonts w:ascii="Times New Roman" w:hAnsi="Times New Roman" w:hint="eastAsia"/>
          <w:color w:val="auto"/>
          <w:szCs w:val="21"/>
          <w:highlight w:val="none"/>
        </w:rPr>
        <w:t>本项目价格分值为</w:t>
      </w:r>
      <w:r>
        <w:rPr>
          <w:rFonts w:ascii="Times New Roman" w:hAnsi="Times New Roman" w:hint="eastAsia"/>
          <w:color w:val="auto"/>
          <w:szCs w:val="21"/>
          <w:highlight w:val="none"/>
          <w:u w:val="single"/>
        </w:rPr>
        <w:t>15</w:t>
      </w:r>
      <w:r>
        <w:rPr>
          <w:rFonts w:ascii="Times New Roman" w:hAnsi="Times New Roman" w:hint="eastAsia"/>
          <w:color w:val="auto"/>
          <w:szCs w:val="21"/>
          <w:highlight w:val="none"/>
        </w:rPr>
        <w:t>分，其余评审因素分值为</w:t>
      </w:r>
      <w:r>
        <w:rPr>
          <w:rFonts w:ascii="Times New Roman" w:hAnsi="Times New Roman" w:hint="eastAsia"/>
          <w:color w:val="auto"/>
          <w:szCs w:val="21"/>
          <w:highlight w:val="none"/>
          <w:u w:val="single"/>
        </w:rPr>
        <w:t>85</w:t>
      </w:r>
      <w:r>
        <w:rPr>
          <w:rFonts w:ascii="Times New Roman" w:hAnsi="Times New Roman" w:hint="eastAsia"/>
          <w:color w:val="auto"/>
          <w:szCs w:val="21"/>
          <w:highlight w:val="none"/>
        </w:rPr>
        <w:t>分，按四舍五入取至百分位。</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hint="eastAsia"/>
          <w:b/>
          <w:color w:val="auto"/>
          <w:szCs w:val="21"/>
          <w:highlight w:val="none"/>
        </w:rPr>
        <w:t>3</w:t>
      </w:r>
      <w:r>
        <w:rPr>
          <w:rFonts w:ascii="Times New Roman" w:hAnsi="Times New Roman"/>
          <w:b/>
          <w:color w:val="auto"/>
          <w:szCs w:val="21"/>
          <w:highlight w:val="none"/>
        </w:rPr>
        <w:t>.</w:t>
      </w:r>
      <w:r>
        <w:rPr>
          <w:rFonts w:ascii="Times New Roman" w:hAnsi="Times New Roman" w:hint="eastAsia"/>
          <w:b/>
          <w:color w:val="auto"/>
          <w:szCs w:val="21"/>
          <w:highlight w:val="none"/>
        </w:rPr>
        <w:t>评委构成：</w:t>
      </w:r>
    </w:p>
    <w:p>
      <w:pPr>
        <w:spacing w:line="360" w:lineRule="auto"/>
        <w:ind w:firstLine="420" w:firstLineChars="200"/>
        <w:rPr>
          <w:rFonts w:ascii="宋体" w:hAnsi="宋体" w:cs="宋体"/>
          <w:color w:val="auto"/>
          <w:szCs w:val="21"/>
          <w:highlight w:val="none"/>
        </w:rPr>
      </w:pPr>
      <w:r>
        <w:rPr>
          <w:rFonts w:ascii="Times New Roman" w:hAnsi="Times New Roman" w:hint="eastAsia"/>
          <w:color w:val="auto"/>
          <w:szCs w:val="21"/>
          <w:highlight w:val="none"/>
        </w:rPr>
        <w:t>本项目评标委员会由采购人代表和评审专家组成，成员人数为5人单数，其中评审专家不得少于成员总数的三分之二。</w:t>
      </w:r>
    </w:p>
    <w:p>
      <w:pPr>
        <w:topLinePunct/>
        <w:autoSpaceDE w:val="0"/>
        <w:autoSpaceDN w:val="0"/>
        <w:spacing w:line="360" w:lineRule="auto"/>
        <w:ind w:firstLine="420" w:firstLineChars="200"/>
        <w:rPr>
          <w:rFonts w:ascii="Times New Roman" w:hAnsi="Times New Roman"/>
          <w:color w:val="auto"/>
          <w:szCs w:val="21"/>
          <w:highlight w:val="none"/>
        </w:rPr>
      </w:pP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宋体" w:hAnsi="宋体" w:cs="宋体"/>
          <w:color w:val="auto"/>
          <w:sz w:val="24"/>
          <w:highlight w:val="none"/>
        </w:rPr>
      </w:pPr>
      <w:r>
        <w:rPr>
          <w:rFonts w:ascii="Times New Roman" w:hAnsi="Times New Roman" w:hint="eastAsia"/>
          <w:color w:val="auto"/>
          <w:szCs w:val="21"/>
          <w:highlight w:val="none"/>
        </w:rPr>
        <w:t>评审标准如下表：</w:t>
      </w:r>
    </w:p>
    <w:tbl>
      <w:tblPr>
        <w:tblStyle w:val="TableNormal"/>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503"/>
        <w:gridCol w:w="1217"/>
        <w:gridCol w:w="974"/>
        <w:gridCol w:w="5648"/>
        <w:gridCol w:w="684"/>
      </w:tblGrid>
      <w:tr>
        <w:tblPrEx>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134"/>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序号</w:t>
            </w:r>
          </w:p>
        </w:tc>
        <w:tc>
          <w:tcPr>
            <w:tcW w:w="1217"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评审因素</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主要</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内容</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指标要求</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细项</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分值</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1</w:t>
            </w:r>
          </w:p>
        </w:tc>
        <w:tc>
          <w:tcPr>
            <w:tcW w:w="1217"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投标报价</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15分)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价格</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15分)</w:t>
            </w:r>
          </w:p>
        </w:tc>
        <w:tc>
          <w:tcPr>
            <w:tcW w:w="5648" w:type="dxa"/>
            <w:tcBorders>
              <w:top w:val="single" w:sz="4" w:space="0" w:color="auto"/>
              <w:left w:val="single" w:sz="4" w:space="0" w:color="auto"/>
              <w:bottom w:val="single" w:sz="4" w:space="0" w:color="auto"/>
              <w:right w:val="single" w:sz="4" w:space="0" w:color="auto"/>
            </w:tcBorders>
            <w:noWrap/>
            <w:vAlign w:val="center"/>
          </w:tcPr>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投标报价得分=（评标基准价／投标报价）×满分值</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（1）评标基准价是指满足招标文件要求且投标价格最低的投标报价。</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（2）因落实政府采购政策进行价格调整的，以调整后的价格计算评标基准价和投标报价。</w:t>
            </w:r>
          </w:p>
          <w:p>
            <w:pPr>
              <w:pStyle w:val="null3"/>
              <w:pageBreakBefore w:val="0"/>
              <w:widowControl w:val="0"/>
              <w:kinsoku/>
              <w:wordWrap/>
              <w:topLinePunct w:val="0"/>
              <w:bidi w:val="0"/>
              <w:adjustRightInd/>
              <w:snapToGrid/>
              <w:spacing w:line="360" w:lineRule="auto"/>
              <w:jc w:val="both"/>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（3）调整后的价格只是作为评标时使用，最终中标人的中标金额＝投标报价。</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15分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Cs/>
                <w:color w:val="auto"/>
                <w:kern w:val="0"/>
                <w:sz w:val="21"/>
                <w:szCs w:val="21"/>
                <w:highlight w:val="none"/>
              </w:rPr>
            </w:pPr>
            <w:r>
              <w:rPr>
                <w:rFonts w:ascii="宋体" w:eastAsia="宋体" w:hAnsi="宋体" w:cs="宋体" w:hint="eastAsia"/>
                <w:bCs/>
                <w:color w:val="auto"/>
                <w:kern w:val="0"/>
                <w:sz w:val="21"/>
                <w:szCs w:val="21"/>
                <w:highlight w:val="none"/>
              </w:rPr>
              <w:t>2</w:t>
            </w:r>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技术因素</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67分)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综合服务及会议服务方案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由评标委员会对投标人提供的综合服务及会议服务方案内容进行评价。以下各项不重复计分：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①投标人的综合服务及会议服务方案能完全响应项目采购需求的服务内容要求前提下，能根据综合服务要求及会议服务要求制订具体的服务措施，得2分；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②在本项第①项的基础上，能根据项目采购需求的综合服务及会议服务要求制订有针对性的、具体的服务流程、服务计划，得4分；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综合服务及会议服务要求制订有内部管理架构，综合服务及会议服务相关的管理制度齐全，岗位责任和岗位培训方案完善，承诺每半年两次，向采购人采用走访、问卷调查等形式开展调查，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注：投标人未提供综合服务及会议服务方案或综合服务及会议服务方案未达到①标准要求的，得0分。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3</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保洁、绿化服务方案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由评标委员会对投标人提供的保洁、绿化服务方案内容进行评价。以下各项不重复计分：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①投标人的保洁、绿化服务方案能完全响应项目采购需求的服务内容要求前提下，能根据保洁、绿化服务要求制订具体的服务措施，得2分；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制订具体的日常保洁、绿化养护服务计划及服务流程，保洁、绿化日常工作检查的记录表单齐全，制订有针对保洁、绿化服务内容的相应管理制度、考核制度，承诺项目经理每天至少2次对保洁区域进行巡视检查，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③在本项第②项的基础上，针对保洁、绿化服务内容提出服务的重点难点，并能提供解决措施，针对垃圾分类管理工作提出切实可行的宣传策划、实施方案及落实保障措施，得6分。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注：投标人未提供保洁、绿化服务方案或保洁、绿化服务方案未达到①标准要求的，得0分。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4</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服务方案能完全响应项目采购需求的服务内容要求前提下，能根据</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②在本项第①项的基础上，建立明确的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服务措施得力，得4分；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③在本项第②项的基础上，制订有齐全的日常安全巡检的记录台账（表单），制订有明确的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人员录用、培训、考核、日常安全演练等管理方案，针对</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服务内容提出服务的重点难点，并能提供解决措施，得6分。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bCs/>
                <w:color w:val="auto"/>
                <w:sz w:val="21"/>
                <w:szCs w:val="21"/>
                <w:highlight w:val="none"/>
                <w:lang w:val="zh-CN"/>
              </w:rPr>
              <w:t>供</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服务方案或</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服务方案未达到①标准要求的</w:t>
            </w:r>
            <w:r>
              <w:rPr>
                <w:rFonts w:ascii="宋体" w:eastAsia="宋体" w:hAnsi="宋体" w:cs="宋体" w:hint="eastAsia"/>
                <w:b/>
                <w:color w:val="auto"/>
                <w:sz w:val="21"/>
                <w:szCs w:val="21"/>
                <w:highlight w:val="none"/>
                <w:lang w:val="zh-CN"/>
              </w:rPr>
              <w:t>，得0分。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5</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w:t>
            </w: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服务方案内容进行评价。以下各项不重复计分：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w:t>
            </w:r>
            <w:r>
              <w:rPr>
                <w:rFonts w:ascii="宋体" w:eastAsia="宋体" w:hAnsi="宋体" w:cs="宋体" w:hint="eastAsia"/>
                <w:color w:val="auto"/>
                <w:sz w:val="21"/>
                <w:szCs w:val="21"/>
                <w:highlight w:val="none"/>
              </w:rPr>
              <w:t>餐饮</w:t>
            </w:r>
            <w:r>
              <w:rPr>
                <w:rFonts w:ascii="宋体" w:eastAsia="宋体" w:hAnsi="宋体" w:cs="宋体" w:hint="eastAsia"/>
                <w:color w:val="auto"/>
                <w:sz w:val="21"/>
                <w:szCs w:val="21"/>
                <w:highlight w:val="none"/>
                <w:lang w:val="zh-CN"/>
              </w:rPr>
              <w:t>服务方案能完全响应项目采购需求的服务内容要求前提下，能根据餐饮服务要求制订具体的服务措施，得2分；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②在本项第①项的基础上，能制订具体的餐饮服务计划及服务流程；制订有针对餐饮服务内容的相应管理制度、考核制度；得4分；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③在本项第②项的基础上，针对餐饮服务内容提出服务的重点难点，并能提供解决措施，针对本项目制订有利于提升服务质量的日常供餐、菜谱搭配方案，有项目实际运用案例，得6分。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bCs/>
                <w:color w:val="auto"/>
                <w:sz w:val="21"/>
                <w:szCs w:val="21"/>
                <w:highlight w:val="none"/>
                <w:lang w:val="zh-CN"/>
              </w:rPr>
              <w:t>供</w:t>
            </w:r>
            <w:r>
              <w:rPr>
                <w:rFonts w:ascii="宋体" w:eastAsia="宋体" w:hAnsi="宋体" w:cs="宋体" w:hint="eastAsia"/>
                <w:b/>
                <w:bCs/>
                <w:color w:val="auto"/>
                <w:sz w:val="21"/>
                <w:szCs w:val="21"/>
                <w:highlight w:val="none"/>
              </w:rPr>
              <w:t>餐饮服务方案</w:t>
            </w:r>
            <w:r>
              <w:rPr>
                <w:rFonts w:ascii="宋体" w:eastAsia="宋体" w:hAnsi="宋体" w:cs="宋体" w:hint="eastAsia"/>
                <w:b/>
                <w:bCs/>
                <w:color w:val="auto"/>
                <w:sz w:val="21"/>
                <w:szCs w:val="21"/>
                <w:highlight w:val="none"/>
                <w:lang w:val="zh-CN"/>
              </w:rPr>
              <w:t>或</w:t>
            </w:r>
            <w:r>
              <w:rPr>
                <w:rFonts w:ascii="宋体" w:eastAsia="宋体" w:hAnsi="宋体" w:cs="宋体" w:hint="eastAsia"/>
                <w:b/>
                <w:bCs/>
                <w:color w:val="auto"/>
                <w:sz w:val="21"/>
                <w:szCs w:val="21"/>
                <w:highlight w:val="none"/>
              </w:rPr>
              <w:t>餐饮服务方案</w:t>
            </w:r>
            <w:r>
              <w:rPr>
                <w:rFonts w:ascii="宋体" w:eastAsia="宋体" w:hAnsi="宋体" w:cs="宋体" w:hint="eastAsia"/>
                <w:b/>
                <w:bCs/>
                <w:color w:val="auto"/>
                <w:sz w:val="21"/>
                <w:szCs w:val="21"/>
                <w:highlight w:val="none"/>
                <w:lang w:val="zh-CN"/>
              </w:rPr>
              <w:t>未达到①标准要求的</w:t>
            </w:r>
            <w:r>
              <w:rPr>
                <w:rFonts w:ascii="宋体" w:eastAsia="宋体" w:hAnsi="宋体" w:cs="宋体" w:hint="eastAsia"/>
                <w:b/>
                <w:color w:val="auto"/>
                <w:sz w:val="21"/>
                <w:szCs w:val="21"/>
                <w:highlight w:val="none"/>
                <w:lang w:val="zh-CN"/>
              </w:rPr>
              <w:t>，得0分。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6</w:t>
            </w:r>
          </w:p>
        </w:tc>
        <w:tc>
          <w:tcPr>
            <w:tcW w:w="1217" w:type="dxa"/>
            <w:vMerge/>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突发事件应急预案</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6分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由评标委员会对投标人提供的突发事件应急方案（包括各类突发事件应急预案、人员及物资、处置方案、处理响应时间等）进行评价。以下各项不重复计分：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①投标人的突发事件应急预案能完全响应本项目应急服务需求的前提下，能针对应急服务需求制订应急措施，得2分；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②在本项第①的基础上，成立有专门的应急部门，应急人员配备到位、责任明确；应急物资配备齐全；制订有完善的处置流程图，能较快速地启动应急处理措施，得4分；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的基础上，针对各类突发事件（包括但不限于出现灾害性天气、地震、突发火灾、停电停电、供水管道爆裂、突发治安或刑事事件等）制订合理、有预见性、有针对性的处置措施，制订有针对不同突发事件的应急演练计划及应急演练方案，提高服务人员快速处置应急能力，得6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注：投标人未提供突发事件应急预案或突发事件应急预案未达到①标准要求的，得0分。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7</w:t>
            </w:r>
          </w:p>
        </w:tc>
        <w:tc>
          <w:tcPr>
            <w:tcW w:w="1217" w:type="dxa"/>
            <w:vMerge/>
            <w:tcBorders>
              <w:top w:val="single" w:sz="4" w:space="0" w:color="auto"/>
              <w:left w:val="single" w:sz="4" w:space="0" w:color="auto"/>
              <w:bottom w:val="single" w:sz="4" w:space="0" w:color="auto"/>
              <w:right w:val="single" w:sz="4" w:space="0" w:color="auto"/>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人员资历</w:t>
            </w:r>
          </w:p>
          <w:p>
            <w:pPr>
              <w:pStyle w:val="5"/>
              <w:pageBreakBefore w:val="0"/>
              <w:numPr>
                <w:ilvl w:val="4"/>
                <w:numId w:val="0"/>
              </w:numPr>
              <w:kinsoku/>
              <w:wordWrap/>
              <w:topLinePunct w:val="0"/>
              <w:bidi w:val="0"/>
              <w:adjustRightInd/>
              <w:snapToGrid/>
              <w:spacing w:before="0" w:after="0" w:line="360" w:lineRule="auto"/>
              <w:jc w:val="center"/>
              <w:rPr>
                <w:rFonts w:ascii="宋体" w:eastAsia="宋体" w:hAnsi="宋体" w:cs="宋体" w:hint="eastAsia"/>
                <w:color w:val="auto"/>
                <w:sz w:val="21"/>
                <w:szCs w:val="21"/>
                <w:highlight w:val="none"/>
                <w:lang w:val="zh-CN"/>
              </w:rPr>
            </w:pPr>
            <w:r>
              <w:rPr>
                <w:rFonts w:ascii="宋体" w:eastAsia="宋体" w:hAnsi="宋体" w:cs="宋体" w:hint="eastAsia"/>
                <w:b w:val="0"/>
                <w:color w:val="auto"/>
                <w:kern w:val="2"/>
                <w:sz w:val="21"/>
                <w:szCs w:val="21"/>
                <w:highlight w:val="none"/>
                <w:lang w:val="en-US" w:eastAsia="zh-CN" w:bidi="ar-SA"/>
              </w:rPr>
              <w:t>(37</w:t>
            </w:r>
            <w:r>
              <w:rPr>
                <w:rFonts w:ascii="宋体" w:eastAsia="宋体" w:hAnsi="宋体" w:cs="宋体" w:hint="eastAsia"/>
                <w:b w:val="0"/>
                <w:color w:val="auto"/>
                <w:kern w:val="2"/>
                <w:sz w:val="21"/>
                <w:szCs w:val="21"/>
                <w:highlight w:val="none"/>
                <w:lang w:val="zh-CN" w:eastAsia="zh-CN" w:bidi="ar-SA"/>
              </w:rPr>
              <w:t>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投标人拟投入服务人员在满足本项目采购需求“（五）服务人员及工资待遇”中</w:t>
            </w:r>
            <w:r>
              <w:rPr>
                <w:rFonts w:ascii="宋体" w:eastAsia="宋体" w:hAnsi="宋体" w:cs="宋体" w:hint="eastAsia"/>
                <w:b/>
                <w:color w:val="auto"/>
                <w:sz w:val="21"/>
                <w:szCs w:val="21"/>
                <w:highlight w:val="none"/>
                <w:lang w:val="zh-CN"/>
              </w:rPr>
              <w:t>“1.服务团队配置需求”</w:t>
            </w:r>
            <w:r>
              <w:rPr>
                <w:rFonts w:ascii="宋体" w:eastAsia="宋体" w:hAnsi="宋体" w:cs="宋体" w:hint="eastAsia"/>
                <w:color w:val="auto"/>
                <w:sz w:val="21"/>
                <w:szCs w:val="21"/>
                <w:highlight w:val="none"/>
                <w:lang w:val="zh-CN"/>
              </w:rPr>
              <w:t>的基础上，对下列指标进行考核评分：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（1）项目经理资历（1人）（满分</w:t>
            </w:r>
            <w:r>
              <w:rPr>
                <w:rFonts w:ascii="宋体" w:eastAsia="宋体" w:hAnsi="宋体" w:cs="宋体" w:hint="eastAsia"/>
                <w:b/>
                <w:bCs/>
                <w:color w:val="auto"/>
                <w:sz w:val="21"/>
                <w:szCs w:val="21"/>
                <w:highlight w:val="none"/>
              </w:rPr>
              <w:t>2</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具有四年以上项目经理任职经验的，得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bCs/>
                <w:color w:val="auto"/>
                <w:sz w:val="21"/>
                <w:szCs w:val="21"/>
                <w:highlight w:val="none"/>
                <w:lang w:val="zh-CN"/>
              </w:rPr>
            </w:pPr>
            <w:r>
              <w:rPr>
                <w:rFonts w:ascii="宋体" w:eastAsia="宋体" w:hAnsi="宋体" w:cs="宋体" w:hint="eastAsia"/>
                <w:b/>
                <w:bCs/>
                <w:color w:val="auto"/>
                <w:sz w:val="21"/>
                <w:szCs w:val="21"/>
                <w:highlight w:val="none"/>
                <w:lang w:val="zh-CN"/>
              </w:rPr>
              <w:t>（2）公共秩序维护人员资历（</w:t>
            </w:r>
            <w:r>
              <w:rPr>
                <w:rFonts w:ascii="宋体" w:eastAsia="宋体" w:hAnsi="宋体" w:cs="宋体" w:hint="eastAsia"/>
                <w:b/>
                <w:bCs/>
                <w:color w:val="auto"/>
                <w:sz w:val="21"/>
                <w:szCs w:val="21"/>
                <w:highlight w:val="none"/>
              </w:rPr>
              <w:t>16人</w:t>
            </w:r>
            <w:r>
              <w:rPr>
                <w:rFonts w:ascii="宋体" w:eastAsia="宋体" w:hAnsi="宋体" w:cs="宋体" w:hint="eastAsia"/>
                <w:b/>
                <w:bCs/>
                <w:color w:val="auto"/>
                <w:sz w:val="21"/>
                <w:szCs w:val="21"/>
                <w:highlight w:val="none"/>
                <w:lang w:val="zh-CN"/>
              </w:rPr>
              <w:t>）（满分</w:t>
            </w:r>
            <w:r>
              <w:rPr>
                <w:rFonts w:ascii="宋体" w:eastAsia="宋体" w:hAnsi="宋体" w:cs="宋体" w:hint="eastAsia"/>
                <w:b/>
                <w:bCs/>
                <w:color w:val="auto"/>
                <w:sz w:val="21"/>
                <w:szCs w:val="21"/>
                <w:highlight w:val="none"/>
              </w:rPr>
              <w:t>15</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①公共秩序维护员小组长资历（1人）（满分</w:t>
            </w:r>
            <w:r>
              <w:rPr>
                <w:rFonts w:ascii="宋体" w:eastAsia="宋体" w:hAnsi="宋体" w:cs="宋体" w:hint="eastAsia"/>
                <w:color w:val="auto"/>
                <w:sz w:val="21"/>
                <w:szCs w:val="21"/>
                <w:highlight w:val="none"/>
              </w:rPr>
              <w:t>3分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具有保安员证的，得1分；具有三年以上相关工作经验的，得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②公共秩序维护员资历（15人）（满分</w:t>
            </w:r>
            <w:r>
              <w:rPr>
                <w:rFonts w:ascii="宋体" w:eastAsia="宋体" w:hAnsi="宋体" w:cs="宋体" w:hint="eastAsia"/>
                <w:color w:val="auto"/>
                <w:sz w:val="21"/>
                <w:szCs w:val="21"/>
                <w:highlight w:val="none"/>
              </w:rPr>
              <w:t>12分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具有保安员证的，每人得1分，此项满分</w:t>
            </w:r>
            <w:r>
              <w:rPr>
                <w:rFonts w:ascii="宋体" w:eastAsia="宋体" w:hAnsi="宋体" w:cs="宋体" w:hint="eastAsia"/>
                <w:color w:val="auto"/>
                <w:sz w:val="21"/>
                <w:szCs w:val="21"/>
                <w:highlight w:val="none"/>
              </w:rPr>
              <w:t>8</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具有两年以上相关工作经验的，每人得</w:t>
            </w:r>
            <w:r>
              <w:rPr>
                <w:rFonts w:ascii="宋体" w:eastAsia="宋体" w:hAnsi="宋体" w:cs="宋体" w:hint="eastAsia"/>
                <w:color w:val="auto"/>
                <w:sz w:val="21"/>
                <w:szCs w:val="21"/>
                <w:highlight w:val="none"/>
              </w:rPr>
              <w:t>0.5</w:t>
            </w:r>
            <w:r>
              <w:rPr>
                <w:rFonts w:ascii="宋体" w:eastAsia="宋体" w:hAnsi="宋体" w:cs="宋体" w:hint="eastAsia"/>
                <w:color w:val="auto"/>
                <w:sz w:val="21"/>
                <w:szCs w:val="21"/>
                <w:highlight w:val="none"/>
                <w:lang w:val="zh-CN"/>
              </w:rPr>
              <w:t>分，此项满分</w:t>
            </w:r>
            <w:r>
              <w:rPr>
                <w:rFonts w:ascii="宋体" w:eastAsia="宋体" w:hAnsi="宋体" w:cs="宋体" w:hint="eastAsia"/>
                <w:color w:val="auto"/>
                <w:sz w:val="21"/>
                <w:szCs w:val="21"/>
                <w:highlight w:val="none"/>
              </w:rPr>
              <w:t>4</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bCs/>
                <w:color w:val="auto"/>
                <w:sz w:val="21"/>
                <w:szCs w:val="21"/>
                <w:highlight w:val="none"/>
                <w:lang w:val="zh-CN"/>
              </w:rPr>
            </w:pPr>
            <w:r>
              <w:rPr>
                <w:rFonts w:ascii="宋体" w:eastAsia="宋体" w:hAnsi="宋体" w:cs="宋体" w:hint="eastAsia"/>
                <w:b/>
                <w:bCs/>
                <w:color w:val="auto"/>
                <w:sz w:val="21"/>
                <w:szCs w:val="21"/>
                <w:highlight w:val="none"/>
                <w:lang w:val="zh-CN"/>
              </w:rPr>
              <w:t>（3）保洁员资历</w:t>
            </w:r>
            <w:r>
              <w:rPr>
                <w:rFonts w:ascii="宋体" w:eastAsia="宋体" w:hAnsi="宋体" w:cs="宋体" w:hint="eastAsia"/>
                <w:b/>
                <w:bCs/>
                <w:color w:val="auto"/>
                <w:sz w:val="21"/>
                <w:szCs w:val="21"/>
                <w:highlight w:val="none"/>
              </w:rPr>
              <w:t>（23人）</w:t>
            </w:r>
            <w:r>
              <w:rPr>
                <w:rFonts w:ascii="宋体" w:eastAsia="宋体" w:hAnsi="宋体" w:cs="宋体" w:hint="eastAsia"/>
                <w:b/>
                <w:bCs/>
                <w:color w:val="auto"/>
                <w:sz w:val="21"/>
                <w:szCs w:val="21"/>
                <w:highlight w:val="none"/>
                <w:lang w:val="zh-CN"/>
              </w:rPr>
              <w:t>（满分</w:t>
            </w:r>
            <w:r>
              <w:rPr>
                <w:rFonts w:ascii="宋体" w:eastAsia="宋体" w:hAnsi="宋体" w:cs="宋体" w:hint="eastAsia"/>
                <w:b/>
                <w:bCs/>
                <w:color w:val="auto"/>
                <w:sz w:val="21"/>
                <w:szCs w:val="21"/>
                <w:highlight w:val="none"/>
              </w:rPr>
              <w:t>8</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①保洁员小组长资历（1人）（满分</w:t>
            </w:r>
            <w:r>
              <w:rPr>
                <w:rFonts w:ascii="宋体" w:eastAsia="宋体" w:hAnsi="宋体" w:cs="宋体" w:hint="eastAsia"/>
                <w:color w:val="auto"/>
                <w:sz w:val="21"/>
                <w:szCs w:val="21"/>
                <w:highlight w:val="none"/>
              </w:rPr>
              <w:t>2分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②保洁员资历（22人）（满分</w:t>
            </w:r>
            <w:r>
              <w:rPr>
                <w:rFonts w:ascii="宋体" w:eastAsia="宋体" w:hAnsi="宋体" w:cs="宋体" w:hint="eastAsia"/>
                <w:color w:val="auto"/>
                <w:sz w:val="21"/>
                <w:szCs w:val="21"/>
                <w:highlight w:val="none"/>
              </w:rPr>
              <w:t>6分</w:t>
            </w:r>
            <w:r>
              <w:rPr>
                <w:rFonts w:ascii="宋体" w:eastAsia="宋体" w:hAnsi="宋体" w:cs="宋体" w:hint="eastAsia"/>
                <w:color w:val="auto"/>
                <w:sz w:val="21"/>
                <w:szCs w:val="21"/>
                <w:highlight w:val="none"/>
                <w:lang w:val="zh-CN"/>
              </w:rPr>
              <w:t>）：</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具有两年以上相关工作经验的，每人得</w:t>
            </w:r>
            <w:r>
              <w:rPr>
                <w:rFonts w:ascii="宋体" w:eastAsia="宋体" w:hAnsi="宋体" w:cs="宋体" w:hint="eastAsia"/>
                <w:color w:val="auto"/>
                <w:sz w:val="21"/>
                <w:szCs w:val="21"/>
                <w:highlight w:val="none"/>
              </w:rPr>
              <w:t>0.5</w:t>
            </w:r>
            <w:r>
              <w:rPr>
                <w:rFonts w:ascii="宋体" w:eastAsia="宋体" w:hAnsi="宋体" w:cs="宋体" w:hint="eastAsia"/>
                <w:color w:val="auto"/>
                <w:sz w:val="21"/>
                <w:szCs w:val="21"/>
                <w:highlight w:val="none"/>
                <w:lang w:val="zh-CN"/>
              </w:rPr>
              <w:t>分，此项满分</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4</w:t>
            </w:r>
            <w:r>
              <w:rPr>
                <w:rFonts w:ascii="宋体" w:eastAsia="宋体" w:hAnsi="宋体" w:cs="宋体" w:hint="eastAsia"/>
                <w:b/>
                <w:bCs/>
                <w:color w:val="auto"/>
                <w:sz w:val="21"/>
                <w:szCs w:val="21"/>
                <w:highlight w:val="none"/>
                <w:lang w:val="zh-CN"/>
              </w:rPr>
              <w:t>）水电工资历（2人）（满分2分）：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具有三年以上相关工作经验的，每人得1分；此项满分2分。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5</w:t>
            </w:r>
            <w:r>
              <w:rPr>
                <w:rFonts w:ascii="宋体" w:eastAsia="宋体" w:hAnsi="宋体" w:cs="宋体" w:hint="eastAsia"/>
                <w:b/>
                <w:bCs/>
                <w:color w:val="auto"/>
                <w:sz w:val="21"/>
                <w:szCs w:val="21"/>
                <w:highlight w:val="none"/>
                <w:lang w:val="zh-CN"/>
              </w:rPr>
              <w:t>）厨师资历（12人）（满分</w:t>
            </w:r>
            <w:r>
              <w:rPr>
                <w:rFonts w:ascii="宋体" w:eastAsia="宋体" w:hAnsi="宋体" w:cs="宋体" w:hint="eastAsia"/>
                <w:b/>
                <w:bCs/>
                <w:color w:val="auto"/>
                <w:sz w:val="21"/>
                <w:szCs w:val="21"/>
                <w:highlight w:val="none"/>
              </w:rPr>
              <w:t>6</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具有四年以上厨师工作经验的，每人得1分；此项满分</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b/>
                <w:bCs/>
                <w:color w:val="auto"/>
                <w:sz w:val="21"/>
                <w:szCs w:val="21"/>
                <w:highlight w:val="none"/>
                <w:lang w:val="zh-CN"/>
              </w:rPr>
              <w:t>（</w:t>
            </w:r>
            <w:r>
              <w:rPr>
                <w:rFonts w:ascii="宋体" w:eastAsia="宋体" w:hAnsi="宋体" w:cs="宋体" w:hint="eastAsia"/>
                <w:b/>
                <w:bCs/>
                <w:color w:val="auto"/>
                <w:sz w:val="21"/>
                <w:szCs w:val="21"/>
                <w:highlight w:val="none"/>
              </w:rPr>
              <w:t>6</w:t>
            </w:r>
            <w:r>
              <w:rPr>
                <w:rFonts w:ascii="宋体" w:eastAsia="宋体" w:hAnsi="宋体" w:cs="宋体" w:hint="eastAsia"/>
                <w:b/>
                <w:bCs/>
                <w:color w:val="auto"/>
                <w:sz w:val="21"/>
                <w:szCs w:val="21"/>
                <w:highlight w:val="none"/>
                <w:lang w:val="zh-CN"/>
              </w:rPr>
              <w:t>）副厨资历（8人）（满分</w:t>
            </w:r>
            <w:r>
              <w:rPr>
                <w:rFonts w:ascii="宋体" w:eastAsia="宋体" w:hAnsi="宋体" w:cs="宋体" w:hint="eastAsia"/>
                <w:b/>
                <w:bCs/>
                <w:color w:val="auto"/>
                <w:sz w:val="21"/>
                <w:szCs w:val="21"/>
                <w:highlight w:val="none"/>
              </w:rPr>
              <w:t>4</w:t>
            </w:r>
            <w:r>
              <w:rPr>
                <w:rFonts w:ascii="宋体" w:eastAsia="宋体" w:hAnsi="宋体" w:cs="宋体" w:hint="eastAsia"/>
                <w:b/>
                <w:bCs/>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具有三年以上相关工作经验的，每人得1分；此项满分</w:t>
            </w:r>
            <w:r>
              <w:rPr>
                <w:rFonts w:ascii="宋体" w:eastAsia="宋体" w:hAnsi="宋体" w:cs="宋体" w:hint="eastAsia"/>
                <w:color w:val="auto"/>
                <w:sz w:val="21"/>
                <w:szCs w:val="21"/>
                <w:highlight w:val="none"/>
              </w:rPr>
              <w:t>4</w:t>
            </w:r>
            <w:r>
              <w:rPr>
                <w:rFonts w:ascii="宋体" w:eastAsia="宋体" w:hAnsi="宋体" w:cs="宋体" w:hint="eastAsia"/>
                <w:color w:val="auto"/>
                <w:sz w:val="21"/>
                <w:szCs w:val="21"/>
                <w:highlight w:val="none"/>
                <w:lang w:val="zh-CN"/>
              </w:rPr>
              <w:t>分。</w:t>
            </w:r>
          </w:p>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注：上述评分中，投标人需提供拟投入人员清单及投入人员的相关学历、执业等证书扫描件，以及人员与投标人签署的劳动合同（截止本项目开标当天合同仍在有效期内）扫描件、工作经验证明材料扫描件，否则不计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37分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8</w:t>
            </w:r>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商务因素</w:t>
            </w:r>
          </w:p>
          <w:p>
            <w:pPr>
              <w:pStyle w:val="BodyText"/>
              <w:pageBreakBefore w:val="0"/>
              <w:kinsoku/>
              <w:wordWrap/>
              <w:topLinePunct w:val="0"/>
              <w:bidi w:val="0"/>
              <w:adjustRightInd/>
              <w:snapToGrid/>
              <w:spacing w:line="360" w:lineRule="auto"/>
              <w:jc w:val="center"/>
              <w:rPr>
                <w:rFonts w:ascii="宋体" w:eastAsia="宋体" w:hAnsi="宋体" w:cs="宋体" w:hint="eastAsia"/>
                <w:b w:val="0"/>
                <w:color w:val="auto"/>
                <w:sz w:val="21"/>
                <w:szCs w:val="21"/>
                <w:highlight w:val="none"/>
                <w:lang w:val="zh-CN"/>
              </w:rPr>
            </w:pPr>
            <w:r>
              <w:rPr>
                <w:rFonts w:ascii="宋体" w:eastAsia="宋体" w:hAnsi="宋体" w:cs="宋体" w:hint="eastAsia"/>
                <w:b w:val="0"/>
                <w:color w:val="auto"/>
                <w:sz w:val="21"/>
                <w:szCs w:val="21"/>
                <w:highlight w:val="none"/>
                <w:lang w:val="zh-CN"/>
              </w:rPr>
              <w:t>(</w:t>
            </w:r>
            <w:r>
              <w:rPr>
                <w:rFonts w:ascii="宋体" w:eastAsia="宋体" w:hAnsi="宋体" w:cs="宋体" w:hint="eastAsia"/>
                <w:b w:val="0"/>
                <w:color w:val="auto"/>
                <w:sz w:val="21"/>
                <w:szCs w:val="21"/>
                <w:highlight w:val="none"/>
              </w:rPr>
              <w:t>18分)</w:t>
            </w: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企业认证证书</w:t>
            </w:r>
          </w:p>
          <w:p>
            <w:pPr>
              <w:pageBreakBefore w:val="0"/>
              <w:widowControl/>
              <w:kinsoku/>
              <w:wordWrap/>
              <w:overflowPunct w:val="0"/>
              <w:topLinePunct w:val="0"/>
              <w:autoSpaceDE w:val="0"/>
              <w:autoSpaceDN w:val="0"/>
              <w:bidi w:val="0"/>
              <w:adjustRightInd/>
              <w:snapToGrid/>
              <w:spacing w:line="360" w:lineRule="auto"/>
              <w:jc w:val="center"/>
              <w:textAlignment w:val="baseline"/>
              <w:rPr>
                <w:rFonts w:eastAsia="宋体" w:hint="default"/>
                <w:color w:val="auto"/>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8分</w:t>
            </w:r>
            <w:r>
              <w:rPr>
                <w:rFonts w:ascii="宋体" w:eastAsia="宋体" w:hAnsi="宋体" w:cs="宋体" w:hint="eastAsia"/>
                <w:color w:val="auto"/>
                <w:sz w:val="21"/>
                <w:szCs w:val="21"/>
                <w:highlight w:val="none"/>
                <w:lang w:val="en-US" w:eastAsia="zh-CN"/>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人具有有效的社会责任管理体系认证（SA8000或GB/T39604）或者环境管理体系认证（ISO14001或GB/T24001）或者质量管理体系认证（ISO9001或GB/T19001）或者职业健康安全管理体系认证（ISO45001或GB/T45001）的，每提供一个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分，满分</w:t>
            </w:r>
            <w:r>
              <w:rPr>
                <w:rFonts w:ascii="宋体" w:eastAsia="宋体" w:hAnsi="宋体" w:cs="宋体" w:hint="eastAsia"/>
                <w:color w:val="auto"/>
                <w:sz w:val="21"/>
                <w:szCs w:val="21"/>
                <w:highlight w:val="none"/>
              </w:rPr>
              <w:t>8</w:t>
            </w:r>
            <w:r>
              <w:rPr>
                <w:rFonts w:ascii="宋体" w:eastAsia="宋体" w:hAnsi="宋体" w:cs="宋体" w:hint="eastAsia"/>
                <w:color w:val="auto"/>
                <w:sz w:val="21"/>
                <w:szCs w:val="21"/>
                <w:highlight w:val="none"/>
                <w:lang w:val="zh-CN"/>
              </w:rPr>
              <w:t>分（投标文件中提供证书扫描件）。</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8分</w:t>
            </w:r>
          </w:p>
        </w:tc>
      </w:tr>
      <w:tr>
        <w:tblPrEx>
          <w:tblW w:w="9026" w:type="dxa"/>
          <w:jc w:val="center"/>
          <w:tblLayout w:type="fixed"/>
          <w:tblCellMar>
            <w:top w:w="0" w:type="dxa"/>
            <w:left w:w="108" w:type="dxa"/>
            <w:bottom w:w="0" w:type="dxa"/>
            <w:right w:w="108" w:type="dxa"/>
          </w:tblCellMar>
        </w:tblPrEx>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9</w:t>
            </w:r>
          </w:p>
        </w:tc>
        <w:tc>
          <w:tcPr>
            <w:tcW w:w="1217" w:type="dxa"/>
            <w:vMerge/>
            <w:tcBorders>
              <w:top w:val="single" w:sz="4" w:space="0" w:color="auto"/>
              <w:left w:val="single" w:sz="4" w:space="0" w:color="auto"/>
              <w:bottom w:val="single" w:sz="4" w:space="0" w:color="auto"/>
              <w:right w:val="single" w:sz="4" w:space="0" w:color="auto"/>
            </w:tcBorders>
            <w:noWrap/>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p>
        </w:tc>
        <w:tc>
          <w:tcPr>
            <w:tcW w:w="97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类似项目业绩</w:t>
            </w:r>
          </w:p>
          <w:p>
            <w:pPr>
              <w:pStyle w:val="5"/>
              <w:pageBreakBefore w:val="0"/>
              <w:numPr>
                <w:ilvl w:val="4"/>
                <w:numId w:val="0"/>
              </w:numPr>
              <w:kinsoku/>
              <w:wordWrap/>
              <w:topLinePunct w:val="0"/>
              <w:bidi w:val="0"/>
              <w:adjustRightInd/>
              <w:snapToGrid/>
              <w:spacing w:before="0" w:after="0" w:line="360" w:lineRule="auto"/>
              <w:jc w:val="center"/>
              <w:rPr>
                <w:rFonts w:hint="eastAsia"/>
                <w:color w:val="auto"/>
                <w:highlight w:val="none"/>
                <w:lang w:val="zh-CN"/>
              </w:rPr>
            </w:pPr>
            <w:r>
              <w:rPr>
                <w:rFonts w:ascii="宋体" w:eastAsia="宋体" w:hAnsi="宋体" w:cs="宋体" w:hint="eastAsia"/>
                <w:b w:val="0"/>
                <w:color w:val="auto"/>
                <w:kern w:val="2"/>
                <w:sz w:val="21"/>
                <w:szCs w:val="21"/>
                <w:highlight w:val="none"/>
                <w:lang w:val="en-US" w:eastAsia="zh-CN" w:bidi="ar-SA"/>
              </w:rPr>
              <w:t>(</w:t>
            </w:r>
            <w:r>
              <w:rPr>
                <w:rFonts w:ascii="宋体" w:eastAsia="宋体" w:hAnsi="宋体" w:cs="宋体" w:hint="eastAsia"/>
                <w:b w:val="0"/>
                <w:color w:val="auto"/>
                <w:kern w:val="2"/>
                <w:sz w:val="21"/>
                <w:szCs w:val="21"/>
                <w:highlight w:val="none"/>
                <w:lang w:val="zh-CN" w:eastAsia="zh-CN" w:bidi="ar-SA"/>
              </w:rPr>
              <w:t>10分</w:t>
            </w:r>
            <w:r>
              <w:rPr>
                <w:rFonts w:ascii="宋体" w:eastAsia="宋体" w:hAnsi="宋体" w:cs="宋体" w:hint="eastAsia"/>
                <w:b w:val="0"/>
                <w:color w:val="auto"/>
                <w:kern w:val="2"/>
                <w:sz w:val="21"/>
                <w:szCs w:val="21"/>
                <w:highlight w:val="none"/>
                <w:lang w:val="en-US" w:eastAsia="zh-CN" w:bidi="ar-SA"/>
              </w:rPr>
              <w:t>)</w:t>
            </w:r>
          </w:p>
        </w:tc>
        <w:tc>
          <w:tcPr>
            <w:tcW w:w="5648"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根据投标人20</w:t>
            </w:r>
            <w:r>
              <w:rPr>
                <w:rFonts w:ascii="宋体" w:eastAsia="宋体" w:hAnsi="宋体" w:cs="宋体" w:hint="eastAsia"/>
                <w:color w:val="auto"/>
                <w:sz w:val="21"/>
                <w:szCs w:val="21"/>
                <w:highlight w:val="none"/>
              </w:rPr>
              <w:t>21</w:t>
            </w:r>
            <w:r>
              <w:rPr>
                <w:rFonts w:ascii="宋体" w:eastAsia="宋体" w:hAnsi="宋体" w:cs="宋体" w:hint="eastAsia"/>
                <w:color w:val="auto"/>
                <w:sz w:val="21"/>
                <w:szCs w:val="21"/>
                <w:highlight w:val="none"/>
                <w:lang w:val="zh-CN"/>
              </w:rPr>
              <w:t>年</w:t>
            </w:r>
            <w:r>
              <w:rPr>
                <w:rFonts w:ascii="宋体" w:eastAsia="宋体" w:hAnsi="宋体" w:cs="宋体" w:hint="eastAsia"/>
                <w:color w:val="auto"/>
                <w:sz w:val="21"/>
                <w:szCs w:val="21"/>
                <w:highlight w:val="none"/>
              </w:rPr>
              <w:t>6</w:t>
            </w:r>
            <w:r>
              <w:rPr>
                <w:rFonts w:ascii="宋体" w:eastAsia="宋体" w:hAnsi="宋体" w:cs="宋体" w:hint="eastAsia"/>
                <w:color w:val="auto"/>
                <w:sz w:val="21"/>
                <w:szCs w:val="21"/>
                <w:highlight w:val="none"/>
                <w:lang w:val="zh-CN"/>
              </w:rPr>
              <w:t>月1日以来承接的类似项目的业绩的有效证明文件进行评价，每个有效业绩得</w:t>
            </w:r>
            <w:r>
              <w:rPr>
                <w:rFonts w:ascii="宋体" w:eastAsia="宋体" w:hAnsi="宋体" w:cs="宋体" w:hint="eastAsia"/>
                <w:color w:val="auto"/>
                <w:sz w:val="21"/>
                <w:szCs w:val="21"/>
                <w:highlight w:val="none"/>
              </w:rPr>
              <w:t>2</w:t>
            </w:r>
            <w:r>
              <w:rPr>
                <w:rFonts w:ascii="宋体" w:eastAsia="宋体" w:hAnsi="宋体" w:cs="宋体" w:hint="eastAsia"/>
                <w:color w:val="auto"/>
                <w:sz w:val="21"/>
                <w:szCs w:val="21"/>
                <w:highlight w:val="none"/>
                <w:lang w:val="zh-CN"/>
              </w:rPr>
              <w:t>分，满分1</w:t>
            </w:r>
            <w:r>
              <w:rPr>
                <w:rFonts w:ascii="宋体" w:eastAsia="宋体" w:hAnsi="宋体" w:cs="宋体" w:hint="eastAsia"/>
                <w:color w:val="auto"/>
                <w:sz w:val="21"/>
                <w:szCs w:val="21"/>
                <w:highlight w:val="none"/>
              </w:rPr>
              <w:t>0</w:t>
            </w:r>
            <w:r>
              <w:rPr>
                <w:rFonts w:ascii="宋体" w:eastAsia="宋体" w:hAnsi="宋体" w:cs="宋体" w:hint="eastAsia"/>
                <w:color w:val="auto"/>
                <w:sz w:val="21"/>
                <w:szCs w:val="21"/>
                <w:highlight w:val="none"/>
                <w:lang w:val="zh-CN"/>
              </w:rPr>
              <w:t>分【以合同签订时间为准；有效证明文件包括该业绩的：采购合同文本扫描件（同一个项目签订多份合同的只能计算一次，不重复计分）；投标人须提供以上证明材料，否则该业绩不得分；类似项目业绩是</w:t>
            </w:r>
            <w:r>
              <w:rPr>
                <w:rFonts w:ascii="宋体" w:eastAsia="宋体" w:hAnsi="宋体" w:cs="宋体" w:hint="eastAsia"/>
                <w:color w:val="auto"/>
                <w:sz w:val="21"/>
                <w:szCs w:val="21"/>
                <w:highlight w:val="none"/>
              </w:rPr>
              <w:t>指办公用房为主的</w:t>
            </w:r>
            <w:r>
              <w:rPr>
                <w:rFonts w:ascii="宋体" w:eastAsia="宋体" w:hAnsi="宋体" w:cs="宋体" w:hint="eastAsia"/>
                <w:color w:val="auto"/>
                <w:sz w:val="21"/>
                <w:szCs w:val="21"/>
                <w:highlight w:val="none"/>
                <w:lang w:val="zh-CN"/>
              </w:rPr>
              <w:t>综合</w:t>
            </w:r>
            <w:r>
              <w:rPr>
                <w:rFonts w:ascii="宋体" w:eastAsia="宋体" w:hAnsi="宋体" w:cs="宋体" w:hint="eastAsia"/>
                <w:color w:val="auto"/>
                <w:sz w:val="21"/>
                <w:szCs w:val="21"/>
                <w:highlight w:val="none"/>
              </w:rPr>
              <w:t>性</w:t>
            </w:r>
            <w:r>
              <w:rPr>
                <w:rFonts w:ascii="宋体" w:eastAsia="宋体" w:hAnsi="宋体" w:cs="宋体" w:hint="eastAsia"/>
                <w:color w:val="auto"/>
                <w:sz w:val="21"/>
                <w:szCs w:val="21"/>
                <w:highlight w:val="none"/>
                <w:lang w:val="zh-CN"/>
              </w:rPr>
              <w:t>物业管理服务项目（合同服务内容仅有秩序维护服务和保洁服务或仅有单项服务内容的项目均不得分）】。</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10分</w:t>
            </w:r>
          </w:p>
        </w:tc>
      </w:tr>
      <w:tr>
        <w:tblPrEx>
          <w:tblW w:w="9026" w:type="dxa"/>
          <w:jc w:val="center"/>
          <w:tblLayout w:type="fixed"/>
          <w:tblCellMar>
            <w:top w:w="0" w:type="dxa"/>
            <w:left w:w="108" w:type="dxa"/>
            <w:bottom w:w="0" w:type="dxa"/>
            <w:right w:w="108" w:type="dxa"/>
          </w:tblCellMar>
        </w:tblPrEx>
        <w:trPr>
          <w:jc w:val="center"/>
        </w:trPr>
        <w:tc>
          <w:tcPr>
            <w:tcW w:w="8342" w:type="dxa"/>
            <w:gridSpan w:val="4"/>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合     计</w:t>
            </w:r>
          </w:p>
        </w:tc>
        <w:tc>
          <w:tcPr>
            <w:tcW w:w="684" w:type="dxa"/>
            <w:tcBorders>
              <w:top w:val="single" w:sz="4" w:space="0" w:color="auto"/>
              <w:left w:val="single" w:sz="4" w:space="0" w:color="auto"/>
              <w:bottom w:val="single" w:sz="4" w:space="0" w:color="auto"/>
              <w:right w:val="single" w:sz="4" w:space="0" w:color="auto"/>
            </w:tcBorders>
            <w:noWrap/>
            <w:vAlign w:val="center"/>
          </w:tcPr>
          <w:p>
            <w:pPr>
              <w:pageBreakBefore w:val="0"/>
              <w:widowControl/>
              <w:kinsoku/>
              <w:wordWrap/>
              <w:overflowPunct w:val="0"/>
              <w:topLinePunct w:val="0"/>
              <w:autoSpaceDE w:val="0"/>
              <w:autoSpaceDN w:val="0"/>
              <w:bidi w:val="0"/>
              <w:adjustRightInd/>
              <w:snapToGrid/>
              <w:spacing w:line="360" w:lineRule="auto"/>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 xml:space="preserve">100 </w:t>
            </w:r>
          </w:p>
        </w:tc>
      </w:tr>
    </w:tbl>
    <w:p>
      <w:pPr>
        <w:topLinePunct/>
        <w:autoSpaceDE w:val="0"/>
        <w:autoSpaceDN w:val="0"/>
        <w:spacing w:line="360" w:lineRule="auto"/>
        <w:ind w:firstLine="420" w:firstLineChars="200"/>
        <w:rPr>
          <w:rFonts w:ascii="Times New Roman" w:hAnsi="Times New Roman"/>
          <w:color w:val="auto"/>
          <w:sz w:val="24"/>
          <w:highlight w:val="none"/>
        </w:rPr>
      </w:pPr>
      <w:r>
        <w:rPr>
          <w:rFonts w:ascii="Times New Roman" w:hAnsi="Times New Roman"/>
          <w:color w:val="auto"/>
          <w:szCs w:val="21"/>
          <w:highlight w:val="none"/>
        </w:rPr>
        <w:t>2.3 落实政府采购政策进行价格调整的规则：</w:t>
      </w:r>
    </w:p>
    <w:tbl>
      <w:tblPr>
        <w:tblStyle w:val="TableNormal"/>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709"/>
        <w:gridCol w:w="3544"/>
        <w:gridCol w:w="3731"/>
      </w:tblGrid>
      <w:tr>
        <w:tblPrEx>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政府采购政策</w:t>
            </w:r>
          </w:p>
        </w:tc>
        <w:tc>
          <w:tcPr>
            <w:tcW w:w="3544"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价格扣除规则</w:t>
            </w:r>
          </w:p>
        </w:tc>
        <w:tc>
          <w:tcPr>
            <w:tcW w:w="3731"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享受价格扣除的条件</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节约能源政策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保护环境政策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促进中小企业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w:t>
            </w:r>
            <w:r>
              <w:rPr>
                <w:rFonts w:asciiTheme="minorEastAsia" w:eastAsiaTheme="minorEastAsia" w:hAnsiTheme="minorEastAsia"/>
                <w:color w:val="auto"/>
                <w:kern w:val="2"/>
                <w:sz w:val="21"/>
                <w:szCs w:val="21"/>
                <w:highlight w:val="none"/>
              </w:rPr>
              <w:t>2</w:t>
            </w:r>
            <w:r>
              <w:rPr>
                <w:rFonts w:asciiTheme="minorEastAsia" w:eastAsiaTheme="minorEastAsia" w:hAnsiTheme="minorEastAsia" w:hint="default"/>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促进残疾人就业政策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color w:val="auto"/>
                <w:highlight w:val="none"/>
              </w:rPr>
              <w:t>投标人在其投标文件中提供该通知规定的《残疾人福利性单位声明函》，并对声明的真实性负责。</w:t>
            </w:r>
            <w:r>
              <w:rPr>
                <w:rFonts w:asciiTheme="minorEastAsia" w:eastAsiaTheme="minorEastAsia" w:hAnsiTheme="minorEastAsia" w:hint="eastAsia"/>
                <w:color w:val="auto"/>
                <w:highlight w:val="none"/>
              </w:rPr>
              <w:t>（投标人如能够在线查询的材料，请提供查询网址链接，可以不用同时提供纸质材料，原件备查）</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支持监狱企业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s="Courier New" w:hint="default"/>
                <w:color w:val="auto"/>
                <w:kern w:val="2"/>
                <w:sz w:val="21"/>
                <w:szCs w:val="21"/>
                <w:highlight w:val="none"/>
              </w:rPr>
              <w:t>投标人在其投标文件中提供由省级以上监狱管理局、戒毒管理局（含新疆生产建设兵团）出具的属于监狱企业的证明文件</w:t>
            </w:r>
          </w:p>
        </w:tc>
      </w:tr>
    </w:tbl>
    <w:p>
      <w:pPr>
        <w:pStyle w:val="null3"/>
        <w:widowControl w:val="0"/>
        <w:spacing w:line="360" w:lineRule="auto"/>
        <w:ind w:firstLine="420" w:firstLineChars="200"/>
        <w:jc w:val="both"/>
        <w:rPr>
          <w:rFonts w:ascii="Times New Roman" w:hAnsi="Times New Roman" w:hint="default"/>
          <w:color w:val="auto"/>
          <w:sz w:val="21"/>
          <w:szCs w:val="21"/>
          <w:highlight w:val="none"/>
        </w:rPr>
      </w:pPr>
      <w:r>
        <w:rPr>
          <w:rFonts w:ascii="Times New Roman" w:hAnsi="Times New Roman" w:hint="default"/>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2.4.2本采购包推荐中标候选人的数量：</w:t>
      </w:r>
      <w:r>
        <w:rPr>
          <w:rFonts w:ascii="Times New Roman" w:hAnsi="Times New Roman" w:hint="eastAsia"/>
          <w:color w:val="auto"/>
          <w:szCs w:val="21"/>
          <w:highlight w:val="none"/>
          <w:u w:val="single"/>
        </w:rPr>
        <w:t>3</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ascii="Times New Roman" w:hAnsi="Times New Roman" w:hint="eastAsia"/>
          <w:color w:val="auto"/>
          <w:szCs w:val="21"/>
          <w:highlight w:val="none"/>
          <w:u w:val="single"/>
        </w:rPr>
        <w:t>1</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中标候选人并列的，</w:t>
      </w:r>
      <w:r>
        <w:rPr>
          <w:rFonts w:ascii="宋体" w:hAnsi="宋体" w:hint="eastAsia"/>
          <w:color w:val="auto"/>
          <w:szCs w:val="21"/>
          <w:highlight w:val="none"/>
        </w:rPr>
        <w:t>按照</w:t>
      </w:r>
      <w:r>
        <w:rPr>
          <w:rFonts w:ascii="宋体" w:hAnsi="宋体" w:hint="eastAsia"/>
          <w:color w:val="auto"/>
          <w:szCs w:val="21"/>
          <w:highlight w:val="none"/>
          <w:u w:val="single"/>
        </w:rPr>
        <w:t>投标报价由低到高顺序排列；得分相同且投标报价相同的，按技术指标优劣顺序排列</w:t>
      </w:r>
      <w:r>
        <w:rPr>
          <w:rFonts w:ascii="宋体" w:hAnsi="宋体"/>
          <w:color w:val="auto"/>
          <w:szCs w:val="21"/>
          <w:highlight w:val="none"/>
        </w:rPr>
        <w:t>的方式确定中标人。招标文件未规定的，采取</w:t>
      </w:r>
      <w:r>
        <w:rPr>
          <w:rFonts w:ascii="宋体" w:hAnsi="宋体" w:cs="宋体"/>
          <w:color w:val="auto"/>
          <w:szCs w:val="21"/>
          <w:highlight w:val="none"/>
        </w:rPr>
        <w:t>随机</w:t>
      </w:r>
      <w:r>
        <w:rPr>
          <w:rFonts w:ascii="宋体" w:hAnsi="宋体"/>
          <w:color w:val="auto"/>
          <w:szCs w:val="21"/>
          <w:highlight w:val="none"/>
        </w:rPr>
        <w:t>抽取的方式确定。</w:t>
      </w:r>
    </w:p>
    <w:p>
      <w:pPr>
        <w:rPr>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第四章  政府采购合同文本</w:t>
      </w:r>
    </w:p>
    <w:p>
      <w:pPr>
        <w:pStyle w:val="PlainText"/>
        <w:jc w:val="center"/>
        <w:rPr>
          <w:rFonts w:ascii="华文中宋" w:eastAsia="华文中宋" w:hAnsi="华文中宋" w:cs="华文中宋"/>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r>
        <w:rPr>
          <w:rFonts w:ascii="华文中宋" w:eastAsia="华文中宋" w:hAnsi="华文中宋" w:cs="华文中宋" w:hint="eastAsia"/>
          <w:bCs/>
          <w:color w:val="auto"/>
          <w:sz w:val="32"/>
          <w:szCs w:val="32"/>
          <w:highlight w:val="none"/>
        </w:rPr>
        <w:t>合 同 书</w:t>
      </w:r>
    </w:p>
    <w:p>
      <w:pPr>
        <w:pStyle w:val="PlainText"/>
        <w:rPr>
          <w:rFonts w:ascii="华文中宋" w:eastAsia="华文中宋" w:hAnsi="华文中宋" w:cs="华文中宋"/>
          <w:bCs/>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项目名称：</w:t>
      </w:r>
      <w:r>
        <w:rPr>
          <w:rFonts w:ascii="宋体" w:hAnsi="宋体" w:cs="宋体" w:hint="eastAsia"/>
          <w:bCs/>
          <w:color w:val="auto"/>
          <w:sz w:val="24"/>
          <w:szCs w:val="24"/>
          <w:highlight w:val="none"/>
          <w:u w:val="single"/>
        </w:rPr>
        <w:t>国家税务总局北流市税务局物业管理服务项目</w:t>
      </w:r>
    </w:p>
    <w:p>
      <w:pPr>
        <w:tabs>
          <w:tab w:val="left" w:pos="2160"/>
        </w:tabs>
        <w:topLinePunct/>
        <w:autoSpaceDE w:val="0"/>
        <w:autoSpaceDN w:val="0"/>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包    号：</w:t>
      </w:r>
      <w:r>
        <w:rPr>
          <w:rFonts w:ascii="宋体" w:hAnsi="宋体" w:cs="宋体" w:hint="eastAsia"/>
          <w:bCs/>
          <w:color w:val="auto"/>
          <w:sz w:val="24"/>
          <w:szCs w:val="24"/>
          <w:highlight w:val="none"/>
          <w:u w:val="single"/>
        </w:rPr>
        <w:t xml:space="preserve">                                        </w:t>
      </w:r>
    </w:p>
    <w:p>
      <w:pPr>
        <w:tabs>
          <w:tab w:val="left" w:pos="540"/>
          <w:tab w:val="left" w:pos="1080"/>
          <w:tab w:val="left" w:pos="1440"/>
        </w:tabs>
        <w:snapToGrid w:val="0"/>
        <w:spacing w:line="36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合同编号：</w:t>
      </w:r>
      <w:r>
        <w:rPr>
          <w:rFonts w:ascii="宋体" w:hAnsi="宋体" w:cs="宋体" w:hint="eastAsia"/>
          <w:bCs/>
          <w:color w:val="auto"/>
          <w:sz w:val="24"/>
          <w:szCs w:val="24"/>
          <w:highlight w:val="none"/>
          <w:u w:val="single"/>
        </w:rPr>
        <w:t xml:space="preserve">                                        </w:t>
      </w:r>
    </w:p>
    <w:p>
      <w:pPr>
        <w:tabs>
          <w:tab w:val="left" w:pos="2160"/>
        </w:tabs>
        <w:topLinePunct/>
        <w:autoSpaceDE w:val="0"/>
        <w:autoSpaceDN w:val="0"/>
        <w:snapToGrid w:val="0"/>
        <w:spacing w:line="360" w:lineRule="auto"/>
        <w:rPr>
          <w:rFonts w:ascii="宋体" w:hAnsi="宋体" w:cs="宋体"/>
          <w:bCs/>
          <w:color w:val="auto"/>
          <w:sz w:val="24"/>
          <w:szCs w:val="24"/>
          <w:highlight w:val="none"/>
        </w:rPr>
      </w:pPr>
    </w:p>
    <w:p>
      <w:pPr>
        <w:pStyle w:val="PlainText"/>
        <w:spacing w:line="460" w:lineRule="exact"/>
        <w:rPr>
          <w:rFonts w:hAnsi="宋体" w:cs="宋体"/>
          <w:bCs/>
          <w:color w:val="auto"/>
          <w:sz w:val="24"/>
          <w:szCs w:val="24"/>
          <w:highlight w:val="none"/>
        </w:rPr>
      </w:pPr>
    </w:p>
    <w:p>
      <w:pPr>
        <w:pStyle w:val="PlainText"/>
        <w:spacing w:line="460" w:lineRule="exact"/>
        <w:rPr>
          <w:rFonts w:hAnsi="宋体" w:cs="宋体"/>
          <w:bCs/>
          <w:color w:val="auto"/>
          <w:sz w:val="24"/>
          <w:szCs w:val="24"/>
          <w:highlight w:val="none"/>
        </w:rPr>
      </w:pPr>
    </w:p>
    <w:p>
      <w:pPr>
        <w:spacing w:line="300" w:lineRule="auto"/>
        <w:ind w:left="1260" w:leftChars="600"/>
        <w:rPr>
          <w:rFonts w:ascii="宋体" w:hAnsi="宋体" w:cs="宋体"/>
          <w:bCs/>
          <w:color w:val="auto"/>
          <w:sz w:val="24"/>
          <w:szCs w:val="24"/>
          <w:highlight w:val="none"/>
        </w:rPr>
      </w:pPr>
      <w:r>
        <w:rPr>
          <w:rFonts w:ascii="宋体" w:hAnsi="宋体" w:cs="宋体" w:hint="eastAsia"/>
          <w:bCs/>
          <w:color w:val="auto"/>
          <w:sz w:val="24"/>
          <w:szCs w:val="24"/>
          <w:highlight w:val="none"/>
        </w:rPr>
        <w:t>甲    方：</w:t>
      </w:r>
      <w:r>
        <w:rPr>
          <w:rFonts w:ascii="宋体" w:hAnsi="宋体" w:cs="宋体" w:hint="eastAsia"/>
          <w:bCs/>
          <w:color w:val="auto"/>
          <w:sz w:val="24"/>
          <w:szCs w:val="24"/>
          <w:highlight w:val="none"/>
          <w:u w:val="single"/>
        </w:rPr>
        <w:t xml:space="preserve">        国家税务总局北流市税务局        </w:t>
      </w:r>
    </w:p>
    <w:p>
      <w:pPr>
        <w:spacing w:line="300" w:lineRule="auto"/>
        <w:ind w:left="1260" w:leftChars="600"/>
        <w:rPr>
          <w:rFonts w:ascii="宋体" w:hAnsi="宋体" w:cs="宋体"/>
          <w:bCs/>
          <w:color w:val="auto"/>
          <w:sz w:val="24"/>
          <w:szCs w:val="24"/>
          <w:highlight w:val="none"/>
          <w:u w:val="single"/>
        </w:rPr>
      </w:pPr>
      <w:r>
        <w:rPr>
          <w:rFonts w:ascii="宋体" w:hAnsi="宋体" w:cs="宋体" w:hint="eastAsia"/>
          <w:bCs/>
          <w:color w:val="auto"/>
          <w:sz w:val="24"/>
          <w:szCs w:val="24"/>
          <w:highlight w:val="none"/>
        </w:rPr>
        <w:t xml:space="preserve">乙    方： </w:t>
      </w:r>
      <w:r>
        <w:rPr>
          <w:rFonts w:ascii="宋体" w:hAnsi="宋体" w:cs="宋体" w:hint="eastAsia"/>
          <w:bCs/>
          <w:color w:val="auto"/>
          <w:sz w:val="24"/>
          <w:szCs w:val="24"/>
          <w:highlight w:val="none"/>
          <w:u w:val="single"/>
        </w:rPr>
        <w:t xml:space="preserve">                                       </w:t>
      </w:r>
    </w:p>
    <w:p>
      <w:pPr>
        <w:spacing w:line="300" w:lineRule="auto"/>
        <w:ind w:left="1260" w:leftChars="600"/>
        <w:rPr>
          <w:rFonts w:ascii="宋体" w:hAnsi="宋体" w:cs="宋体"/>
          <w:bCs/>
          <w:color w:val="auto"/>
          <w:sz w:val="24"/>
          <w:szCs w:val="24"/>
          <w:highlight w:val="none"/>
          <w:u w:val="single"/>
        </w:rPr>
      </w:pPr>
      <w:r>
        <w:rPr>
          <w:rFonts w:ascii="宋体" w:hAnsi="宋体" w:cs="宋体" w:hint="eastAsia"/>
          <w:bCs/>
          <w:color w:val="auto"/>
          <w:sz w:val="24"/>
          <w:szCs w:val="24"/>
          <w:highlight w:val="none"/>
        </w:rPr>
        <w:t xml:space="preserve">日    期： </w:t>
      </w:r>
      <w:r>
        <w:rPr>
          <w:rFonts w:ascii="宋体" w:hAnsi="宋体" w:cs="宋体" w:hint="eastAsia"/>
          <w:bCs/>
          <w:color w:val="auto"/>
          <w:sz w:val="24"/>
          <w:szCs w:val="24"/>
          <w:highlight w:val="none"/>
          <w:u w:val="single"/>
        </w:rPr>
        <w:t xml:space="preserve">              年    月   日            </w:t>
      </w:r>
    </w:p>
    <w:p>
      <w:pPr>
        <w:spacing w:line="300" w:lineRule="auto"/>
        <w:jc w:val="center"/>
        <w:rPr>
          <w:rFonts w:ascii="宋体" w:hAnsi="宋体" w:cs="宋体"/>
          <w:b/>
          <w:color w:val="auto"/>
          <w:sz w:val="24"/>
          <w:szCs w:val="24"/>
          <w:highlight w:val="none"/>
        </w:rPr>
      </w:pPr>
      <w:r>
        <w:rPr>
          <w:rFonts w:ascii="方正小标宋简体" w:eastAsia="方正小标宋简体" w:hAnsi="方正小标宋简体" w:cs="方正小标宋简体" w:hint="eastAsia"/>
          <w:bCs/>
          <w:color w:val="auto"/>
          <w:sz w:val="24"/>
          <w:szCs w:val="24"/>
          <w:highlight w:val="none"/>
          <w:u w:val="single"/>
        </w:rPr>
        <w:br w:type="page"/>
      </w:r>
      <w:r>
        <w:rPr>
          <w:rFonts w:ascii="宋体" w:hAnsi="宋体" w:cs="宋体" w:hint="eastAsia"/>
          <w:b/>
          <w:color w:val="auto"/>
          <w:sz w:val="24"/>
          <w:szCs w:val="24"/>
          <w:highlight w:val="none"/>
        </w:rPr>
        <w:t>合同条款前附表</w:t>
      </w:r>
    </w:p>
    <w:tbl>
      <w:tblPr>
        <w:tblStyle w:val="TableNormal"/>
        <w:tblpPr w:leftFromText="180" w:rightFromText="180" w:vertAnchor="text" w:horzAnchor="page" w:tblpX="1487" w:tblpY="52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2014"/>
        <w:gridCol w:w="59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655" w:type="dxa"/>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序号</w:t>
            </w:r>
          </w:p>
        </w:tc>
        <w:tc>
          <w:tcPr>
            <w:tcW w:w="8418" w:type="dxa"/>
            <w:gridSpan w:val="3"/>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内        容</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合同名称</w:t>
            </w:r>
          </w:p>
        </w:tc>
        <w:tc>
          <w:tcPr>
            <w:tcW w:w="5995" w:type="dxa"/>
            <w:vAlign w:val="center"/>
          </w:tcPr>
          <w:p>
            <w:pPr>
              <w:tabs>
                <w:tab w:val="left" w:pos="700"/>
              </w:tabs>
              <w:spacing w:line="312" w:lineRule="auto"/>
              <w:rPr>
                <w:rFonts w:asciiTheme="minorEastAsia" w:eastAsiaTheme="minorEastAsia" w:hAnsiTheme="minorEastAsia" w:cs="宋体"/>
                <w:bCs/>
                <w:color w:val="auto"/>
                <w:szCs w:val="21"/>
                <w:highlight w:val="none"/>
              </w:rPr>
            </w:pPr>
            <w:r>
              <w:rPr>
                <w:rFonts w:asciiTheme="minorEastAsia" w:eastAsiaTheme="minorEastAsia" w:hAnsiTheme="minorEastAsia" w:cs="宋体" w:hint="eastAsia"/>
                <w:color w:val="auto"/>
                <w:szCs w:val="21"/>
                <w:highlight w:val="none"/>
              </w:rPr>
              <w:t>国家税务总局北流市税务局物业管理服务项目</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合同编号</w:t>
            </w:r>
          </w:p>
        </w:tc>
        <w:tc>
          <w:tcPr>
            <w:tcW w:w="5995" w:type="dxa"/>
            <w:vAlign w:val="center"/>
          </w:tcPr>
          <w:p>
            <w:pPr>
              <w:tabs>
                <w:tab w:val="left" w:pos="2160"/>
              </w:tabs>
              <w:topLinePunct/>
              <w:autoSpaceDE w:val="0"/>
              <w:autoSpaceDN w:val="0"/>
              <w:spacing w:line="312" w:lineRule="auto"/>
              <w:rPr>
                <w:rFonts w:asciiTheme="minorEastAsia" w:eastAsiaTheme="minorEastAsia" w:hAnsiTheme="minorEastAsia" w:cs="宋体"/>
                <w:bCs/>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合同类型</w:t>
            </w:r>
          </w:p>
        </w:tc>
        <w:tc>
          <w:tcPr>
            <w:tcW w:w="5995" w:type="dxa"/>
            <w:vAlign w:val="center"/>
          </w:tcPr>
          <w:p>
            <w:pPr>
              <w:tabs>
                <w:tab w:val="left" w:pos="2160"/>
              </w:tabs>
              <w:topLinePunct/>
              <w:autoSpaceDE w:val="0"/>
              <w:autoSpaceDN w:val="0"/>
              <w:spacing w:line="312" w:lineRule="auto"/>
              <w:jc w:val="left"/>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非信息化服务类</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4</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定价方式</w:t>
            </w:r>
          </w:p>
        </w:tc>
        <w:tc>
          <w:tcPr>
            <w:tcW w:w="5995" w:type="dxa"/>
            <w:vAlign w:val="center"/>
          </w:tcPr>
          <w:p>
            <w:pPr>
              <w:tabs>
                <w:tab w:val="left" w:pos="2160"/>
              </w:tabs>
              <w:topLinePunct/>
              <w:autoSpaceDE w:val="0"/>
              <w:autoSpaceDN w:val="0"/>
              <w:spacing w:line="312" w:lineRule="auto"/>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固定总价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5</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甲方名称</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国家税务总局北流市税务局</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甲方地址</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北流市新松路0031号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甲方相关部门</w:t>
            </w: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甲方采购部门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pStyle w:val="PlainText"/>
              <w:spacing w:line="312" w:lineRule="auto"/>
              <w:jc w:val="left"/>
              <w:rPr>
                <w:rFonts w:asciiTheme="minorEastAsia" w:eastAsiaTheme="minorEastAsia" w:hAnsiTheme="minorEastAsia" w:cs="宋体"/>
                <w:color w:val="auto"/>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甲方需求部门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2014"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6</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乙方名称</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hRule="exact" w:val="789"/>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乙方企业性质</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中型企业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小型企业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微型企业    </w:t>
            </w:r>
          </w:p>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监狱企业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残疾人福利性单位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其他</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乙方地址</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乙方联系人</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传真</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7</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合同总金额</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人民币</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元整（¥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w:t>
            </w:r>
          </w:p>
        </w:tc>
      </w:tr>
      <w:tr>
        <w:tblPrEx>
          <w:tblW w:w="0" w:type="auto"/>
          <w:tblInd w:w="0" w:type="dxa"/>
          <w:tblLayout w:type="fixed"/>
          <w:tblCellMar>
            <w:top w:w="0" w:type="dxa"/>
            <w:left w:w="108" w:type="dxa"/>
            <w:bottom w:w="0" w:type="dxa"/>
            <w:right w:w="108" w:type="dxa"/>
          </w:tblCellMar>
        </w:tblPrEx>
        <w:trPr>
          <w:trHeight w:val="1736"/>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8</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服务内容</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对国家税务总局北流市税务局进行物业服务管理，包括综合服务、房屋及设备设施（含供电系统、供水排水系统、消防系统）维护保养、保洁服务、绿化服务、公共秩序维护、会议服务、餐饮服务、应急管理等。具体要求详见本项目招标文件。</w:t>
            </w:r>
          </w:p>
        </w:tc>
      </w:tr>
      <w:tr>
        <w:tblPrEx>
          <w:tblW w:w="0" w:type="auto"/>
          <w:tblInd w:w="0" w:type="dxa"/>
          <w:tblLayout w:type="fixed"/>
          <w:tblCellMar>
            <w:top w:w="0" w:type="dxa"/>
            <w:left w:w="108" w:type="dxa"/>
            <w:bottom w:w="0" w:type="dxa"/>
            <w:right w:w="108" w:type="dxa"/>
          </w:tblCellMar>
        </w:tblPrEx>
        <w:trPr>
          <w:trHeight w:val="2681"/>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9</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合同付款</w:t>
            </w:r>
          </w:p>
        </w:tc>
        <w:tc>
          <w:tcPr>
            <w:tcW w:w="5995" w:type="dxa"/>
            <w:vAlign w:val="center"/>
          </w:tcPr>
          <w:p>
            <w:pPr>
              <w:tabs>
                <w:tab w:val="left" w:pos="700"/>
              </w:tabs>
              <w:topLinePunct/>
              <w:autoSpaceDE w:val="0"/>
              <w:autoSpaceDN w:val="0"/>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合同以人民币结算，付款方式：</w:t>
            </w:r>
          </w:p>
          <w:p>
            <w:pPr>
              <w:tabs>
                <w:tab w:val="left" w:pos="700"/>
              </w:tabs>
              <w:topLinePunct/>
              <w:autoSpaceDE w:val="0"/>
              <w:autoSpaceDN w:val="0"/>
              <w:spacing w:line="312" w:lineRule="auto"/>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tabs>
                <w:tab w:val="left" w:pos="700"/>
              </w:tabs>
              <w:topLinePunct/>
              <w:autoSpaceDE w:val="0"/>
              <w:autoSpaceDN w:val="0"/>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tc>
      </w:tr>
      <w:tr>
        <w:tblPrEx>
          <w:tblW w:w="0" w:type="auto"/>
          <w:tblInd w:w="0" w:type="dxa"/>
          <w:tblLayout w:type="fixed"/>
          <w:tblCellMar>
            <w:top w:w="0" w:type="dxa"/>
            <w:left w:w="108" w:type="dxa"/>
            <w:bottom w:w="0" w:type="dxa"/>
            <w:right w:w="108" w:type="dxa"/>
          </w:tblCellMar>
        </w:tblPrEx>
        <w:trPr>
          <w:trHeight w:val="2531"/>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10</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履约保证金及返还</w:t>
            </w:r>
          </w:p>
        </w:tc>
        <w:tc>
          <w:tcPr>
            <w:tcW w:w="5995" w:type="dxa"/>
            <w:vAlign w:val="center"/>
          </w:tcPr>
          <w:p>
            <w:pPr>
              <w:tabs>
                <w:tab w:val="left" w:pos="700"/>
              </w:tabs>
              <w:spacing w:line="312"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□本项目不要求提供履约保证金。</w:t>
            </w:r>
          </w:p>
          <w:p>
            <w:pPr>
              <w:tabs>
                <w:tab w:val="left" w:pos="700"/>
              </w:tabs>
              <w:spacing w:line="312"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☑本项目要求提供履约保证金。履约保证金为合同总金额的</w:t>
            </w:r>
            <w:r>
              <w:rPr>
                <w:rFonts w:ascii="宋体" w:eastAsia="宋体" w:hAnsi="宋体" w:cs="宋体" w:hint="eastAsia"/>
                <w:color w:val="auto"/>
                <w:szCs w:val="21"/>
                <w:highlight w:val="none"/>
                <w:u w:val="single"/>
              </w:rPr>
              <w:t>2</w:t>
            </w:r>
            <w:r>
              <w:rPr>
                <w:rFonts w:ascii="宋体" w:eastAsia="宋体" w:hAnsi="宋体" w:cs="宋体" w:hint="eastAsia"/>
                <w:color w:val="auto"/>
                <w:szCs w:val="21"/>
                <w:highlight w:val="none"/>
              </w:rPr>
              <w:t>%（取整到元），即人民币</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lang w:val="en"/>
              </w:rPr>
              <w:t>元</w:t>
            </w:r>
            <w:r>
              <w:rPr>
                <w:rFonts w:ascii="宋体" w:eastAsia="宋体" w:hAnsi="宋体" w:cs="宋体" w:hint="eastAsia"/>
                <w:color w:val="auto"/>
                <w:szCs w:val="21"/>
                <w:highlight w:val="none"/>
              </w:rPr>
              <w:t>整（¥</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满足履约保证金返还条件且双方对核实结果无异议的，自完成核实之日起30日内，甲方根据项目验收意见扣除应扣除的款项（如有）后，原路无息返还履约保证金。</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11</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lang w:val="en"/>
              </w:rPr>
            </w:pPr>
            <w:r>
              <w:rPr>
                <w:rFonts w:asciiTheme="minorEastAsia" w:eastAsiaTheme="minorEastAsia" w:hAnsiTheme="minorEastAsia" w:cs="宋体" w:hint="eastAsia"/>
                <w:color w:val="auto"/>
                <w:szCs w:val="21"/>
                <w:highlight w:val="none"/>
              </w:rPr>
              <w:t>服务期</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2年，自2024年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月</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日至2026年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月</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日止。</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12</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合同履约地点</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仿宋_GB2312" w:hint="eastAsia"/>
                <w:color w:val="auto"/>
                <w:highlight w:val="none"/>
              </w:rPr>
              <w:t>甲方指定的物业服务范围（广西壮族自治区北流市内）。</w:t>
            </w:r>
          </w:p>
        </w:tc>
      </w:tr>
      <w:tr>
        <w:tblPrEx>
          <w:tblW w:w="0" w:type="auto"/>
          <w:tblInd w:w="0" w:type="dxa"/>
          <w:tblLayout w:type="fixed"/>
          <w:tblCellMar>
            <w:top w:w="0" w:type="dxa"/>
            <w:left w:w="108" w:type="dxa"/>
            <w:bottom w:w="0" w:type="dxa"/>
            <w:right w:w="108" w:type="dxa"/>
          </w:tblCellMar>
        </w:tblPrEx>
        <w:trPr>
          <w:trHeight w:val="450"/>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13</w:t>
            </w:r>
          </w:p>
        </w:tc>
        <w:tc>
          <w:tcPr>
            <w:tcW w:w="2423"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合同纠纷解决方式</w:t>
            </w:r>
          </w:p>
        </w:tc>
        <w:tc>
          <w:tcPr>
            <w:tcW w:w="5995"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甲乙双方应首先通过友好协商解决在执行本合同中所发生的或与本合同有关的一切争端。如从协商开始</w:t>
            </w:r>
            <w:r>
              <w:rPr>
                <w:rFonts w:asciiTheme="minorEastAsia" w:eastAsiaTheme="minorEastAsia" w:hAnsiTheme="minorEastAsia" w:cs="宋体" w:hint="eastAsia"/>
                <w:color w:val="auto"/>
                <w:szCs w:val="21"/>
                <w:highlight w:val="none"/>
                <w:u w:val="single"/>
              </w:rPr>
              <w:t>30</w:t>
            </w:r>
            <w:r>
              <w:rPr>
                <w:rFonts w:asciiTheme="minorEastAsia" w:eastAsiaTheme="minorEastAsia" w:hAnsiTheme="minorEastAsia" w:cs="宋体" w:hint="eastAsia"/>
                <w:color w:val="auto"/>
                <w:szCs w:val="21"/>
                <w:highlight w:val="none"/>
              </w:rPr>
              <w:t>天内仍不能解决，可以选择以下途径之一解决纠纷：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□向甲方所在地仲裁委员会或</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仲裁委员会申请仲裁</w:t>
            </w:r>
          </w:p>
          <w:p>
            <w:pPr>
              <w:tabs>
                <w:tab w:val="left" w:pos="700"/>
              </w:tabs>
              <w:spacing w:line="312" w:lineRule="auto"/>
              <w:rPr>
                <w:rFonts w:asciiTheme="minorEastAsia" w:eastAsiaTheme="minorEastAsia" w:hAnsiTheme="minorEastAsia" w:cs="宋体"/>
                <w:color w:val="auto"/>
                <w:szCs w:val="21"/>
                <w:highlight w:val="none"/>
              </w:rPr>
            </w:pPr>
            <w:r>
              <w:rPr>
                <w:rFonts w:ascii="MS Mincho" w:eastAsia="MS Mincho" w:hAnsi="MS Mincho" w:cs="MS Mincho" w:hint="eastAsia"/>
                <w:color w:val="auto"/>
                <w:szCs w:val="21"/>
                <w:highlight w:val="none"/>
              </w:rPr>
              <w:t>☑</w:t>
            </w:r>
            <w:r>
              <w:rPr>
                <w:rFonts w:ascii="宋体" w:hAnsi="宋体" w:cs="宋体" w:hint="eastAsia"/>
                <w:color w:val="auto"/>
                <w:szCs w:val="21"/>
                <w:highlight w:val="none"/>
              </w:rPr>
              <w:t>向甲方所在地人民法院或</w:t>
            </w:r>
            <w:r>
              <w:rPr>
                <w:rFonts w:asciiTheme="minorEastAsia" w:eastAsiaTheme="minorEastAsia" w:hAnsiTheme="minorEastAsia" w:cs="宋体" w:hint="eastAsia"/>
                <w:color w:val="auto"/>
                <w:szCs w:val="21"/>
                <w:highlight w:val="none"/>
                <w:u w:val="single"/>
              </w:rPr>
              <w:t>项目所在地有管辖权的</w:t>
            </w:r>
            <w:r>
              <w:rPr>
                <w:rFonts w:asciiTheme="minorEastAsia" w:eastAsiaTheme="minorEastAsia" w:hAnsiTheme="minorEastAsia" w:cs="宋体" w:hint="eastAsia"/>
                <w:color w:val="auto"/>
                <w:szCs w:val="21"/>
                <w:highlight w:val="none"/>
              </w:rPr>
              <w:t>人民法院提起诉讼</w:t>
            </w:r>
          </w:p>
        </w:tc>
      </w:tr>
    </w:tbl>
    <w:p>
      <w:pPr>
        <w:tabs>
          <w:tab w:val="left" w:pos="700"/>
        </w:tabs>
        <w:topLinePunct/>
        <w:autoSpaceDE w:val="0"/>
        <w:autoSpaceDN w:val="0"/>
        <w:spacing w:line="460" w:lineRule="exact"/>
        <w:rPr>
          <w:rFonts w:ascii="宋体" w:hAnsi="宋体" w:cs="宋体"/>
          <w:b/>
          <w:color w:val="auto"/>
          <w:sz w:val="24"/>
          <w:highlight w:val="none"/>
        </w:rPr>
      </w:pPr>
      <w:r>
        <w:rPr>
          <w:rFonts w:ascii="宋体" w:hAnsi="宋体" w:cs="宋体" w:hint="eastAsia"/>
          <w:b/>
          <w:color w:val="auto"/>
          <w:sz w:val="28"/>
          <w:highlight w:val="none"/>
        </w:rPr>
        <w:br w:type="page"/>
      </w:r>
    </w:p>
    <w:p>
      <w:pPr>
        <w:tabs>
          <w:tab w:val="left" w:pos="0"/>
        </w:tabs>
        <w:topLinePunct/>
        <w:autoSpaceDE w:val="0"/>
        <w:autoSpaceDN w:val="0"/>
        <w:spacing w:line="360" w:lineRule="auto"/>
        <w:jc w:val="center"/>
        <w:rPr>
          <w:rFonts w:ascii="宋体" w:hAnsi="宋体" w:cs="宋体"/>
          <w:b/>
          <w:color w:val="auto"/>
          <w:sz w:val="24"/>
          <w:highlight w:val="none"/>
        </w:rPr>
      </w:pPr>
      <w:r>
        <w:rPr>
          <w:rFonts w:ascii="宋体" w:hAnsi="宋体" w:cs="宋体" w:hint="eastAsia"/>
          <w:b/>
          <w:color w:val="auto"/>
          <w:sz w:val="24"/>
          <w:highlight w:val="none"/>
        </w:rPr>
        <w:t>一   合  同</w:t>
      </w:r>
    </w:p>
    <w:p>
      <w:pPr>
        <w:tabs>
          <w:tab w:val="left" w:pos="540"/>
        </w:tabs>
        <w:topLinePunct/>
        <w:autoSpaceDE w:val="0"/>
        <w:autoSpaceDN w:val="0"/>
        <w:spacing w:line="460" w:lineRule="exact"/>
        <w:rPr>
          <w:rFonts w:ascii="宋体" w:hAnsi="宋体" w:cs="宋体"/>
          <w:b/>
          <w:color w:val="auto"/>
          <w:sz w:val="24"/>
          <w:highlight w:val="none"/>
        </w:rPr>
      </w:pP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u w:val="single"/>
        </w:rPr>
        <w:t>国家税务总局北流市税务局</w:t>
      </w:r>
      <w:r>
        <w:rPr>
          <w:rFonts w:asciiTheme="minorEastAsia" w:eastAsiaTheme="minorEastAsia" w:hAnsiTheme="minorEastAsia"/>
          <w:color w:val="auto"/>
          <w:szCs w:val="21"/>
          <w:highlight w:val="none"/>
        </w:rPr>
        <w:t>（以下简称“甲方”）通过</w:t>
      </w:r>
      <w:r>
        <w:rPr>
          <w:rFonts w:asciiTheme="minorEastAsia" w:eastAsiaTheme="minorEastAsia" w:hAnsiTheme="minorEastAsia" w:hint="eastAsia"/>
          <w:color w:val="auto"/>
          <w:szCs w:val="21"/>
          <w:highlight w:val="none"/>
          <w:u w:val="single"/>
        </w:rPr>
        <w:t>公开招标</w:t>
      </w:r>
      <w:r>
        <w:rPr>
          <w:rFonts w:asciiTheme="minorEastAsia" w:eastAsiaTheme="minorEastAsia" w:hAnsiTheme="minorEastAsia" w:hint="eastAsia"/>
          <w:color w:val="auto"/>
          <w:szCs w:val="21"/>
          <w:highlight w:val="none"/>
        </w:rPr>
        <w:t>方</w:t>
      </w:r>
      <w:r>
        <w:rPr>
          <w:rFonts w:asciiTheme="minorEastAsia" w:eastAsiaTheme="minorEastAsia" w:hAnsiTheme="minorEastAsia"/>
          <w:color w:val="auto"/>
          <w:szCs w:val="21"/>
          <w:highlight w:val="none"/>
        </w:rPr>
        <w:t>式采购，确定_____公司（以下简称“乙方”）为《</w:t>
      </w:r>
      <w:r>
        <w:rPr>
          <w:rFonts w:asciiTheme="minorEastAsia" w:eastAsiaTheme="minorEastAsia" w:hAnsiTheme="minorEastAsia" w:hint="eastAsia"/>
          <w:color w:val="auto"/>
          <w:szCs w:val="21"/>
          <w:highlight w:val="none"/>
          <w:u w:val="single"/>
        </w:rPr>
        <w:t>国家税务总局北流市税务局物业管理服务项目</w:t>
      </w:r>
      <w:r>
        <w:rPr>
          <w:rFonts w:asciiTheme="minorEastAsia" w:eastAsiaTheme="minorEastAsia" w:hAnsiTheme="minorEastAsia"/>
          <w:color w:val="auto"/>
          <w:szCs w:val="21"/>
          <w:highlight w:val="none"/>
        </w:rPr>
        <w:t>》中标（成交）供应商。甲乙双方同意按照该项目招标（采购）文件约定的内容，签署《</w:t>
      </w:r>
      <w:r>
        <w:rPr>
          <w:rFonts w:asciiTheme="minorEastAsia" w:eastAsiaTheme="minorEastAsia" w:hAnsiTheme="minorEastAsia" w:hint="eastAsia"/>
          <w:color w:val="auto"/>
          <w:szCs w:val="21"/>
          <w:highlight w:val="none"/>
          <w:u w:val="single"/>
        </w:rPr>
        <w:t>国家税务总局北流市税务局物业管理服务项目</w:t>
      </w:r>
      <w:r>
        <w:rPr>
          <w:rFonts w:asciiTheme="minorEastAsia" w:eastAsiaTheme="minorEastAsia" w:hAnsiTheme="minorEastAsia"/>
          <w:color w:val="auto"/>
          <w:szCs w:val="21"/>
          <w:highlight w:val="none"/>
        </w:rPr>
        <w:t>合同书》（合同编号：</w:t>
      </w:r>
      <w:r>
        <w:rPr>
          <w:rFonts w:asciiTheme="minorEastAsia" w:eastAsiaTheme="minorEastAsia" w:hAnsiTheme="minorEastAsia" w:hint="eastAsia"/>
          <w:color w:val="auto"/>
          <w:szCs w:val="21"/>
          <w:highlight w:val="none"/>
        </w:rPr>
        <w:t xml:space="preserve">       </w:t>
      </w:r>
      <w:r>
        <w:rPr>
          <w:rFonts w:asciiTheme="minorEastAsia" w:eastAsiaTheme="minorEastAsia" w:hAnsiTheme="minorEastAsia"/>
          <w:color w:val="auto"/>
          <w:szCs w:val="21"/>
          <w:highlight w:val="none"/>
        </w:rPr>
        <w:t>，以下简称“合同”</w:t>
      </w:r>
      <w:r>
        <w:rPr>
          <w:rFonts w:asciiTheme="minorEastAsia" w:eastAsiaTheme="minorEastAsia" w:hAnsiTheme="minorEastAsia" w:hint="eastAsia"/>
          <w:color w:val="auto"/>
          <w:szCs w:val="21"/>
          <w:highlight w:val="none"/>
        </w:rPr>
        <w:t>）</w:t>
      </w:r>
      <w:r>
        <w:rPr>
          <w:rFonts w:asciiTheme="minorEastAsia" w:eastAsiaTheme="minorEastAsia" w:hAnsiTheme="minorEastAsia"/>
          <w:color w:val="auto"/>
          <w:szCs w:val="21"/>
          <w:highlight w:val="none"/>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1.合同文件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本合同所附下列文件是构成本合同不可分割的部分：</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（1）合同通用条款；</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（2）报价表（总报价表和分项报价表）；</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（3）招标（采购）文件；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（4）投标（响应）文件。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2.合同范围和条件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本合同的范围和条件应与上述合同文件的规定相一致。</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3.合同金额</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本合同总金额为人民币</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元整（¥</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）。本项目以</w:t>
      </w:r>
      <w:r>
        <w:rPr>
          <w:rFonts w:asciiTheme="minorEastAsia" w:eastAsiaTheme="minorEastAsia" w:hAnsiTheme="minorEastAsia" w:hint="eastAsia"/>
          <w:color w:val="auto"/>
          <w:szCs w:val="21"/>
          <w:highlight w:val="none"/>
          <w:u w:val="single"/>
        </w:rPr>
        <w:t>1</w:t>
      </w:r>
      <w:r>
        <w:rPr>
          <w:rFonts w:asciiTheme="minorEastAsia" w:eastAsiaTheme="minorEastAsia" w:hAnsiTheme="minorEastAsia"/>
          <w:color w:val="auto"/>
          <w:szCs w:val="21"/>
          <w:highlight w:val="none"/>
        </w:rPr>
        <w:t>个月为1个服务周期，每个服务周期合同金额为人民币</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元整（¥</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val="en"/>
        </w:rPr>
        <w:t>4.</w:t>
      </w:r>
      <w:r>
        <w:rPr>
          <w:rFonts w:asciiTheme="minorEastAsia" w:eastAsiaTheme="minorEastAsia" w:hAnsiTheme="minorEastAsia"/>
          <w:b/>
          <w:color w:val="auto"/>
          <w:szCs w:val="21"/>
          <w:highlight w:val="none"/>
        </w:rPr>
        <w:t>付款条件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本项目每</w:t>
      </w:r>
      <w:r>
        <w:rPr>
          <w:rFonts w:asciiTheme="minorEastAsia" w:eastAsiaTheme="minorEastAsia" w:hAnsiTheme="minorEastAsia" w:hint="eastAsia"/>
          <w:color w:val="auto"/>
          <w:szCs w:val="21"/>
          <w:highlight w:val="none"/>
          <w:u w:val="single"/>
        </w:rPr>
        <w:t>1</w:t>
      </w:r>
      <w:r>
        <w:rPr>
          <w:rFonts w:asciiTheme="minorEastAsia" w:eastAsiaTheme="minorEastAsia" w:hAnsiTheme="minorEastAsia"/>
          <w:color w:val="auto"/>
          <w:szCs w:val="21"/>
          <w:highlight w:val="none"/>
        </w:rPr>
        <w:t>个月为1个服务周期，共</w:t>
      </w:r>
      <w:r>
        <w:rPr>
          <w:rFonts w:asciiTheme="minorEastAsia" w:eastAsiaTheme="minorEastAsia" w:hAnsiTheme="minorEastAsia" w:hint="eastAsia"/>
          <w:color w:val="auto"/>
          <w:szCs w:val="21"/>
          <w:highlight w:val="none"/>
          <w:u w:val="single"/>
        </w:rPr>
        <w:t>24</w:t>
      </w:r>
      <w:r>
        <w:rPr>
          <w:rFonts w:asciiTheme="minorEastAsia" w:eastAsiaTheme="minorEastAsia" w:hAnsiTheme="minorEastAsia"/>
          <w:color w:val="auto"/>
          <w:szCs w:val="21"/>
          <w:highlight w:val="none"/>
        </w:rPr>
        <w:t>个服务周期。每个服务周期，甲方按照</w:t>
      </w:r>
      <w:r>
        <w:rPr>
          <w:rFonts w:asciiTheme="minorEastAsia" w:eastAsiaTheme="minorEastAsia" w:hAnsiTheme="minorEastAsia" w:hint="eastAsia"/>
          <w:color w:val="auto"/>
          <w:szCs w:val="21"/>
          <w:highlight w:val="none"/>
        </w:rPr>
        <w:t>招标</w:t>
      </w:r>
      <w:r>
        <w:rPr>
          <w:rFonts w:asciiTheme="minorEastAsia" w:eastAsiaTheme="minorEastAsia" w:hAnsiTheme="minorEastAsia"/>
          <w:color w:val="auto"/>
          <w:szCs w:val="21"/>
          <w:highlight w:val="none"/>
        </w:rPr>
        <w:t>文件和合同约定对乙方提供的服务进行考核或验收后支付相应款项。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合同以人民币结算，付款方式：</w:t>
      </w:r>
    </w:p>
    <w:p>
      <w:pPr>
        <w:spacing w:line="360" w:lineRule="auto"/>
        <w:ind w:firstLine="420" w:firstLineChars="200"/>
        <w:rPr>
          <w:rFonts w:asciiTheme="minorEastAsia" w:eastAsiaTheme="minorEastAsia" w:hAnsiTheme="minorEastAsia" w:hint="eastAsia"/>
          <w:color w:val="auto"/>
          <w:highlight w:val="none"/>
        </w:rPr>
      </w:pPr>
      <w:r>
        <w:rPr>
          <w:rFonts w:asciiTheme="minorEastAsia" w:eastAsiaTheme="minorEastAsia" w:hAnsiTheme="minorEastAsia" w:hint="eastAsia"/>
          <w:color w:val="auto"/>
          <w:highlight w:val="none"/>
        </w:rPr>
        <w:t>（1）甲方采取先服务再付款、按月考核结算的方式。每月最末一个工作日，甲方根据《物业服务月度考核评分表》、《物业服务日常工作考核评分表》（如有）及合同罚责条款对乙方本月服务进行考核，考核结果经双方确认无异议后，甲方按考核结果对合同服务费进行汇总扣款后支付剩余款项。即：月度服务费=年度合同总金额/24-月度考核汇总扣款。</w:t>
      </w:r>
    </w:p>
    <w:p>
      <w:pPr>
        <w:spacing w:line="360" w:lineRule="auto"/>
        <w:ind w:firstLine="420" w:firstLineChars="200"/>
        <w:rPr>
          <w:rFonts w:asciiTheme="minorEastAsia" w:eastAsiaTheme="minorEastAsia" w:hAnsiTheme="minorEastAsia" w:cs="宋体"/>
          <w:color w:val="auto"/>
          <w:szCs w:val="21"/>
          <w:highlight w:val="none"/>
        </w:rPr>
      </w:pPr>
      <w:r>
        <w:rPr>
          <w:rFonts w:asciiTheme="minorEastAsia" w:eastAsiaTheme="minorEastAsia" w:hAnsiTheme="minorEastAsia" w:hint="eastAsia"/>
          <w:color w:val="auto"/>
          <w:highlight w:val="none"/>
        </w:rPr>
        <w:t>（2）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p>
      <w:pPr>
        <w:pStyle w:val="1"/>
        <w:tabs>
          <w:tab w:val="left" w:pos="840"/>
        </w:tabs>
        <w:spacing w:line="360" w:lineRule="auto"/>
        <w:ind w:firstLine="420" w:firstLineChars="200"/>
        <w:jc w:val="both"/>
        <w:textAlignment w:val="baseline"/>
        <w:rPr>
          <w:rFonts w:asciiTheme="minorEastAsia" w:eastAsiaTheme="minorEastAsia" w:hAnsiTheme="minorEastAsia" w:cs="宋体"/>
          <w:b/>
          <w:bCs/>
          <w:color w:val="auto"/>
          <w:sz w:val="21"/>
          <w:szCs w:val="21"/>
          <w:highlight w:val="none"/>
        </w:rPr>
      </w:pPr>
      <w:r>
        <w:rPr>
          <w:rFonts w:asciiTheme="minorEastAsia" w:eastAsiaTheme="minorEastAsia" w:hAnsiTheme="minorEastAsia" w:cs="宋体"/>
          <w:b/>
          <w:bCs/>
          <w:color w:val="auto"/>
          <w:sz w:val="21"/>
          <w:szCs w:val="21"/>
          <w:highlight w:val="none"/>
        </w:rPr>
        <w:t>5.合同签订及生效</w:t>
      </w:r>
    </w:p>
    <w:p>
      <w:pPr>
        <w:pStyle w:val="1"/>
        <w:tabs>
          <w:tab w:val="left" w:pos="840"/>
        </w:tabs>
        <w:spacing w:line="360" w:lineRule="auto"/>
        <w:ind w:firstLine="420" w:firstLineChars="200"/>
        <w:jc w:val="both"/>
        <w:textAlignment w:val="baseline"/>
        <w:rPr>
          <w:rFonts w:asciiTheme="minorEastAsia" w:eastAsiaTheme="minorEastAsia" w:hAnsiTheme="minorEastAsia" w:cs="宋体"/>
          <w:color w:val="auto"/>
          <w:sz w:val="21"/>
          <w:szCs w:val="21"/>
          <w:highlight w:val="none"/>
        </w:rPr>
      </w:pPr>
      <w:r>
        <w:rPr>
          <w:rFonts w:asciiTheme="minorEastAsia" w:eastAsiaTheme="minorEastAsia" w:hAnsiTheme="minorEastAsia" w:cs="宋体"/>
          <w:color w:val="auto"/>
          <w:sz w:val="21"/>
          <w:szCs w:val="21"/>
          <w:highlight w:val="none"/>
        </w:rPr>
        <w:t>本合同一式</w:t>
      </w:r>
      <w:r>
        <w:rPr>
          <w:rFonts w:asciiTheme="minorEastAsia" w:eastAsiaTheme="minorEastAsia" w:hAnsiTheme="minorEastAsia" w:cs="宋体" w:hint="eastAsia"/>
          <w:color w:val="auto"/>
          <w:sz w:val="21"/>
          <w:szCs w:val="21"/>
          <w:highlight w:val="none"/>
          <w:u w:val="single"/>
          <w:lang w:val="en"/>
        </w:rPr>
        <w:t>七</w:t>
      </w:r>
      <w:r>
        <w:rPr>
          <w:rFonts w:asciiTheme="minorEastAsia" w:eastAsiaTheme="minorEastAsia" w:hAnsiTheme="minorEastAsia" w:cs="宋体"/>
          <w:color w:val="auto"/>
          <w:sz w:val="21"/>
          <w:szCs w:val="21"/>
          <w:highlight w:val="none"/>
        </w:rPr>
        <w:t>份，由甲乙双方法定代表人或被授权人签字并盖章后生效。</w:t>
      </w:r>
    </w:p>
    <w:p>
      <w:pPr>
        <w:pStyle w:val="1"/>
        <w:tabs>
          <w:tab w:val="left" w:pos="840"/>
        </w:tabs>
        <w:spacing w:line="360" w:lineRule="auto"/>
        <w:ind w:firstLine="420" w:firstLineChars="200"/>
        <w:jc w:val="both"/>
        <w:textAlignment w:val="baseline"/>
        <w:rPr>
          <w:rFonts w:ascii="宋体" w:eastAsia="宋体" w:hAnsi="宋体" w:cs="宋体"/>
          <w:color w:val="auto"/>
          <w:sz w:val="21"/>
          <w:szCs w:val="21"/>
          <w:highlight w:val="none"/>
        </w:rPr>
      </w:pPr>
      <w:r>
        <w:rPr>
          <w:rFonts w:asciiTheme="minorEastAsia" w:eastAsiaTheme="minorEastAsia" w:hAnsiTheme="minorEastAsia"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tabs>
          <w:tab w:val="left" w:pos="840"/>
        </w:tabs>
        <w:snapToGrid w:val="0"/>
        <w:spacing w:after="156" w:line="360" w:lineRule="auto"/>
        <w:ind w:firstLine="420" w:firstLineChars="200"/>
        <w:rPr>
          <w:rFonts w:ascii="Times New Roman" w:hAnsi="Times New Roman"/>
          <w:color w:val="auto"/>
          <w:sz w:val="21"/>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甲方：</w:t>
      </w:r>
      <w:r>
        <w:rPr>
          <w:rFonts w:ascii="Times New Roman" w:hAnsi="Times New Roman" w:hint="eastAsia"/>
          <w:color w:val="auto"/>
          <w:szCs w:val="21"/>
          <w:highlight w:val="none"/>
        </w:rPr>
        <w:t>国家税务总局北流市税务局</w:t>
      </w:r>
      <w:r>
        <w:rPr>
          <w:rFonts w:ascii="Times New Roman" w:hAnsi="Times New Roman"/>
          <w:color w:val="auto"/>
          <w:szCs w:val="21"/>
          <w:highlight w:val="none"/>
        </w:rPr>
        <w:t xml:space="preserve">             乙方：</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签字：                                 </w:t>
      </w:r>
      <w:r>
        <w:rPr>
          <w:rFonts w:ascii="Times New Roman" w:hAnsi="Times New Roman" w:hint="eastAsia"/>
          <w:color w:val="auto"/>
          <w:szCs w:val="21"/>
          <w:highlight w:val="none"/>
        </w:rPr>
        <w:t xml:space="preserve">    </w:t>
      </w:r>
      <w:r>
        <w:rPr>
          <w:rFonts w:ascii="Times New Roman" w:hAnsi="Times New Roman"/>
          <w:color w:val="auto"/>
          <w:szCs w:val="21"/>
          <w:highlight w:val="none"/>
        </w:rPr>
        <w:t>签字：</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盖章：                                </w:t>
      </w:r>
      <w:r>
        <w:rPr>
          <w:rFonts w:ascii="Times New Roman" w:hAnsi="Times New Roman" w:hint="eastAsia"/>
          <w:color w:val="auto"/>
          <w:szCs w:val="21"/>
          <w:highlight w:val="none"/>
        </w:rPr>
        <w:t xml:space="preserve">    </w:t>
      </w:r>
      <w:r>
        <w:rPr>
          <w:rFonts w:ascii="Times New Roman" w:hAnsi="Times New Roman"/>
          <w:color w:val="auto"/>
          <w:szCs w:val="21"/>
          <w:highlight w:val="none"/>
        </w:rPr>
        <w:t xml:space="preserve"> 盖章： </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日期：    年    月    日              </w:t>
      </w:r>
      <w:r>
        <w:rPr>
          <w:rFonts w:ascii="Times New Roman" w:hAnsi="Times New Roman" w:hint="eastAsia"/>
          <w:color w:val="auto"/>
          <w:szCs w:val="21"/>
          <w:highlight w:val="none"/>
        </w:rPr>
        <w:t xml:space="preserve">     </w:t>
      </w:r>
      <w:r>
        <w:rPr>
          <w:rFonts w:ascii="Times New Roman" w:hAnsi="Times New Roman"/>
          <w:color w:val="auto"/>
          <w:szCs w:val="21"/>
          <w:highlight w:val="none"/>
        </w:rPr>
        <w:t>日期：     年   月   日</w:t>
      </w:r>
    </w:p>
    <w:p>
      <w:pPr>
        <w:topLinePunct/>
        <w:autoSpaceDE w:val="0"/>
        <w:autoSpaceDN w:val="0"/>
        <w:spacing w:line="360" w:lineRule="auto"/>
        <w:rPr>
          <w:rFonts w:ascii="Times New Roman" w:hAnsi="Times New Roman"/>
          <w:b/>
          <w:color w:val="auto"/>
          <w:szCs w:val="21"/>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hint="eastAsia"/>
          <w:b/>
          <w:color w:val="auto"/>
          <w:sz w:val="24"/>
          <w:highlight w:val="none"/>
        </w:rPr>
        <w:t>二   合 同 通 用 条 款</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w:t>
      </w:r>
      <w:r>
        <w:rPr>
          <w:rFonts w:asciiTheme="minorEastAsia" w:eastAsiaTheme="minorEastAsia" w:hAnsiTheme="minorEastAsia" w:hint="eastAsia"/>
          <w:color w:val="auto"/>
          <w:szCs w:val="21"/>
          <w:highlight w:val="none"/>
        </w:rPr>
        <w:t>国家税务总局北流市税务局</w:t>
      </w:r>
      <w:r>
        <w:rPr>
          <w:rFonts w:ascii="Times New Roman" w:hAnsi="Times New Roman"/>
          <w:color w:val="auto"/>
          <w:szCs w:val="21"/>
          <w:highlight w:val="none"/>
        </w:rPr>
        <w:t>。</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 “天”除非特别指出，“天”均为自然天。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3. 服务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本项目的“服务”见“合同条款前附表”第8项“服务内容”。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3.5 除合同条款另行规定外，伴随服务的费用应含在合同价中，不单独进行支付。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（1）应以审慎态度避免泄漏、公开或传播甲方的信息；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（2）在开发过程中对数据的处理方式应事先得到甲方的许可；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（3）未经甲方书面许可，不得对有关信息进行修改、补充、复制；</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（4）未经甲方书面许可，不得将信息以任何方式（如E-mail）携带出甲方场所；</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（5）未经甲方书面许可，不得将信息透露给任何其他人；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（6）严禁在提交的软件产品中设置远程维护接口和后门程序；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（7）不得进行系统软硬件设备的远程维护；</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（8）甲方以书面形式提出的其他保密措施。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保密期限不受合同有效期的限制，在合同有效期结束后，信息接受方仍应承担保密义务，直至该信息成为公开信息。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甲乙双方如出现泄密行为，泄密方应承担相关的法律责任，包括但是不限于由此给对方造成的经济损失进行赔偿。</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w:t>
      </w:r>
      <w:r>
        <w:rPr>
          <w:rFonts w:ascii="Times New Roman" w:hAnsi="Times New Roman" w:hint="eastAsia"/>
          <w:color w:val="auto"/>
          <w:szCs w:val="21"/>
          <w:highlight w:val="none"/>
        </w:rPr>
        <w:t>，</w:t>
      </w:r>
      <w:r>
        <w:rPr>
          <w:rFonts w:ascii="Times New Roman" w:hAnsi="Times New Roman"/>
          <w:color w:val="auto"/>
          <w:szCs w:val="21"/>
          <w:highlight w:val="none"/>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如乙方迟延履行合同义务，甲方将从应付合同金额中扣除误期违约金，每延误一天误期违约金按合同总金额的万分之三（0.03%）计收。乙方支付的</w:t>
      </w:r>
      <w:r>
        <w:rPr>
          <w:rFonts w:ascii="Times New Roman" w:hAnsi="Times New Roman" w:hint="eastAsia"/>
          <w:color w:val="auto"/>
          <w:szCs w:val="21"/>
          <w:highlight w:val="none"/>
        </w:rPr>
        <w:t>逾</w:t>
      </w:r>
      <w:r>
        <w:rPr>
          <w:rFonts w:ascii="Times New Roman" w:hAnsi="Times New Roman"/>
          <w:color w:val="auto"/>
          <w:szCs w:val="21"/>
          <w:highlight w:val="none"/>
        </w:rPr>
        <w:t>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ascii="Times New Roman" w:hAnsi="Times New Roman" w:hint="eastAsia"/>
          <w:color w:val="auto"/>
          <w:szCs w:val="21"/>
          <w:highlight w:val="none"/>
        </w:rPr>
        <w:t>逾期</w:t>
      </w:r>
      <w:r>
        <w:rPr>
          <w:rFonts w:ascii="Times New Roman" w:hAnsi="Times New Roman"/>
          <w:color w:val="auto"/>
          <w:szCs w:val="21"/>
          <w:highlight w:val="none"/>
        </w:rPr>
        <w:t>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 甲乙双方应首先通过友好协商解决在执行本合同中所发生的或与本合同有关的一切争端。如从协商开始</w:t>
      </w:r>
      <w:r>
        <w:rPr>
          <w:rFonts w:ascii="Times New Roman" w:hAnsi="Times New Roman" w:hint="eastAsia"/>
          <w:color w:val="auto"/>
          <w:szCs w:val="21"/>
          <w:highlight w:val="none"/>
          <w:u w:val="single"/>
        </w:rPr>
        <w:t>30</w:t>
      </w:r>
      <w:r>
        <w:rPr>
          <w:rFonts w:ascii="Times New Roman" w:hAnsi="Times New Roman"/>
          <w:color w:val="auto"/>
          <w:szCs w:val="21"/>
          <w:highlight w:val="none"/>
        </w:rPr>
        <w:t>天内仍不能解决，可以按合同约定的方式提起仲裁或诉讼。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11.2.1仲裁应向甲方所在地或</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11.2.2 仲裁裁决应为最终裁决，对双方均具有约束力。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11.2.3 仲裁费除仲裁机关另有裁决外应由败诉方负担。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11.2.4在仲裁期间，除正在进行仲裁部分外，本合同</w:t>
      </w:r>
      <w:r>
        <w:rPr>
          <w:rFonts w:ascii="Times New Roman" w:hAnsi="Times New Roman" w:hint="eastAsia"/>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11.3.1诉讼应向甲方所在地或</w:t>
      </w:r>
      <w:r>
        <w:rPr>
          <w:rFonts w:ascii="Times New Roman" w:hAnsi="Times New Roman"/>
          <w:color w:val="auto"/>
          <w:szCs w:val="21"/>
          <w:highlight w:val="none"/>
          <w:u w:val="single"/>
        </w:rPr>
        <w:t>项目所在地有管辖权的</w:t>
      </w:r>
      <w:r>
        <w:rPr>
          <w:rFonts w:ascii="Times New Roman" w:hAnsi="Times New Roman"/>
          <w:color w:val="auto"/>
          <w:szCs w:val="21"/>
          <w:highlight w:val="none"/>
        </w:rPr>
        <w:t>人民法院提起诉讼。</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11.3.2诉讼费除人民法院另有判决外，应由败诉方负担。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11.3.3在诉讼期间，除正在进行诉讼部分外，本合同</w:t>
      </w:r>
      <w:r>
        <w:rPr>
          <w:rFonts w:ascii="Times New Roman" w:hAnsi="Times New Roman" w:hint="eastAsia"/>
          <w:color w:val="auto"/>
          <w:szCs w:val="21"/>
          <w:highlight w:val="none"/>
        </w:rPr>
        <w:t>的其他部分</w:t>
      </w:r>
      <w:r>
        <w:rPr>
          <w:rFonts w:ascii="Times New Roman" w:hAnsi="Times New Roman"/>
          <w:color w:val="auto"/>
          <w:szCs w:val="21"/>
          <w:highlight w:val="none"/>
        </w:rPr>
        <w:t>应继续执行。</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12.1.8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12.1.9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12.1.10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12.1.11 乙方有其他严重违约行为的。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15.1 合同如有未尽事宜，</w:t>
      </w:r>
      <w:r>
        <w:rPr>
          <w:rFonts w:ascii="Times New Roman" w:hAnsi="Times New Roman" w:hint="eastAsia"/>
          <w:color w:val="auto"/>
          <w:szCs w:val="21"/>
          <w:highlight w:val="none"/>
        </w:rPr>
        <w:t>需</w:t>
      </w:r>
      <w:r>
        <w:rPr>
          <w:rFonts w:ascii="Times New Roman" w:hAnsi="Times New Roman"/>
          <w:color w:val="auto"/>
          <w:szCs w:val="21"/>
          <w:highlight w:val="none"/>
        </w:rPr>
        <w:t>经甲乙双方共同协商，</w:t>
      </w:r>
      <w:r>
        <w:rPr>
          <w:rFonts w:ascii="Times New Roman" w:hAnsi="Times New Roman" w:hint="eastAsia"/>
          <w:color w:val="auto"/>
          <w:szCs w:val="21"/>
          <w:highlight w:val="none"/>
        </w:rPr>
        <w:t>作出</w:t>
      </w:r>
      <w:r>
        <w:rPr>
          <w:rFonts w:ascii="Times New Roman" w:hAnsi="Times New Roman"/>
          <w:color w:val="auto"/>
          <w:szCs w:val="21"/>
          <w:highlight w:val="none"/>
        </w:rPr>
        <w:t>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15.3 由于采购人项目统一规划等原因导致本项目停止部分服务的，甲方将与乙方协商处理。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 本合同按照中华人民共和国现行法律进行解释。</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乙方应依法缴纳的合同服务相关税费，均已包含于合同总金额中，甲方不再另行支付。</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20. 合同生效</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20.1 本合同一式</w:t>
      </w:r>
      <w:r>
        <w:rPr>
          <w:rFonts w:ascii="Times New Roman" w:hAnsi="Times New Roman" w:hint="eastAsia"/>
          <w:color w:val="auto"/>
          <w:szCs w:val="21"/>
          <w:highlight w:val="none"/>
          <w:u w:val="single"/>
        </w:rPr>
        <w:t xml:space="preserve">  七   </w:t>
      </w:r>
      <w:r>
        <w:rPr>
          <w:rFonts w:ascii="Times New Roman" w:hAnsi="Times New Roman"/>
          <w:color w:val="auto"/>
          <w:szCs w:val="21"/>
          <w:highlight w:val="none"/>
        </w:rPr>
        <w:t>份，由甲乙双方法定代表人或被授权人签字并盖章后生效。</w:t>
      </w: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rPr>
          <w:rFonts w:ascii="宋体" w:hAnsi="宋体" w:cs="宋体"/>
          <w:color w:val="auto"/>
          <w:sz w:val="24"/>
          <w:highlight w:val="none"/>
        </w:rPr>
      </w:pPr>
      <w:r>
        <w:rPr>
          <w:rFonts w:ascii="宋体" w:hAnsi="宋体" w:cs="宋体" w:hint="eastAsia"/>
          <w:color w:val="auto"/>
          <w:sz w:val="24"/>
          <w:highlight w:val="none"/>
        </w:rPr>
        <w:br w:type="page"/>
      </w:r>
    </w:p>
    <w:p>
      <w:pPr>
        <w:ind w:firstLine="480" w:firstLineChars="200"/>
        <w:rPr>
          <w:rFonts w:ascii="宋体" w:hAnsi="宋体" w:cs="宋体"/>
          <w:color w:val="auto"/>
          <w:sz w:val="24"/>
          <w:highlight w:val="none"/>
        </w:rPr>
      </w:pPr>
    </w:p>
    <w:p>
      <w:pPr>
        <w:topLinePunct/>
        <w:autoSpaceDE w:val="0"/>
        <w:autoSpaceDN w:val="0"/>
        <w:spacing w:line="360" w:lineRule="auto"/>
        <w:rPr>
          <w:rFonts w:ascii="宋体" w:hAnsi="宋体" w:cs="宋体"/>
          <w:b/>
          <w:color w:val="auto"/>
          <w:sz w:val="24"/>
          <w:highlight w:val="none"/>
        </w:rPr>
      </w:pPr>
      <w:r>
        <w:rPr>
          <w:rFonts w:ascii="宋体" w:hAnsi="宋体" w:cs="宋体" w:hint="eastAsia"/>
          <w:b/>
          <w:color w:val="auto"/>
          <w:sz w:val="24"/>
          <w:highlight w:val="none"/>
        </w:rPr>
        <w:t>三   招标（采购）文件及投标（响应）文件（如需要，可另附）</w:t>
      </w: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p>
    <w:p>
      <w:pPr>
        <w:topLinePunct/>
        <w:autoSpaceDE w:val="0"/>
        <w:autoSpaceDN w:val="0"/>
        <w:spacing w:line="360" w:lineRule="auto"/>
        <w:rPr>
          <w:rFonts w:ascii="宋体" w:hAnsi="宋体" w:cs="宋体"/>
          <w:b/>
          <w:color w:val="auto"/>
          <w:sz w:val="24"/>
          <w:highlight w:val="none"/>
        </w:rPr>
      </w:pPr>
      <w:r>
        <w:rPr>
          <w:rFonts w:ascii="宋体" w:hAnsi="宋体" w:cs="宋体" w:hint="eastAsia"/>
          <w:b/>
          <w:color w:val="auto"/>
          <w:sz w:val="24"/>
          <w:highlight w:val="none"/>
        </w:rPr>
        <w:t>四   报价表（总报价表和分项报价表，如有需要可另附）</w:t>
      </w: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第五章　投标文件格式</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b/>
          <w:bCs/>
          <w:color w:val="auto"/>
          <w:highlight w:val="none"/>
        </w:rPr>
      </w:pPr>
    </w:p>
    <w:p>
      <w:pPr>
        <w:ind w:firstLine="420"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商务部分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格式1  </w:t>
      </w:r>
      <w:r>
        <w:rPr>
          <w:rFonts w:ascii="Times New Roman" w:hAnsi="Times New Roman" w:cs="宋体" w:hint="eastAsia"/>
          <w:b/>
          <w:bCs/>
          <w:color w:val="auto"/>
          <w:sz w:val="28"/>
          <w:szCs w:val="28"/>
          <w:highlight w:val="none"/>
          <w:lang w:bidi="ar"/>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47"/>
        <w:gridCol w:w="607"/>
        <w:gridCol w:w="1675"/>
        <w:gridCol w:w="1831"/>
        <w:gridCol w:w="292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供应商名称</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法定代表人</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统一社会信用代码</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邮政编码</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授权代表</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联系电话</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电子邮箱</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传真</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上年营业收入</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员工总人数</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税务登记机关</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资质名称</w:t>
            </w:r>
          </w:p>
        </w:tc>
        <w:tc>
          <w:tcPr>
            <w:tcW w:w="902"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等级</w:t>
            </w: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发证机关</w:t>
            </w:r>
          </w:p>
        </w:tc>
        <w:tc>
          <w:tcPr>
            <w:tcW w:w="1574"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直接管理关系单位名称</w:t>
            </w:r>
          </w:p>
        </w:tc>
        <w:tc>
          <w:tcPr>
            <w:tcW w:w="2560" w:type="pct"/>
            <w:gridSpan w:val="2"/>
            <w:vAlign w:val="center"/>
          </w:tcPr>
          <w:p>
            <w:pPr>
              <w:jc w:val="center"/>
              <w:rPr>
                <w:rFonts w:ascii="Times New Roman" w:hAnsi="Times New Roman" w:cs="Courier New"/>
                <w:color w:val="auto"/>
                <w:szCs w:val="21"/>
                <w:highlight w:val="none"/>
              </w:rPr>
            </w:pPr>
            <w:r>
              <w:rPr>
                <w:rFonts w:ascii="宋体" w:hAnsi="宋体" w:cs="Courier New" w:hint="eastAsia"/>
                <w:bCs/>
                <w:color w:val="auto"/>
                <w:szCs w:val="21"/>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备注</w:t>
            </w:r>
          </w:p>
        </w:tc>
        <w:tc>
          <w:tcPr>
            <w:tcW w:w="3789" w:type="pct"/>
            <w:gridSpan w:val="4"/>
            <w:vAlign w:val="center"/>
          </w:tcPr>
          <w:p>
            <w:pPr>
              <w:spacing w:line="360" w:lineRule="auto"/>
              <w:jc w:val="center"/>
              <w:rPr>
                <w:rFonts w:ascii="Times New Roman" w:hAnsi="Times New Roman" w:cs="Courier New"/>
                <w:color w:val="auto"/>
                <w:szCs w:val="21"/>
                <w:highlight w:val="none"/>
              </w:rPr>
            </w:pPr>
          </w:p>
        </w:tc>
      </w:tr>
    </w:tbl>
    <w:p>
      <w:pPr>
        <w:topLinePunct/>
        <w:autoSpaceDE w:val="0"/>
        <w:autoSpaceDN w:val="0"/>
        <w:spacing w:line="500" w:lineRule="exact"/>
        <w:ind w:firstLine="210" w:firstLineChars="100"/>
        <w:rPr>
          <w:rFonts w:hAnsi="宋体"/>
          <w:b/>
          <w:bCs/>
          <w:color w:val="auto"/>
          <w:sz w:val="24"/>
          <w:highlight w:val="none"/>
        </w:rPr>
      </w:pPr>
      <w:r>
        <w:rPr>
          <w:rFonts w:ascii="Times New Roman" w:hAnsi="Times New Roman" w:hint="eastAsia"/>
          <w:b/>
          <w:bCs/>
          <w:color w:val="auto"/>
          <w:szCs w:val="21"/>
          <w:highlight w:val="none"/>
        </w:rPr>
        <w:t>（需上传</w:t>
      </w:r>
      <w:r>
        <w:rPr>
          <w:rFonts w:ascii="Times New Roman" w:hAnsi="Times New Roman"/>
          <w:b/>
          <w:bCs/>
          <w:color w:val="auto"/>
          <w:szCs w:val="21"/>
          <w:highlight w:val="none"/>
        </w:rPr>
        <w:t>法人或者其他组织的营业执照等证明文件</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；投标人如为</w:t>
      </w:r>
      <w:r>
        <w:rPr>
          <w:rFonts w:ascii="Times New Roman" w:hAnsi="Times New Roman"/>
          <w:b/>
          <w:bCs/>
          <w:color w:val="auto"/>
          <w:szCs w:val="21"/>
          <w:highlight w:val="none"/>
        </w:rPr>
        <w:t>自然人</w:t>
      </w:r>
      <w:r>
        <w:rPr>
          <w:rFonts w:ascii="Times New Roman" w:hAnsi="Times New Roman" w:hint="eastAsia"/>
          <w:b/>
          <w:bCs/>
          <w:color w:val="auto"/>
          <w:szCs w:val="21"/>
          <w:highlight w:val="none"/>
        </w:rPr>
        <w:t>，</w:t>
      </w:r>
      <w:r>
        <w:rPr>
          <w:rFonts w:ascii="Times New Roman" w:hAnsi="Times New Roman" w:hint="eastAsia"/>
          <w:b/>
          <w:bCs/>
          <w:color w:val="auto"/>
          <w:szCs w:val="21"/>
          <w:highlight w:val="none"/>
          <w:lang w:val="en-US" w:eastAsia="zh-CN"/>
        </w:rPr>
        <w:t>上传</w:t>
      </w:r>
      <w:r>
        <w:rPr>
          <w:rFonts w:ascii="Times New Roman" w:hAnsi="Times New Roman" w:hint="eastAsia"/>
          <w:b/>
          <w:bCs/>
          <w:color w:val="auto"/>
          <w:szCs w:val="21"/>
          <w:highlight w:val="none"/>
        </w:rPr>
        <w:t>自然人</w:t>
      </w:r>
      <w:r>
        <w:rPr>
          <w:rFonts w:ascii="Times New Roman" w:hAnsi="Times New Roman"/>
          <w:b/>
          <w:bCs/>
          <w:color w:val="auto"/>
          <w:szCs w:val="21"/>
          <w:highlight w:val="none"/>
        </w:rPr>
        <w:t>的身份证</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投标人</w:t>
      </w:r>
      <w:r>
        <w:rPr>
          <w:rFonts w:ascii="宋体" w:hAnsi="宋体" w:cs="宋体" w:hint="eastAsia"/>
          <w:color w:val="auto"/>
          <w:kern w:val="0"/>
          <w:szCs w:val="21"/>
          <w:highlight w:val="none"/>
          <w:lang w:bidi="ar"/>
        </w:rPr>
        <w:t>（全称并加盖电子签章</w:t>
      </w:r>
      <w:r>
        <w:rPr>
          <w:rFonts w:ascii="宋体" w:hAnsi="宋体" w:cs="宋体" w:hint="eastAsia"/>
          <w:color w:val="auto"/>
          <w:szCs w:val="21"/>
          <w:highlight w:val="none"/>
          <w:lang w:bidi="ar"/>
        </w:rPr>
        <w:t>）：</w:t>
      </w:r>
      <w:r>
        <w:rPr>
          <w:rFonts w:ascii="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lang w:bidi="ar"/>
        </w:rPr>
      </w:pPr>
      <w:r>
        <w:rPr>
          <w:rFonts w:ascii="宋体" w:hAnsi="宋体" w:cs="宋体" w:hint="eastAsia"/>
          <w:color w:val="auto"/>
          <w:szCs w:val="21"/>
          <w:highlight w:val="none"/>
          <w:lang w:bidi="ar"/>
        </w:rPr>
        <w:t>日期：</w:t>
      </w:r>
      <w:r>
        <w:rPr>
          <w:rFonts w:ascii="宋体" w:hAnsi="宋体" w:cs="宋体" w:hint="eastAsia"/>
          <w:color w:val="auto"/>
          <w:szCs w:val="21"/>
          <w:highlight w:val="none"/>
          <w:u w:val="single"/>
          <w:lang w:bidi="ar"/>
        </w:rPr>
        <w:t xml:space="preserve">                                    </w:t>
      </w:r>
    </w:p>
    <w:p>
      <w:pPr>
        <w:rPr>
          <w:color w:val="auto"/>
          <w:highlight w:val="none"/>
          <w:lang w:bidi="ar"/>
        </w:rPr>
      </w:pPr>
      <w:r>
        <w:rPr>
          <w:color w:val="auto"/>
          <w:highlight w:val="none"/>
          <w:lang w:bidi="ar"/>
        </w:rPr>
        <w:br w:type="page"/>
      </w:r>
    </w:p>
    <w:p>
      <w:pPr>
        <w:tabs>
          <w:tab w:val="left" w:pos="1230"/>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格式2  </w:t>
      </w:r>
      <w:r>
        <w:rPr>
          <w:rFonts w:ascii="Times New Roman" w:hAnsi="Times New Roman" w:hint="eastAsia"/>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lang w:bidi="ar"/>
        </w:rPr>
        <w:t>2-1</w:t>
      </w:r>
      <w:r>
        <w:rPr>
          <w:rFonts w:ascii="Times New Roman" w:hAnsi="Times New Roman" w:cs="宋体" w:hint="eastAsia"/>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ascii="Times New Roman" w:hAnsi="Times New Roman" w:cs="宋体" w:hint="eastAsia"/>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ascii="Times New Roman" w:hAnsi="Times New Roman" w:cs="宋体" w:hint="eastAsia"/>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ascii="Times New Roman" w:hAnsi="Times New Roman" w:cs="宋体" w:hint="eastAsia"/>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s="宋体" w:hint="eastAsia"/>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r>
        <w:rPr>
          <w:rFonts w:ascii="Times New Roman" w:hAnsi="Times New Roman" w:cs="宋体" w:hint="eastAsia"/>
          <w:color w:val="auto"/>
          <w:kern w:val="0"/>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ascii="Times New Roman" w:hAnsi="Times New Roman" w:cs="宋体" w:hint="eastAsia"/>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ascii="Times New Roman" w:hAnsi="Times New Roman" w:cs="宋体" w:hint="eastAsia"/>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cs="宋体" w:hint="eastAsia"/>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cs="宋体" w:hint="eastAsia"/>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投标人（全称并加盖电子签章）：</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widowControl/>
        <w:ind w:firstLine="420" w:firstLineChars="200"/>
        <w:jc w:val="left"/>
        <w:rPr>
          <w:color w:val="auto"/>
          <w:highlight w:val="none"/>
          <w:lang w:bidi="ar"/>
        </w:rPr>
      </w:pPr>
      <w:r>
        <w:rPr>
          <w:rFonts w:cs="宋体" w:hint="eastAsia"/>
          <w:color w:val="auto"/>
          <w:highlight w:val="none"/>
          <w:lang w:bidi="ar"/>
        </w:rPr>
        <w:t>日期：</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widowControl/>
        <w:ind w:firstLine="420" w:firstLineChars="200"/>
        <w:jc w:val="left"/>
        <w:rPr>
          <w:rFonts w:ascii="Times New Roman" w:hAnsi="Times New Roman"/>
          <w:b/>
          <w:bCs/>
          <w:color w:val="auto"/>
          <w:sz w:val="28"/>
          <w:szCs w:val="28"/>
          <w:highlight w:val="none"/>
        </w:rPr>
      </w:pPr>
      <w:r>
        <w:rPr>
          <w:color w:val="auto"/>
          <w:highlight w:val="none"/>
          <w:lang w:bidi="ar"/>
        </w:rPr>
        <w:t xml:space="preserve"> </w:t>
      </w:r>
      <w:r>
        <w:rPr>
          <w:rFonts w:ascii="Times New Roman" w:hAnsi="Times New Roman"/>
          <w:b/>
          <w:bCs/>
          <w:color w:val="auto"/>
          <w:sz w:val="28"/>
          <w:szCs w:val="28"/>
          <w:highlight w:val="none"/>
        </w:rPr>
        <w:br w:type="page"/>
      </w:r>
    </w:p>
    <w:p>
      <w:pPr>
        <w:widowControl/>
        <w:jc w:val="center"/>
        <w:rPr>
          <w:rFonts w:ascii="宋体" w:hAnsi="宋体" w:cs="宋体"/>
          <w:b/>
          <w:bCs/>
          <w:color w:val="auto"/>
          <w:sz w:val="28"/>
          <w:szCs w:val="28"/>
          <w:highlight w:val="none"/>
        </w:rPr>
      </w:pPr>
      <w:r>
        <w:rPr>
          <w:rFonts w:ascii="Times New Roman" w:hAnsi="Times New Roman" w:hint="eastAsia"/>
          <w:b/>
          <w:bCs/>
          <w:color w:val="auto"/>
          <w:sz w:val="28"/>
          <w:szCs w:val="28"/>
          <w:highlight w:val="none"/>
        </w:rPr>
        <w:t xml:space="preserve">格式4  </w:t>
      </w:r>
      <w:r>
        <w:rPr>
          <w:rFonts w:ascii="Times New Roman" w:hAnsi="Times New Roman" w:cs="宋体" w:hint="eastAsia"/>
          <w:b/>
          <w:bCs/>
          <w:color w:val="auto"/>
          <w:sz w:val="28"/>
          <w:szCs w:val="28"/>
          <w:highlight w:val="none"/>
          <w:lang w:bidi="ar"/>
        </w:rPr>
        <w:t>具备法律、行政法规规定的其他条件的证明材料</w:t>
      </w:r>
    </w:p>
    <w:p>
      <w:pPr>
        <w:spacing w:line="360" w:lineRule="auto"/>
        <w:ind w:firstLine="420" w:firstLineChars="200"/>
        <w:jc w:val="left"/>
        <w:rPr>
          <w:rFonts w:ascii="Times New Roman" w:hAnsi="Times New Roman" w:cs="宋体" w:hint="eastAsia"/>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格式5  </w:t>
      </w:r>
      <w:r>
        <w:rPr>
          <w:rFonts w:ascii="Times New Roman" w:hAnsi="Times New Roman" w:cs="宋体" w:hint="eastAsia"/>
          <w:b/>
          <w:bCs/>
          <w:color w:val="auto"/>
          <w:sz w:val="28"/>
          <w:szCs w:val="28"/>
          <w:highlight w:val="none"/>
          <w:lang w:bidi="ar"/>
        </w:rPr>
        <w:t>联合体协议（若有）</w:t>
      </w:r>
    </w:p>
    <w:p>
      <w:pPr>
        <w:topLinePunct/>
        <w:autoSpaceDE w:val="0"/>
        <w:autoSpaceDN w:val="0"/>
        <w:snapToGrid w:val="0"/>
        <w:spacing w:line="360" w:lineRule="auto"/>
        <w:jc w:val="center"/>
        <w:rPr>
          <w:rFonts w:ascii="宋体" w:hAnsi="宋体" w:cs="宋体"/>
          <w:b/>
          <w:color w:val="auto"/>
          <w:w w:val="150"/>
          <w:kern w:val="0"/>
          <w:sz w:val="24"/>
          <w:szCs w:val="21"/>
          <w:highlight w:val="none"/>
        </w:rPr>
      </w:pPr>
    </w:p>
    <w:p>
      <w:pPr>
        <w:spacing w:line="360" w:lineRule="auto"/>
        <w:rPr>
          <w:rFonts w:ascii="Times New Roman" w:hAnsi="Times New Roman"/>
          <w:color w:val="auto"/>
          <w:highlight w:val="none"/>
        </w:rPr>
      </w:pPr>
      <w:r>
        <w:rPr>
          <w:rFonts w:ascii="Times New Roman" w:hAnsi="Times New Roman" w:cs="宋体" w:hint="eastAsia"/>
          <w:color w:val="auto"/>
          <w:highlight w:val="none"/>
          <w:lang w:bidi="ar"/>
        </w:rPr>
        <w:t>致</w:t>
      </w:r>
      <w:r>
        <w:rPr>
          <w:rFonts w:ascii="Times New Roman" w:hAnsi="Times New Roman"/>
          <w:color w:val="auto"/>
          <w:highlight w:val="none"/>
          <w:lang w:bidi="ar"/>
        </w:rPr>
        <w:t>________</w:t>
      </w:r>
      <w:r>
        <w:rPr>
          <w:rFonts w:ascii="Times New Roman" w:hAnsi="Times New Roman" w:cs="宋体" w:hint="eastAsia"/>
          <w:color w:val="auto"/>
          <w:highlight w:val="none"/>
          <w:lang w:bidi="ar"/>
        </w:rPr>
        <w:t>（采购人）：</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项目名称、项目编号</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ascii="Times New Roman" w:hAnsi="Times New Roman" w:cs="宋体" w:hint="eastAsia"/>
          <w:color w:val="auto"/>
          <w:szCs w:val="21"/>
          <w:highlight w:val="none"/>
          <w:lang w:bidi="ar"/>
        </w:rPr>
        <w:t>二、</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某成员单位名称</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为</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联合</w:t>
      </w:r>
      <w:r>
        <w:rPr>
          <w:rFonts w:ascii="宋体" w:hAnsi="宋体" w:cs="宋体" w:hint="eastAsia"/>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牵头人名称(电子签章)：____________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成员名称(电子签章)：____________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ascii="宋体" w:hAnsi="宋体" w:cs="宋体" w:hint="eastAsia"/>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lang w:bidi="ar"/>
        </w:rPr>
      </w:pPr>
      <w:r>
        <w:rPr>
          <w:rFonts w:ascii="宋体" w:hAnsi="宋体" w:cs="宋体" w:hint="eastAsia"/>
          <w:color w:val="auto"/>
          <w:szCs w:val="21"/>
          <w:highlight w:val="none"/>
          <w:lang w:bidi="ar"/>
        </w:rPr>
        <w:t>备注：本协议书由授权代表签字的，应附法定代表人签字的授权委托书。</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格式6  </w:t>
      </w:r>
      <w:r>
        <w:rPr>
          <w:rFonts w:ascii="Times New Roman" w:hAnsi="Times New Roman" w:cs="宋体" w:hint="eastAsia"/>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ascii="宋体" w:hAnsi="宋体"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格式7  </w:t>
      </w:r>
      <w:r>
        <w:rPr>
          <w:rFonts w:ascii="Times New Roman" w:hAnsi="Times New Roman"/>
          <w:b/>
          <w:bCs/>
          <w:color w:val="auto"/>
          <w:sz w:val="28"/>
          <w:szCs w:val="28"/>
          <w:highlight w:val="none"/>
        </w:rPr>
        <w:t>投标报价表</w:t>
      </w:r>
    </w:p>
    <w:p>
      <w:pPr>
        <w:topLinePunct/>
        <w:autoSpaceDE w:val="0"/>
        <w:autoSpaceDN w:val="0"/>
        <w:adjustRightInd w:val="0"/>
        <w:snapToGrid w:val="0"/>
        <w:spacing w:line="360" w:lineRule="auto"/>
        <w:ind w:left="2"/>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color w:val="auto"/>
          <w:szCs w:val="21"/>
          <w:highlight w:val="none"/>
        </w:rPr>
        <w:t>(</w:t>
      </w:r>
      <w:r>
        <w:rPr>
          <w:rFonts w:hAnsi="宋体" w:cs="宋体" w:hint="eastAsia"/>
          <w:color w:val="auto"/>
          <w:highlight w:val="none"/>
        </w:rPr>
        <w:t>服务类项目适用</w:t>
      </w:r>
      <w:r>
        <w:rPr>
          <w:rFonts w:ascii="宋体" w:hAnsi="宋体" w:cs="宋体"/>
          <w:color w:val="auto"/>
          <w:szCs w:val="21"/>
          <w:highlight w:val="none"/>
        </w:rPr>
        <w:t>)</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 xml:space="preserve">   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color w:val="auto"/>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1"/>
        <w:gridCol w:w="4918"/>
        <w:gridCol w:w="2553"/>
      </w:tblGrid>
      <w:tr>
        <w:tblPrEx>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4918" w:type="dxa"/>
            <w:noWrap/>
            <w:vAlign w:val="center"/>
          </w:tcPr>
          <w:p>
            <w:pPr>
              <w:adjustRightInd w:val="0"/>
              <w:snapToGrid w:val="0"/>
              <w:spacing w:line="360" w:lineRule="auto"/>
              <w:jc w:val="center"/>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4918" w:type="dxa"/>
            <w:noWrap/>
            <w:vAlign w:val="center"/>
          </w:tcPr>
          <w:p>
            <w:pPr>
              <w:spacing w:line="460" w:lineRule="exact"/>
              <w:jc w:val="left"/>
              <w:rPr>
                <w:rFonts w:ascii="Times New Roman" w:hAnsi="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服务期</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2553"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p>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Times New Roman" w:hAnsi="Times New Roman"/>
          <w:b/>
          <w:color w:val="auto"/>
          <w:sz w:val="28"/>
          <w:highlight w:val="none"/>
        </w:rPr>
      </w:pPr>
      <w:r>
        <w:rPr>
          <w:rFonts w:ascii="Times New Roman" w:hAnsi="Times New Roman"/>
          <w:b/>
          <w:color w:val="auto"/>
          <w:sz w:val="28"/>
          <w:highlight w:val="none"/>
        </w:rPr>
        <w:br w:type="page"/>
      </w:r>
    </w:p>
    <w:p>
      <w:pPr>
        <w:widowControl/>
        <w:jc w:val="center"/>
        <w:rPr>
          <w:rFonts w:ascii="Times New Roman" w:hAnsi="Times New Roman"/>
          <w:b/>
          <w:color w:val="auto"/>
          <w:sz w:val="28"/>
          <w:highlight w:val="none"/>
        </w:rPr>
      </w:pPr>
      <w:r>
        <w:rPr>
          <w:rFonts w:ascii="Times New Roman" w:hAnsi="Times New Roman"/>
          <w:b/>
          <w:color w:val="auto"/>
          <w:sz w:val="28"/>
          <w:highlight w:val="none"/>
        </w:rPr>
        <w:t>2.分项报价表</w:t>
      </w:r>
    </w:p>
    <w:p>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hint="eastAsia"/>
          <w:color w:val="auto"/>
          <w:szCs w:val="21"/>
          <w:highlight w:val="none"/>
        </w:rPr>
        <w:t>(服务类项目适用)</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bCs/>
          <w:color w:val="auto"/>
          <w:w w:val="150"/>
          <w:szCs w:val="21"/>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181" w:type="dxa"/>
        <w:jc w:val="center"/>
        <w:tblLayout w:type="fixed"/>
        <w:tblCellMar>
          <w:top w:w="0" w:type="dxa"/>
          <w:left w:w="108" w:type="dxa"/>
          <w:bottom w:w="0" w:type="dxa"/>
          <w:right w:w="108" w:type="dxa"/>
        </w:tblCellMar>
      </w:tblPr>
      <w:tblGrid>
        <w:gridCol w:w="644"/>
        <w:gridCol w:w="1964"/>
        <w:gridCol w:w="2058"/>
        <w:gridCol w:w="1271"/>
        <w:gridCol w:w="1259"/>
        <w:gridCol w:w="1342"/>
        <w:gridCol w:w="643"/>
      </w:tblGrid>
      <w:tr>
        <w:tblPrEx>
          <w:tblW w:w="9181" w:type="dxa"/>
          <w:jc w:val="center"/>
          <w:tblLayout w:type="fixed"/>
          <w:tblCellMar>
            <w:top w:w="0" w:type="dxa"/>
            <w:left w:w="108" w:type="dxa"/>
            <w:bottom w:w="0" w:type="dxa"/>
            <w:right w:w="108" w:type="dxa"/>
          </w:tblCellMar>
        </w:tblPrEx>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964" w:type="dxa"/>
            <w:tcBorders>
              <w:top w:val="single" w:sz="4" w:space="0" w:color="auto"/>
              <w:left w:val="nil"/>
              <w:bottom w:val="single" w:sz="4" w:space="0" w:color="auto"/>
              <w:right w:val="single" w:sz="4" w:space="0" w:color="auto"/>
            </w:tcBorders>
            <w:vAlign w:val="center"/>
          </w:tcPr>
          <w:p>
            <w:pPr>
              <w:widowControl/>
              <w:ind w:left="-84" w:firstLine="82" w:leftChars="-40"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058" w:type="dxa"/>
            <w:tcBorders>
              <w:top w:val="single" w:sz="4" w:space="0" w:color="auto"/>
              <w:left w:val="nil"/>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数量</w:t>
            </w:r>
          </w:p>
        </w:tc>
        <w:tc>
          <w:tcPr>
            <w:tcW w:w="1259"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单价</w:t>
            </w:r>
          </w:p>
        </w:tc>
        <w:tc>
          <w:tcPr>
            <w:tcW w:w="134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sz="4" w:space="0" w:color="auto"/>
              <w:left w:val="nil"/>
              <w:bottom w:val="single" w:sz="4" w:space="0" w:color="auto"/>
              <w:right w:val="single" w:sz="4" w:space="0" w:color="auto"/>
            </w:tcBorders>
            <w:vAlign w:val="center"/>
          </w:tcPr>
          <w:p>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Times New Roman" w:hAnsi="Times New Roman" w:hint="eastAsia"/>
                <w:color w:val="auto"/>
                <w:szCs w:val="21"/>
                <w:highlight w:val="none"/>
              </w:rPr>
              <w:t>物业管理服务项目</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2年</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Times New Roman" w:hAnsi="Times New Roman" w:hint="eastAsia"/>
                <w:color w:val="auto"/>
                <w:szCs w:val="21"/>
                <w:highlight w:val="none"/>
              </w:rPr>
              <w:t>餐饮服务项目</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2年</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964"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4666" w:type="dxa"/>
            <w:gridSpan w:val="3"/>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p>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3.本表中小计=数量×单价。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4</w:t>
      </w:r>
      <w:r>
        <w:rPr>
          <w:rFonts w:ascii="Times New Roman" w:hAnsi="Times New Roman"/>
          <w:color w:val="auto"/>
          <w:szCs w:val="21"/>
          <w:highlight w:val="none"/>
        </w:rPr>
        <w:t>.本表仅供参考，可扩展。</w:t>
      </w:r>
    </w:p>
    <w:p>
      <w:pPr>
        <w:ind w:firstLine="420" w:firstLineChars="200"/>
        <w:rPr>
          <w:rFonts w:ascii="Times New Roman" w:hAnsi="Times New Roman"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adjustRightInd w:val="0"/>
        <w:snapToGrid w:val="0"/>
        <w:spacing w:line="360" w:lineRule="auto"/>
        <w:ind w:firstLine="420" w:firstLineChars="200"/>
        <w:jc w:val="left"/>
        <w:rPr>
          <w:rFonts w:ascii="宋体" w:hAnsi="宋体" w:cs="宋体"/>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rPr>
        <w:t xml:space="preserve">格式8  </w:t>
      </w:r>
      <w:r>
        <w:rPr>
          <w:rFonts w:ascii="Times New Roman" w:hAnsi="Times New Roman" w:cs="宋体" w:hint="eastAsia"/>
          <w:b/>
          <w:bCs/>
          <w:color w:val="auto"/>
          <w:sz w:val="28"/>
          <w:szCs w:val="28"/>
          <w:highlight w:val="none"/>
          <w:lang w:bidi="ar"/>
        </w:rPr>
        <w:t>授权委托书</w:t>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-1</w:t>
      </w:r>
      <w:r>
        <w:rPr>
          <w:rFonts w:ascii="Times New Roman" w:hAnsi="Times New Roman" w:cs="宋体" w:hint="eastAsia"/>
          <w:b/>
          <w:bCs/>
          <w:color w:val="auto"/>
          <w:sz w:val="28"/>
          <w:szCs w:val="28"/>
          <w:highlight w:val="none"/>
          <w:lang w:bidi="ar"/>
        </w:rPr>
        <w:t>法定代表人授权委托书</w:t>
      </w:r>
    </w:p>
    <w:p>
      <w:pPr>
        <w:adjustRightInd w:val="0"/>
        <w:snapToGrid w:val="0"/>
        <w:spacing w:line="360" w:lineRule="auto"/>
        <w:jc w:val="center"/>
        <w:rPr>
          <w:rFonts w:ascii="宋体" w:hAnsi="宋体" w:cs="宋体"/>
          <w:b/>
          <w:bCs/>
          <w:color w:val="auto"/>
          <w:sz w:val="24"/>
          <w:highlight w:val="none"/>
        </w:rPr>
      </w:pPr>
      <w:r>
        <w:rPr>
          <w:rFonts w:ascii="宋体" w:hAnsi="宋体" w:cs="宋体" w:hint="eastAsia"/>
          <w:color w:val="auto"/>
          <w:szCs w:val="21"/>
          <w:highlight w:val="none"/>
          <w:lang w:bidi="ar"/>
        </w:rPr>
        <w:t>(适用于授权代表参加投标)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ascii="宋体" w:hAnsi="宋体" w:cs="宋体" w:hint="eastAsia"/>
          <w:color w:val="auto"/>
          <w:szCs w:val="21"/>
          <w:highlight w:val="none"/>
          <w:u w:val="single"/>
          <w:lang w:bidi="ar"/>
        </w:rPr>
        <w:t xml:space="preserve">          项目</w:t>
      </w:r>
      <w:r>
        <w:rPr>
          <w:rFonts w:ascii="宋体" w:hAnsi="宋体" w:cs="宋体" w:hint="eastAsia"/>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本授权书于______年______月_____日生效，特此声明。</w:t>
      </w:r>
    </w:p>
    <w:p>
      <w:pPr>
        <w:adjustRightInd w:val="0"/>
        <w:snapToGrid w:val="0"/>
        <w:spacing w:line="360" w:lineRule="auto"/>
        <w:ind w:firstLine="420" w:firstLineChars="200"/>
        <w:rPr>
          <w:rFonts w:ascii="宋体" w:hAnsi="宋体" w:cs="宋体"/>
          <w:color w:val="auto"/>
          <w:kern w:val="0"/>
          <w:sz w:val="24"/>
          <w:szCs w:val="24"/>
          <w:highlight w:val="none"/>
        </w:rPr>
      </w:pPr>
      <w:r>
        <w:rPr>
          <w:rFonts w:ascii="宋体" w:hAnsi="宋体" w:cs="宋体" w:hint="eastAsia"/>
          <w:color w:val="auto"/>
          <w:szCs w:val="21"/>
          <w:highlight w:val="none"/>
          <w:lang w:bidi="ar"/>
        </w:rPr>
        <w:t>被授权投标代表无转委托权。</w:t>
      </w:r>
    </w:p>
    <w:p>
      <w:pPr>
        <w:adjustRightInd w:val="0"/>
        <w:snapToGrid w:val="0"/>
        <w:spacing w:line="360" w:lineRule="auto"/>
        <w:rPr>
          <w:rFonts w:ascii="宋体" w:hAnsi="宋体" w:cs="宋体"/>
          <w:color w:val="auto"/>
          <w:kern w:val="0"/>
          <w:sz w:val="24"/>
          <w:szCs w:val="24"/>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b/>
                <w:color w:val="auto"/>
                <w:szCs w:val="21"/>
                <w:highlight w:val="none"/>
                <w:lang w:bidi="ar"/>
              </w:rPr>
              <w:t>被授权投标代表</w:t>
            </w:r>
            <w:r>
              <w:rPr>
                <w:rFonts w:ascii="宋体" w:hAnsi="宋体" w:cs="宋体" w:hint="eastAsia"/>
                <w:color w:val="auto"/>
                <w:szCs w:val="21"/>
                <w:highlight w:val="none"/>
                <w:lang w:bidi="ar"/>
              </w:rPr>
              <w:t>身份证复印件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360" w:lineRule="auto"/>
        <w:jc w:val="left"/>
        <w:rPr>
          <w:rFonts w:ascii="宋体" w:hAnsi="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rPr>
        <w:t>法定代表人（签字）：______</w:t>
      </w:r>
      <w:r>
        <w:rPr>
          <w:rFonts w:ascii="宋体" w:hAnsi="宋体" w:cs="宋体" w:hint="eastAsia"/>
          <w:color w:val="auto"/>
          <w:szCs w:val="21"/>
          <w:highlight w:val="none"/>
          <w:lang w:bidi="ar"/>
        </w:rPr>
        <w:t>____</w:t>
      </w:r>
      <w:r>
        <w:rPr>
          <w:rFonts w:ascii="宋体" w:hAnsi="宋体" w:cs="宋体" w:hint="eastAsia"/>
          <w:color w:val="auto"/>
          <w:szCs w:val="21"/>
          <w:highlight w:val="none"/>
        </w:rPr>
        <w:t>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被授权投标代表联系电话：_______________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日期：________________________________</w:t>
      </w:r>
    </w:p>
    <w:p>
      <w:pPr>
        <w:topLinePunct/>
        <w:autoSpaceDE w:val="0"/>
        <w:autoSpaceDN w:val="0"/>
        <w:adjustRightInd w:val="0"/>
        <w:snapToGrid w:val="0"/>
        <w:spacing w:line="360" w:lineRule="auto"/>
        <w:jc w:val="left"/>
        <w:rPr>
          <w:rFonts w:ascii="Times New Roman" w:hAnsi="Times New Roman"/>
          <w:color w:val="auto"/>
          <w:highlight w:val="none"/>
        </w:rPr>
      </w:pPr>
    </w:p>
    <w:p>
      <w:pPr>
        <w:topLinePunct/>
        <w:autoSpaceDE w:val="0"/>
        <w:autoSpaceDN w:val="0"/>
        <w:adjustRightInd w:val="0"/>
        <w:snapToGrid w:val="0"/>
        <w:spacing w:line="360" w:lineRule="auto"/>
        <w:jc w:val="left"/>
        <w:rPr>
          <w:rFonts w:ascii="Times New Roman" w:hAnsi="Times New Roman"/>
          <w:i/>
          <w:iCs/>
          <w:color w:val="auto"/>
          <w:highlight w:val="none"/>
        </w:rPr>
      </w:pPr>
      <w:r>
        <w:rPr>
          <w:rFonts w:ascii="Times New Roman" w:hAnsi="Times New Roman"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Times New Roman" w:hAnsi="Times New Roman"/>
          <w:color w:val="auto"/>
          <w:highlight w:val="none"/>
          <w:lang w:bidi="ar"/>
        </w:rPr>
        <w:t>1.</w:t>
      </w:r>
      <w:r>
        <w:rPr>
          <w:rFonts w:ascii="Times New Roman" w:hAnsi="Times New Roman" w:cs="宋体" w:hint="eastAsia"/>
          <w:color w:val="auto"/>
          <w:highlight w:val="none"/>
          <w:lang w:bidi="ar"/>
        </w:rPr>
        <w:t>投标人如由被授权投标代表参与投标活动的，须同时提供《法定代表人授权委托书》和被授权投标代表身份证复印件</w:t>
      </w:r>
      <w:r>
        <w:rPr>
          <w:rFonts w:ascii="Times New Roman" w:hAnsi="Times New Roman" w:cs="宋体" w:hint="eastAsia"/>
          <w:bCs/>
          <w:color w:val="auto"/>
          <w:szCs w:val="21"/>
          <w:highlight w:val="none"/>
          <w:lang w:bidi="ar"/>
        </w:rPr>
        <w:t>（线上采购项目提供扫描件，下同）</w:t>
      </w:r>
      <w:r>
        <w:rPr>
          <w:rFonts w:ascii="Times New Roman" w:hAnsi="Times New Roman" w:cs="宋体" w:hint="eastAsia"/>
          <w:color w:val="auto"/>
          <w:highlight w:val="none"/>
          <w:lang w:bidi="ar"/>
        </w:rPr>
        <w:t>。《法定代表人授权委托书》应当按本格式要求加盖与投标人名称全称一致的标准公章，并签署法定代表人或被授权投标代表的全名</w:t>
      </w:r>
      <w:r>
        <w:rPr>
          <w:rFonts w:ascii="Times New Roman" w:hAnsi="Times New Roman" w:cs="宋体" w:hint="eastAsia"/>
          <w:color w:val="auto"/>
          <w:szCs w:val="21"/>
          <w:highlight w:val="none"/>
          <w:lang w:bidi="ar"/>
        </w:rPr>
        <w:t>。</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线上采购项目应上传扫描件</w:t>
      </w:r>
      <w:r>
        <w:rPr>
          <w:rFonts w:ascii="Times New Roman" w:hAnsi="Times New Roman"/>
          <w:color w:val="auto"/>
          <w:szCs w:val="21"/>
          <w:highlight w:val="none"/>
          <w:lang w:bidi="ar"/>
        </w:rPr>
        <w:t>)</w:t>
      </w:r>
      <w:r>
        <w:rPr>
          <w:rFonts w:ascii="Times New Roman" w:hAnsi="Times New Roman" w:cs="宋体" w:hint="eastAsia"/>
          <w:color w:val="auto"/>
          <w:highlight w:val="none"/>
          <w:lang w:bidi="ar"/>
        </w:rPr>
        <w:t>。</w:t>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36"/>
          <w:szCs w:val="36"/>
          <w:highlight w:val="none"/>
          <w:lang w:bidi="ar"/>
        </w:rPr>
        <w:br w:type="page"/>
      </w: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-2</w:t>
      </w:r>
      <w:r>
        <w:rPr>
          <w:rFonts w:ascii="Times New Roman" w:hAnsi="Times New Roman" w:cs="宋体" w:hint="eastAsia"/>
          <w:b/>
          <w:bCs/>
          <w:color w:val="auto"/>
          <w:sz w:val="28"/>
          <w:szCs w:val="28"/>
          <w:highlight w:val="none"/>
          <w:lang w:bidi="ar"/>
        </w:rPr>
        <w:t>法定代表人身份证明复印件</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color w:val="auto"/>
                <w:szCs w:val="21"/>
                <w:highlight w:val="none"/>
                <w:lang w:bidi="ar"/>
              </w:rPr>
              <w:t>法定代表人身份证明复印件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topLinePunct/>
        <w:autoSpaceDE w:val="0"/>
        <w:autoSpaceDN w:val="0"/>
        <w:adjustRightInd w:val="0"/>
        <w:snapToGrid w:val="0"/>
        <w:spacing w:line="360" w:lineRule="auto"/>
        <w:jc w:val="left"/>
        <w:rPr>
          <w:rFonts w:eastAsia="仿宋_GB2312"/>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法定代表人作为投标代表参与投标活动的，仅须提供法定代表人身份证复印件</w:t>
      </w:r>
      <w:r>
        <w:rPr>
          <w:rFonts w:ascii="宋体" w:hAnsi="宋体" w:cs="宋体" w:hint="eastAsia"/>
          <w:bCs/>
          <w:color w:val="auto"/>
          <w:szCs w:val="21"/>
          <w:highlight w:val="none"/>
          <w:lang w:bidi="ar"/>
        </w:rPr>
        <w:t>（线上采购项目提供扫描件，下同）</w:t>
      </w:r>
      <w:r>
        <w:rPr>
          <w:rFonts w:ascii="宋体" w:hAnsi="宋体" w:cs="宋体" w:hint="eastAsia"/>
          <w:color w:val="auto"/>
          <w:highlight w:val="none"/>
          <w:lang w:bidi="ar"/>
        </w:rPr>
        <w:t>。</w:t>
      </w:r>
    </w:p>
    <w:p>
      <w:pPr>
        <w:ind w:firstLine="480" w:firstLineChars="200"/>
        <w:rPr>
          <w:rFonts w:ascii="Times New Roman" w:eastAsia="仿宋_GB2312" w:hAnsi="Times New Roman" w:cs="Courier New"/>
          <w:color w:val="auto"/>
          <w:kern w:val="0"/>
          <w:sz w:val="24"/>
          <w:szCs w:val="24"/>
          <w:highlight w:val="none"/>
        </w:rPr>
      </w:pP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-3</w:t>
      </w:r>
      <w:r>
        <w:rPr>
          <w:rFonts w:ascii="Times New Roman" w:hAnsi="Times New Roman" w:cs="宋体" w:hint="eastAsia"/>
          <w:b/>
          <w:bCs/>
          <w:color w:val="auto"/>
          <w:sz w:val="28"/>
          <w:szCs w:val="28"/>
          <w:highlight w:val="none"/>
          <w:lang w:bidi="ar"/>
        </w:rPr>
        <w:t>自然人授权委托书</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(适用于自然人投标)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spacing w:line="360" w:lineRule="auto"/>
        <w:ind w:firstLine="420" w:firstLineChars="200"/>
        <w:rPr>
          <w:color w:val="auto"/>
          <w:highlight w:val="none"/>
        </w:rPr>
      </w:pPr>
      <w:r>
        <w:rPr>
          <w:rFonts w:cs="宋体" w:hint="eastAsia"/>
          <w:color w:val="auto"/>
          <w:highlight w:val="none"/>
          <w:lang w:bidi="ar"/>
        </w:rPr>
        <w:t>本授权书声明：我</w:t>
      </w:r>
      <w:r>
        <w:rPr>
          <w:color w:val="auto"/>
          <w:highlight w:val="none"/>
          <w:lang w:bidi="ar"/>
        </w:rPr>
        <w:t>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系自然人，现授权委托</w:t>
      </w:r>
      <w:r>
        <w:rPr>
          <w:color w:val="auto"/>
          <w:highlight w:val="none"/>
          <w:lang w:bidi="ar"/>
        </w:rPr>
        <w:t>____________(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以本人名义参加《</w:t>
      </w:r>
      <w:r>
        <w:rPr>
          <w:color w:val="auto"/>
          <w:highlight w:val="none"/>
          <w:u w:val="single"/>
          <w:lang w:bidi="ar"/>
        </w:rPr>
        <w:t xml:space="preserve">          </w:t>
      </w:r>
      <w:r>
        <w:rPr>
          <w:rFonts w:cs="宋体" w:hint="eastAsia"/>
          <w:color w:val="auto"/>
          <w:highlight w:val="none"/>
          <w:lang w:bidi="ar"/>
        </w:rPr>
        <w:t>项目》（项目编号：</w:t>
      </w:r>
      <w:r>
        <w:rPr>
          <w:color w:val="auto"/>
          <w:highlight w:val="none"/>
          <w:u w:val="single"/>
          <w:lang w:bidi="ar"/>
        </w:rPr>
        <w:t xml:space="preserve">    </w:t>
      </w:r>
      <w:r>
        <w:rPr>
          <w:rFonts w:cs="宋体" w:hint="eastAsia"/>
          <w:color w:val="auto"/>
          <w:highlight w:val="none"/>
          <w:lang w:bidi="ar"/>
        </w:rPr>
        <w:t>）的投标活动，并代表本人全权办理针对上述项目的投标、签约等具体事务和签署相关文件。</w:t>
      </w:r>
    </w:p>
    <w:p>
      <w:pPr>
        <w:spacing w:line="360" w:lineRule="auto"/>
        <w:ind w:firstLine="420" w:firstLineChars="200"/>
        <w:rPr>
          <w:color w:val="auto"/>
          <w:highlight w:val="none"/>
        </w:rPr>
      </w:pPr>
      <w:r>
        <w:rPr>
          <w:rFonts w:cs="宋体" w:hint="eastAsia"/>
          <w:color w:val="auto"/>
          <w:highlight w:val="none"/>
          <w:lang w:bidi="ar"/>
        </w:rPr>
        <w:t>本人对被授权人的签字事项负全部责任。</w:t>
      </w:r>
    </w:p>
    <w:p>
      <w:pPr>
        <w:spacing w:line="360" w:lineRule="auto"/>
        <w:ind w:firstLine="420" w:firstLineChars="200"/>
        <w:rPr>
          <w:color w:val="auto"/>
          <w:highlight w:val="none"/>
        </w:rPr>
      </w:pPr>
      <w:r>
        <w:rPr>
          <w:rFonts w:cs="宋体" w:hint="eastAsia"/>
          <w:color w:val="auto"/>
          <w:highlight w:val="none"/>
          <w:lang w:bidi="ar"/>
        </w:rPr>
        <w:t>授权委托代理期限：从</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日起至</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日止。</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代理人无转委托权，特此委托。</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我已在下面签字，以资证明。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自然人签字并在签名处加盖食指指印：</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w:t>
      </w:r>
    </w:p>
    <w:p>
      <w:pPr>
        <w:spacing w:line="360" w:lineRule="auto"/>
        <w:ind w:firstLine="480" w:firstLineChars="200"/>
        <w:rPr>
          <w:rFonts w:ascii="宋体" w:hAnsi="宋体" w:cs="宋体"/>
          <w:color w:val="auto"/>
          <w:kern w:val="0"/>
          <w:sz w:val="24"/>
          <w:szCs w:val="24"/>
          <w:highlight w:val="none"/>
        </w:rPr>
      </w:pPr>
    </w:p>
    <w:p>
      <w:pPr>
        <w:topLinePunct/>
        <w:autoSpaceDE w:val="0"/>
        <w:autoSpaceDN w:val="0"/>
        <w:adjustRightInd w:val="0"/>
        <w:snapToGrid w:val="0"/>
        <w:spacing w:line="360" w:lineRule="auto"/>
        <w:jc w:val="left"/>
        <w:rPr>
          <w:rFonts w:ascii="宋体" w:hAnsi="宋体" w:cs="宋体"/>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被授权人参与投标活动的，</w:t>
      </w:r>
      <w:r>
        <w:rPr>
          <w:rFonts w:ascii="宋体" w:hAnsi="宋体" w:cs="宋体" w:hint="eastAsia"/>
          <w:color w:val="auto"/>
          <w:highlight w:val="none"/>
          <w:lang w:bidi="ar"/>
        </w:rPr>
        <w:t>须提供《自然人授权委托书》，《自然人授权委托书》应当按本格式要求签字并由自然人在签名处加盖食指指印</w:t>
      </w:r>
      <w:r>
        <w:rPr>
          <w:rFonts w:ascii="宋体" w:hAnsi="宋体" w:cs="宋体" w:hint="eastAsia"/>
          <w:color w:val="auto"/>
          <w:szCs w:val="21"/>
          <w:highlight w:val="none"/>
          <w:lang w:bidi="ar"/>
        </w:rPr>
        <w:t>。</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tabs>
          <w:tab w:val="left" w:pos="312"/>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格式9  </w:t>
      </w:r>
      <w:r>
        <w:rPr>
          <w:rFonts w:ascii="宋体" w:hAnsi="宋体" w:cs="宋体" w:hint="eastAsia"/>
          <w:b/>
          <w:bCs/>
          <w:color w:val="auto"/>
          <w:sz w:val="28"/>
          <w:szCs w:val="28"/>
          <w:highlight w:val="none"/>
          <w:lang w:bidi="ar"/>
        </w:rPr>
        <w:t>投标函</w:t>
      </w: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根据</w:t>
      </w:r>
      <w:r>
        <w:rPr>
          <w:color w:val="auto"/>
          <w:highlight w:val="none"/>
          <w:lang w:bidi="ar"/>
        </w:rPr>
        <w:t>______</w:t>
      </w:r>
      <w:r>
        <w:rPr>
          <w:rFonts w:cs="宋体" w:hint="eastAsia"/>
          <w:color w:val="auto"/>
          <w:highlight w:val="none"/>
          <w:lang w:bidi="ar"/>
        </w:rPr>
        <w:t>（项目名称）（项目编号：</w:t>
      </w:r>
      <w:r>
        <w:rPr>
          <w:color w:val="auto"/>
          <w:highlight w:val="none"/>
          <w:lang w:bidi="ar"/>
        </w:rPr>
        <w:t>______</w:t>
      </w:r>
      <w:r>
        <w:rPr>
          <w:rFonts w:cs="宋体" w:hint="eastAsia"/>
          <w:color w:val="auto"/>
          <w:highlight w:val="none"/>
          <w:lang w:bidi="ar"/>
        </w:rPr>
        <w:t>）的招标公告，</w:t>
      </w:r>
      <w:r>
        <w:rPr>
          <w:color w:val="auto"/>
          <w:highlight w:val="none"/>
          <w:lang w:bidi="ar"/>
        </w:rPr>
        <w:t>______</w:t>
      </w:r>
      <w:r>
        <w:rPr>
          <w:rFonts w:cs="宋体" w:hint="eastAsia"/>
          <w:color w:val="auto"/>
          <w:highlight w:val="none"/>
          <w:lang w:bidi="ar"/>
        </w:rPr>
        <w:t>（姓名、职务）代表投标人</w:t>
      </w:r>
      <w:r>
        <w:rPr>
          <w:color w:val="auto"/>
          <w:highlight w:val="none"/>
          <w:lang w:bidi="ar"/>
        </w:rPr>
        <w:t>______</w:t>
      </w:r>
      <w:r>
        <w:rPr>
          <w:rFonts w:cs="宋体" w:hint="eastAsia"/>
          <w:color w:val="auto"/>
          <w:highlight w:val="none"/>
          <w:lang w:bidi="ar"/>
        </w:rPr>
        <w:t>（投标人名称、地址）参加项目招标的有关活动。据此函，作如下承诺：</w:t>
      </w:r>
    </w:p>
    <w:p>
      <w:pPr>
        <w:spacing w:line="360" w:lineRule="auto"/>
        <w:ind w:firstLine="420" w:firstLineChars="200"/>
        <w:rPr>
          <w:color w:val="auto"/>
          <w:highlight w:val="none"/>
        </w:rPr>
      </w:pPr>
      <w:r>
        <w:rPr>
          <w:color w:val="auto"/>
          <w:highlight w:val="none"/>
          <w:lang w:bidi="ar"/>
        </w:rPr>
        <w:t>1.</w:t>
      </w:r>
      <w:r>
        <w:rPr>
          <w:rFonts w:cs="宋体" w:hint="eastAsia"/>
          <w:color w:val="auto"/>
          <w:highlight w:val="none"/>
          <w:lang w:bidi="ar"/>
        </w:rPr>
        <w:t>同意在本项目招标文件中规定的开标日起</w:t>
      </w:r>
      <w:r>
        <w:rPr>
          <w:color w:val="auto"/>
          <w:highlight w:val="none"/>
          <w:u w:val="single"/>
          <w:lang w:bidi="ar"/>
        </w:rPr>
        <w:t xml:space="preserve">    </w:t>
      </w:r>
      <w:r>
        <w:rPr>
          <w:rFonts w:cs="宋体" w:hint="eastAsia"/>
          <w:color w:val="auto"/>
          <w:highlight w:val="none"/>
          <w:lang w:bidi="ar"/>
        </w:rPr>
        <w:t>天遵守本投标文件中的承诺，且在期满之前均具有约束力。</w:t>
      </w:r>
    </w:p>
    <w:p>
      <w:pPr>
        <w:spacing w:line="360" w:lineRule="auto"/>
        <w:ind w:firstLine="420" w:firstLineChars="200"/>
        <w:rPr>
          <w:color w:val="auto"/>
          <w:highlight w:val="none"/>
        </w:rPr>
      </w:pPr>
      <w:r>
        <w:rPr>
          <w:color w:val="auto"/>
          <w:highlight w:val="none"/>
          <w:lang w:bidi="ar"/>
        </w:rPr>
        <w:t>2.</w:t>
      </w:r>
      <w:r>
        <w:rPr>
          <w:rFonts w:cs="宋体" w:hint="eastAsia"/>
          <w:color w:val="auto"/>
          <w:highlight w:val="none"/>
          <w:lang w:bidi="ar"/>
        </w:rPr>
        <w:t>具备政府采购相关法律法规规定的参加政府采购活动的供应商应当具备的条件：</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1</w:t>
      </w:r>
      <w:r>
        <w:rPr>
          <w:rFonts w:cs="宋体" w:hint="eastAsia"/>
          <w:color w:val="auto"/>
          <w:highlight w:val="none"/>
          <w:lang w:bidi="ar"/>
        </w:rPr>
        <w:t>）具有独立承担民事责任的能力；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2</w:t>
      </w:r>
      <w:r>
        <w:rPr>
          <w:rFonts w:cs="宋体" w:hint="eastAsia"/>
          <w:color w:val="auto"/>
          <w:highlight w:val="none"/>
          <w:lang w:bidi="ar"/>
        </w:rPr>
        <w:t>）具有良好的商业信誉和健全的财务会计制度；</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3</w:t>
      </w:r>
      <w:r>
        <w:rPr>
          <w:rFonts w:cs="宋体" w:hint="eastAsia"/>
          <w:color w:val="auto"/>
          <w:highlight w:val="none"/>
          <w:lang w:bidi="ar"/>
        </w:rPr>
        <w:t>）具有履行合同所必需的设备和专业技术能力；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4</w:t>
      </w:r>
      <w:r>
        <w:rPr>
          <w:rFonts w:cs="宋体" w:hint="eastAsia"/>
          <w:color w:val="auto"/>
          <w:highlight w:val="none"/>
          <w:lang w:bidi="ar"/>
        </w:rPr>
        <w:t>）有依法缴纳税收和社会保障资金的良好记录；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5</w:t>
      </w:r>
      <w:r>
        <w:rPr>
          <w:rFonts w:cs="宋体" w:hint="eastAsia"/>
          <w:color w:val="auto"/>
          <w:highlight w:val="none"/>
          <w:lang w:bidi="ar"/>
        </w:rPr>
        <w:t>）参加此项采购活动前三年内，在经营活动中没有重大违法记录。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6</w:t>
      </w:r>
      <w:r>
        <w:rPr>
          <w:rFonts w:cs="宋体" w:hint="eastAsia"/>
          <w:color w:val="auto"/>
          <w:highlight w:val="none"/>
          <w:lang w:bidi="ar"/>
        </w:rPr>
        <w:t>）法律、行政法规规定的其他条件。</w:t>
      </w:r>
      <w:r>
        <w:rPr>
          <w:color w:val="auto"/>
          <w:highlight w:val="none"/>
          <w:lang w:bidi="ar"/>
        </w:rPr>
        <w:t xml:space="preserve"> </w:t>
      </w:r>
    </w:p>
    <w:p>
      <w:pPr>
        <w:spacing w:line="360" w:lineRule="auto"/>
        <w:ind w:firstLine="420" w:firstLineChars="200"/>
        <w:rPr>
          <w:color w:val="auto"/>
          <w:highlight w:val="none"/>
        </w:rPr>
      </w:pPr>
      <w:r>
        <w:rPr>
          <w:color w:val="auto"/>
          <w:highlight w:val="none"/>
          <w:lang w:bidi="ar"/>
        </w:rPr>
        <w:t>3.</w:t>
      </w:r>
      <w:r>
        <w:rPr>
          <w:rFonts w:cs="宋体" w:hint="eastAsia"/>
          <w:color w:val="auto"/>
          <w:highlight w:val="none"/>
          <w:lang w:bidi="ar"/>
        </w:rPr>
        <w:t>具备本项目招标文件中规定的其他要求和资质条件。</w:t>
      </w:r>
    </w:p>
    <w:p>
      <w:pPr>
        <w:spacing w:line="360" w:lineRule="auto"/>
        <w:ind w:firstLine="420" w:firstLineChars="200"/>
        <w:rPr>
          <w:color w:val="auto"/>
          <w:highlight w:val="none"/>
        </w:rPr>
      </w:pPr>
      <w:r>
        <w:rPr>
          <w:color w:val="auto"/>
          <w:highlight w:val="none"/>
          <w:lang w:bidi="ar"/>
        </w:rPr>
        <w:t>4.</w:t>
      </w:r>
      <w:r>
        <w:rPr>
          <w:rFonts w:cs="宋体" w:hint="eastAsia"/>
          <w:color w:val="auto"/>
          <w:highlight w:val="none"/>
          <w:lang w:bidi="ar"/>
        </w:rPr>
        <w:t>提供投标人须知规定的全部投标文件。</w:t>
      </w:r>
    </w:p>
    <w:p>
      <w:pPr>
        <w:spacing w:line="360" w:lineRule="auto"/>
        <w:ind w:firstLine="420" w:firstLineChars="200"/>
        <w:rPr>
          <w:color w:val="auto"/>
          <w:highlight w:val="none"/>
        </w:rPr>
      </w:pPr>
      <w:r>
        <w:rPr>
          <w:color w:val="auto"/>
          <w:highlight w:val="none"/>
          <w:lang w:bidi="ar"/>
        </w:rPr>
        <w:t>5.</w:t>
      </w:r>
      <w:r>
        <w:rPr>
          <w:rFonts w:cs="宋体" w:hint="eastAsia"/>
          <w:color w:val="auto"/>
          <w:highlight w:val="none"/>
          <w:lang w:bidi="ar"/>
        </w:rPr>
        <w:t>已详细审阅全部招标文件（包括招标文件澄清函），理解投标人须知的所有条款。</w:t>
      </w:r>
    </w:p>
    <w:p>
      <w:pPr>
        <w:spacing w:line="360" w:lineRule="auto"/>
        <w:ind w:firstLine="420" w:firstLineChars="200"/>
        <w:rPr>
          <w:color w:val="auto"/>
          <w:highlight w:val="none"/>
        </w:rPr>
      </w:pPr>
      <w:r>
        <w:rPr>
          <w:color w:val="auto"/>
          <w:highlight w:val="none"/>
          <w:lang w:bidi="ar"/>
        </w:rPr>
        <w:t>6.</w:t>
      </w:r>
      <w:r>
        <w:rPr>
          <w:rFonts w:cs="宋体" w:hint="eastAsia"/>
          <w:color w:val="auto"/>
          <w:highlight w:val="none"/>
          <w:lang w:bidi="ar"/>
        </w:rPr>
        <w:t>完全理解贵方“最低报价不能作为中标的保证”的规定。</w:t>
      </w:r>
    </w:p>
    <w:p>
      <w:pPr>
        <w:spacing w:line="360" w:lineRule="auto"/>
        <w:ind w:firstLine="420" w:firstLineChars="200"/>
        <w:rPr>
          <w:color w:val="auto"/>
          <w:highlight w:val="none"/>
        </w:rPr>
      </w:pPr>
      <w:r>
        <w:rPr>
          <w:color w:val="auto"/>
          <w:highlight w:val="none"/>
          <w:lang w:bidi="ar"/>
        </w:rPr>
        <w:t>7.</w:t>
      </w:r>
      <w:r>
        <w:rPr>
          <w:rFonts w:cs="宋体" w:hint="eastAsia"/>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color w:val="auto"/>
          <w:highlight w:val="none"/>
        </w:rPr>
      </w:pPr>
      <w:r>
        <w:rPr>
          <w:color w:val="auto"/>
          <w:highlight w:val="none"/>
          <w:lang w:bidi="ar"/>
        </w:rPr>
        <w:t>8.</w:t>
      </w:r>
      <w:r>
        <w:rPr>
          <w:rFonts w:cs="宋体" w:hint="eastAsia"/>
          <w:color w:val="auto"/>
          <w:highlight w:val="none"/>
          <w:lang w:bidi="ar"/>
        </w:rPr>
        <w:t>完全满足和响应招标文件中的各项商务和技术要求，若有偏差，已在投标文件中明确说明。</w:t>
      </w:r>
    </w:p>
    <w:p>
      <w:pPr>
        <w:spacing w:line="360" w:lineRule="auto"/>
        <w:ind w:firstLine="420" w:firstLineChars="200"/>
        <w:rPr>
          <w:color w:val="auto"/>
          <w:highlight w:val="none"/>
        </w:rPr>
      </w:pPr>
      <w:r>
        <w:rPr>
          <w:color w:val="auto"/>
          <w:highlight w:val="none"/>
          <w:lang w:bidi="ar"/>
        </w:rPr>
        <w:t>9.</w:t>
      </w:r>
      <w:r>
        <w:rPr>
          <w:rFonts w:cs="宋体" w:hint="eastAsia"/>
          <w:color w:val="auto"/>
          <w:highlight w:val="none"/>
          <w:lang w:bidi="ar"/>
        </w:rPr>
        <w:t>愿意提供任何与投标有关的数据、情况和技术资料等。若贵方需要，愿意提供一切证明材料。</w:t>
      </w:r>
    </w:p>
    <w:p>
      <w:pPr>
        <w:spacing w:line="360" w:lineRule="auto"/>
        <w:ind w:firstLine="420" w:firstLineChars="200"/>
        <w:rPr>
          <w:color w:val="auto"/>
          <w:highlight w:val="none"/>
        </w:rPr>
      </w:pPr>
      <w:r>
        <w:rPr>
          <w:color w:val="auto"/>
          <w:highlight w:val="none"/>
          <w:lang w:bidi="ar"/>
        </w:rPr>
        <w:t>10.</w:t>
      </w:r>
      <w:r>
        <w:rPr>
          <w:rFonts w:cs="宋体" w:hint="eastAsia"/>
          <w:color w:val="auto"/>
          <w:highlight w:val="none"/>
          <w:lang w:bidi="ar"/>
        </w:rPr>
        <w:t>我方已详细审核全部投标文件、参考资料及有关附件，确认无误。</w:t>
      </w:r>
    </w:p>
    <w:p>
      <w:pPr>
        <w:spacing w:line="360" w:lineRule="auto"/>
        <w:ind w:firstLine="420" w:firstLineChars="200"/>
        <w:rPr>
          <w:color w:val="auto"/>
          <w:highlight w:val="none"/>
        </w:rPr>
      </w:pPr>
      <w:r>
        <w:rPr>
          <w:color w:val="auto"/>
          <w:highlight w:val="none"/>
          <w:lang w:bidi="ar"/>
        </w:rPr>
        <w:t>11.</w:t>
      </w:r>
      <w:r>
        <w:rPr>
          <w:rFonts w:cs="宋体" w:hint="eastAsia"/>
          <w:color w:val="auto"/>
          <w:highlight w:val="none"/>
          <w:lang w:bidi="ar"/>
        </w:rPr>
        <w:t>对本次招标内容及与本项目有关的知识产权、技术资料、商业秘密及相关信息保密。</w:t>
      </w:r>
    </w:p>
    <w:p>
      <w:pPr>
        <w:spacing w:line="360" w:lineRule="auto"/>
        <w:ind w:firstLine="420" w:firstLineChars="200"/>
        <w:rPr>
          <w:color w:val="auto"/>
          <w:highlight w:val="none"/>
        </w:rPr>
      </w:pPr>
      <w:r>
        <w:rPr>
          <w:color w:val="auto"/>
          <w:highlight w:val="none"/>
          <w:lang w:bidi="ar"/>
        </w:rPr>
        <w:t>12.</w:t>
      </w:r>
      <w:r>
        <w:rPr>
          <w:rFonts w:cs="宋体" w:hint="eastAsia"/>
          <w:color w:val="auto"/>
          <w:highlight w:val="none"/>
          <w:lang w:bidi="ar"/>
        </w:rPr>
        <w:t>已知悉并承诺遵守《税务系统信息化服务商失信行为记录名单制度</w:t>
      </w:r>
      <w:r>
        <w:rPr>
          <w:color w:val="auto"/>
          <w:highlight w:val="none"/>
          <w:lang w:bidi="ar"/>
        </w:rPr>
        <w:t>(</w:t>
      </w:r>
      <w:r>
        <w:rPr>
          <w:rFonts w:cs="宋体" w:hint="eastAsia"/>
          <w:color w:val="auto"/>
          <w:highlight w:val="none"/>
          <w:lang w:bidi="ar"/>
        </w:rPr>
        <w:t>试行</w:t>
      </w:r>
      <w:r>
        <w:rPr>
          <w:color w:val="auto"/>
          <w:highlight w:val="none"/>
          <w:lang w:bidi="ar"/>
        </w:rPr>
        <w:t xml:space="preserve">) </w:t>
      </w:r>
      <w:r>
        <w:rPr>
          <w:rFonts w:cs="宋体" w:hint="eastAsia"/>
          <w:color w:val="auto"/>
          <w:highlight w:val="none"/>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color w:val="auto"/>
          <w:highlight w:val="none"/>
          <w:lang w:bidi="ar"/>
        </w:rPr>
        <w:t>3</w:t>
      </w:r>
      <w:r>
        <w:rPr>
          <w:rFonts w:cs="宋体" w:hint="eastAsia"/>
          <w:color w:val="auto"/>
          <w:highlight w:val="none"/>
          <w:lang w:bidi="ar"/>
        </w:rPr>
        <w:t>年内限制参加税务系统政府采购活动的相关规定。</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投标人名称（电子签章）：</w:t>
      </w:r>
      <w:r>
        <w:rPr>
          <w:color w:val="auto"/>
          <w:highlight w:val="none"/>
          <w:lang w:bidi="ar"/>
        </w:rPr>
        <w:t>______________________________</w:t>
      </w:r>
    </w:p>
    <w:p>
      <w:pPr>
        <w:spacing w:line="360" w:lineRule="auto"/>
        <w:ind w:firstLine="420" w:firstLineChars="200"/>
        <w:rPr>
          <w:color w:val="auto"/>
          <w:highlight w:val="none"/>
        </w:rPr>
      </w:pPr>
      <w:r>
        <w:rPr>
          <w:rFonts w:cs="宋体" w:hint="eastAsia"/>
          <w:color w:val="auto"/>
          <w:highlight w:val="none"/>
        </w:rPr>
        <w:t>法定代表人（签字）</w:t>
      </w:r>
      <w:r>
        <w:rPr>
          <w:color w:val="auto"/>
          <w:highlight w:val="none"/>
        </w:rPr>
        <w:t>/</w:t>
      </w:r>
      <w:r>
        <w:rPr>
          <w:rFonts w:cs="宋体" w:hint="eastAsia"/>
          <w:color w:val="auto"/>
          <w:highlight w:val="none"/>
        </w:rPr>
        <w:t>被授权投标代表（签字）：</w:t>
      </w:r>
      <w:r>
        <w:rPr>
          <w:color w:val="auto"/>
          <w:highlight w:val="none"/>
        </w:rPr>
        <w:t>____________</w:t>
      </w:r>
    </w:p>
    <w:p>
      <w:pPr>
        <w:spacing w:line="360" w:lineRule="auto"/>
        <w:ind w:firstLine="420" w:firstLineChars="200"/>
        <w:rPr>
          <w:color w:val="auto"/>
          <w:highlight w:val="none"/>
        </w:rPr>
      </w:pPr>
      <w:r>
        <w:rPr>
          <w:rFonts w:cs="宋体" w:hint="eastAsia"/>
          <w:color w:val="auto"/>
          <w:highlight w:val="none"/>
          <w:lang w:bidi="ar"/>
        </w:rPr>
        <w:t>投标人地址：</w:t>
      </w:r>
      <w:r>
        <w:rPr>
          <w:color w:val="auto"/>
          <w:highlight w:val="none"/>
          <w:lang w:bidi="ar"/>
        </w:rPr>
        <w:t>_________________________________________</w:t>
      </w:r>
    </w:p>
    <w:p>
      <w:pPr>
        <w:spacing w:line="360" w:lineRule="auto"/>
        <w:ind w:firstLine="420" w:firstLineChars="200"/>
        <w:rPr>
          <w:color w:val="auto"/>
          <w:highlight w:val="none"/>
        </w:rPr>
      </w:pPr>
      <w:r>
        <w:rPr>
          <w:rFonts w:cs="宋体" w:hint="eastAsia"/>
          <w:color w:val="auto"/>
          <w:highlight w:val="none"/>
          <w:lang w:bidi="ar"/>
        </w:rPr>
        <w:t>邮编：</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电话：</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传真：</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日期：</w:t>
      </w:r>
      <w:r>
        <w:rPr>
          <w:color w:val="auto"/>
          <w:highlight w:val="none"/>
          <w:lang w:bidi="ar"/>
        </w:rPr>
        <w:t>_______________________________________________</w:t>
      </w:r>
    </w:p>
    <w:p>
      <w:pPr>
        <w:spacing w:line="360" w:lineRule="auto"/>
        <w:ind w:firstLine="420" w:firstLineChars="200"/>
        <w:rPr>
          <w:color w:val="auto"/>
          <w:highlight w:val="none"/>
        </w:rPr>
      </w:pPr>
    </w:p>
    <w:p>
      <w:pPr>
        <w:ind w:firstLine="480" w:firstLineChars="200"/>
        <w:rPr>
          <w:rFonts w:eastAsia="Times New Roman" w:hAnsi="宋体" w:cs="宋体"/>
          <w:color w:val="auto"/>
          <w:sz w:val="24"/>
          <w:highlight w:val="none"/>
        </w:rPr>
      </w:pPr>
    </w:p>
    <w:p>
      <w:pPr>
        <w:adjustRightInd w:val="0"/>
        <w:snapToGrid w:val="0"/>
        <w:spacing w:line="360" w:lineRule="auto"/>
        <w:rPr>
          <w:rFonts w:ascii="宋体" w:hAnsi="宋体" w:cs="宋体"/>
          <w:color w:val="auto"/>
          <w:highlight w:val="none"/>
        </w:rPr>
      </w:pPr>
      <w:r>
        <w:rPr>
          <w:rFonts w:ascii="宋体" w:hAnsi="宋体" w:cs="宋体" w:hint="eastAsia"/>
          <w:color w:val="auto"/>
          <w:highlight w:val="none"/>
          <w:lang w:bidi="ar"/>
        </w:rPr>
        <w:t>特别说明：</w:t>
      </w:r>
    </w:p>
    <w:p>
      <w:pPr>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szCs w:val="21"/>
          <w:highlight w:val="none"/>
          <w:lang w:bidi="ar"/>
        </w:rPr>
        <w:t>投标人应当按上述格式要求加盖与投标人名称全称一致的标准公章，并签署法定代表人或</w:t>
      </w:r>
      <w:r>
        <w:rPr>
          <w:rFonts w:ascii="宋体" w:hAnsi="宋体" w:cs="宋体" w:hint="eastAsia"/>
          <w:bCs/>
          <w:color w:val="auto"/>
          <w:szCs w:val="21"/>
          <w:highlight w:val="none"/>
          <w:lang w:bidi="ar"/>
        </w:rPr>
        <w:t>被授权投标代表</w:t>
      </w:r>
      <w:r>
        <w:rPr>
          <w:rFonts w:ascii="宋体" w:hAnsi="宋体" w:cs="宋体" w:hint="eastAsia"/>
          <w:color w:val="auto"/>
          <w:szCs w:val="21"/>
          <w:highlight w:val="none"/>
          <w:lang w:bidi="ar"/>
        </w:rPr>
        <w:t>的全名，线上采购项目应上传扫描件。</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格式10  商务条款偏离表</w:t>
      </w:r>
    </w:p>
    <w:tbl>
      <w:tblPr>
        <w:tblStyle w:val="TableNormal"/>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5"/>
        <w:gridCol w:w="1798"/>
        <w:gridCol w:w="1545"/>
        <w:gridCol w:w="1530"/>
        <w:gridCol w:w="1515"/>
        <w:gridCol w:w="1285"/>
      </w:tblGrid>
      <w:tr>
        <w:tblPrEx>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hint="eastAsia"/>
          <w:color w:val="auto"/>
          <w:kern w:val="0"/>
          <w:szCs w:val="21"/>
          <w:highlight w:val="none"/>
        </w:rPr>
        <w:t>日期：</w:t>
      </w:r>
      <w:r>
        <w:rPr>
          <w:rFonts w:ascii="宋体" w:hAnsi="宋体" w:cs="宋体" w:hint="eastAsia"/>
          <w:color w:val="auto"/>
          <w:szCs w:val="21"/>
          <w:highlight w:val="none"/>
          <w:u w:val="single"/>
        </w:rPr>
        <w:t xml:space="preserve">                                        </w:t>
      </w:r>
    </w:p>
    <w:p>
      <w:pPr>
        <w:widowControl/>
        <w:jc w:val="left"/>
        <w:rPr>
          <w:rFonts w:ascii="Times New Roman" w:hAnsi="Times New Roman" w:eastAsiaTheme="minorEastAsia" w:cstheme="minorBidi"/>
          <w:b/>
          <w:bCs/>
          <w:color w:val="auto"/>
          <w:sz w:val="28"/>
          <w:szCs w:val="28"/>
          <w:highlight w:val="none"/>
        </w:rPr>
      </w:pPr>
      <w:r>
        <w:rPr>
          <w:rFonts w:ascii="Times New Roman" w:hAnsi="Times New Roman" w:eastAsiaTheme="minorEastAsia" w:cstheme="minorBidi"/>
          <w:b/>
          <w:bCs/>
          <w:color w:val="auto"/>
          <w:sz w:val="28"/>
          <w:szCs w:val="28"/>
          <w:highlight w:val="none"/>
        </w:rPr>
        <w:br w:type="page"/>
      </w:r>
    </w:p>
    <w:p>
      <w:pPr>
        <w:adjustRightInd w:val="0"/>
        <w:snapToGrid w:val="0"/>
        <w:spacing w:line="360" w:lineRule="auto"/>
        <w:jc w:val="center"/>
        <w:rPr>
          <w:rFonts w:ascii="宋体" w:hAnsi="宋体" w:eastAsiaTheme="minorEastAsia" w:cs="宋体"/>
          <w:b/>
          <w:bCs/>
          <w:color w:val="auto"/>
          <w:sz w:val="28"/>
          <w:szCs w:val="28"/>
          <w:highlight w:val="none"/>
          <w:lang w:bidi="ar"/>
        </w:rPr>
      </w:pPr>
      <w:r>
        <w:rPr>
          <w:rFonts w:ascii="Times New Roman" w:hAnsi="Times New Roman" w:eastAsiaTheme="minorEastAsia" w:cstheme="minorBidi"/>
          <w:b/>
          <w:bCs/>
          <w:color w:val="auto"/>
          <w:sz w:val="28"/>
          <w:szCs w:val="28"/>
          <w:highlight w:val="none"/>
        </w:rPr>
        <w:t>格式</w:t>
      </w:r>
      <w:r>
        <w:rPr>
          <w:rFonts w:ascii="Times New Roman" w:hAnsi="Times New Roman" w:eastAsiaTheme="minorEastAsia" w:cstheme="minorBidi" w:hint="eastAsia"/>
          <w:b/>
          <w:bCs/>
          <w:color w:val="auto"/>
          <w:sz w:val="28"/>
          <w:szCs w:val="28"/>
          <w:highlight w:val="none"/>
        </w:rPr>
        <w:t>11</w:t>
      </w:r>
      <w:r>
        <w:rPr>
          <w:rFonts w:ascii="Times New Roman" w:hAnsi="Times New Roman" w:eastAsiaTheme="minorEastAsia" w:cstheme="minorBidi"/>
          <w:b/>
          <w:bCs/>
          <w:color w:val="auto"/>
          <w:sz w:val="28"/>
          <w:szCs w:val="28"/>
          <w:highlight w:val="none"/>
        </w:rPr>
        <w:t xml:space="preserve">  </w:t>
      </w:r>
      <w:r>
        <w:rPr>
          <w:rFonts w:ascii="宋体" w:hAnsi="宋体" w:eastAsiaTheme="minorEastAsia" w:cs="宋体" w:hint="eastAsia"/>
          <w:b/>
          <w:bCs/>
          <w:color w:val="auto"/>
          <w:sz w:val="28"/>
          <w:szCs w:val="28"/>
          <w:highlight w:val="none"/>
          <w:lang w:bidi="ar"/>
        </w:rPr>
        <w:t>中小企业声明函</w:t>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lang w:bidi="ar"/>
        </w:rPr>
        <w:t>中小企业声明函（服务）</w:t>
      </w:r>
    </w:p>
    <w:p>
      <w:pPr>
        <w:widowControl/>
        <w:spacing w:line="360" w:lineRule="auto"/>
        <w:ind w:firstLine="480" w:firstLineChars="200"/>
        <w:jc w:val="left"/>
        <w:rPr>
          <w:rFonts w:ascii="宋体" w:hAnsi="宋体" w:cs="宋体"/>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ascii="Times New Roman" w:hAnsi="Times New Roman" w:cs="Times New Roman" w:hint="eastAsia"/>
          <w:color w:val="auto"/>
          <w:kern w:val="2"/>
          <w:sz w:val="21"/>
          <w:szCs w:val="21"/>
          <w:highlight w:val="none"/>
          <w:lang w:bidi="ar"/>
        </w:rPr>
        <w:t>号）的规定，本公司（联合体）参加</w:t>
      </w:r>
      <w:r>
        <w:rPr>
          <w:rFonts w:ascii="Times New Roman" w:hAnsi="Times New Roman" w:cs="Times New Roman" w:hint="eastAsia"/>
          <w:color w:val="auto"/>
          <w:kern w:val="2"/>
          <w:sz w:val="21"/>
          <w:szCs w:val="21"/>
          <w:highlight w:val="none"/>
          <w:u w:val="single"/>
          <w:lang w:bidi="ar"/>
        </w:rPr>
        <w:t>国家税务总局北流市税务局物业管理服务项目</w:t>
      </w:r>
      <w:r>
        <w:rPr>
          <w:rFonts w:ascii="Times New Roman" w:hAnsi="Times New Roman" w:cs="Times New Roman"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ascii="Times New Roman" w:hAnsi="Times New Roman" w:cs="Times New Roman" w:hint="eastAsia"/>
          <w:iCs/>
          <w:color w:val="auto"/>
          <w:kern w:val="2"/>
          <w:sz w:val="21"/>
          <w:szCs w:val="21"/>
          <w:highlight w:val="none"/>
          <w:u w:val="single"/>
          <w:lang w:bidi="ar"/>
        </w:rPr>
        <w:t>国家税务总局北流市税务局物业管理服务项目、餐饮服务项目</w:t>
      </w:r>
      <w:r>
        <w:rPr>
          <w:rFonts w:ascii="Times New Roman" w:hAnsi="Times New Roman" w:cs="Times New Roman" w:hint="eastAsia"/>
          <w:color w:val="auto"/>
          <w:kern w:val="2"/>
          <w:sz w:val="21"/>
          <w:szCs w:val="21"/>
          <w:highlight w:val="none"/>
          <w:u w:val="single"/>
          <w:lang w:bidi="ar"/>
        </w:rPr>
        <w:t>（物业管理服务项目）</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物业管理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hint="eastAsia"/>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ascii="Times New Roman" w:hAnsi="Times New Roman" w:cs="Times New Roman" w:hint="eastAsia"/>
          <w:iCs/>
          <w:color w:val="auto"/>
          <w:kern w:val="2"/>
          <w:sz w:val="21"/>
          <w:szCs w:val="21"/>
          <w:highlight w:val="none"/>
          <w:u w:val="single"/>
          <w:lang w:bidi="ar"/>
        </w:rPr>
        <w:t xml:space="preserve"> 国家税务总局北流市税务局物业管理服务项目、餐饮服务项目</w:t>
      </w:r>
      <w:r>
        <w:rPr>
          <w:rFonts w:ascii="Times New Roman" w:hAnsi="Times New Roman" w:cs="Times New Roman" w:hint="eastAsia"/>
          <w:color w:val="auto"/>
          <w:kern w:val="2"/>
          <w:sz w:val="21"/>
          <w:szCs w:val="21"/>
          <w:highlight w:val="none"/>
          <w:u w:val="single"/>
          <w:lang w:bidi="ar"/>
        </w:rPr>
        <w:t>（餐饮服务项目）</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餐饮业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lang w:bidi="ar"/>
        </w:rPr>
        <w:t>1 从业人员、营业收入、资产总额填报上一年度数据，无上一年度数据的新成立企业可不填报。</w:t>
      </w:r>
    </w:p>
    <w:p>
      <w:pPr>
        <w:rPr>
          <w:rFonts w:hAnsi="宋体" w:cs="宋体"/>
          <w:b/>
          <w:bCs/>
          <w:color w:val="auto"/>
          <w:sz w:val="28"/>
          <w:szCs w:val="28"/>
          <w:highlight w:val="none"/>
        </w:rPr>
      </w:pPr>
      <w:r>
        <w:rPr>
          <w:rFonts w:hAnsi="宋体" w:cs="宋体"/>
          <w:color w:val="auto"/>
          <w:szCs w:val="21"/>
          <w:highlight w:val="none"/>
        </w:rPr>
        <w:br w:type="page"/>
      </w:r>
    </w:p>
    <w:p>
      <w:pPr>
        <w:ind w:firstLine="1960" w:firstLineChars="700"/>
        <w:rPr>
          <w:rFonts w:ascii="宋体" w:hAnsi="宋体" w:cs="Courier New"/>
          <w:b/>
          <w:bCs/>
          <w:color w:val="auto"/>
          <w:sz w:val="28"/>
          <w:szCs w:val="28"/>
          <w:highlight w:val="none"/>
        </w:rPr>
      </w:pPr>
      <w:r>
        <w:rPr>
          <w:rFonts w:ascii="宋体" w:hAnsi="宋体" w:cs="Courier New" w:hint="eastAsia"/>
          <w:b/>
          <w:bCs/>
          <w:color w:val="auto"/>
          <w:sz w:val="28"/>
          <w:szCs w:val="28"/>
          <w:highlight w:val="none"/>
        </w:rPr>
        <w:t>格式12  监狱企业的证明材料文件</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说明：</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2.未按上述要求提供、填写的，评标时不予以考虑。</w:t>
      </w:r>
    </w:p>
    <w:p>
      <w:pPr>
        <w:ind w:firstLine="420" w:firstLineChars="200"/>
        <w:rPr>
          <w:rFonts w:ascii="宋体" w:hAnsi="宋体" w:cs="Courier New"/>
          <w:color w:val="auto"/>
          <w:szCs w:val="21"/>
          <w:highlight w:val="none"/>
        </w:rPr>
      </w:pPr>
      <w:r>
        <w:rPr>
          <w:rFonts w:ascii="宋体" w:hAnsi="宋体" w:cs="Courier New"/>
          <w:color w:val="auto"/>
          <w:szCs w:val="21"/>
          <w:highlight w:val="none"/>
        </w:rPr>
        <w:t>(</w:t>
      </w:r>
      <w:r>
        <w:rPr>
          <w:rFonts w:ascii="宋体" w:hAnsi="宋体" w:cs="Courier New" w:hint="eastAsia"/>
          <w:color w:val="auto"/>
          <w:szCs w:val="21"/>
          <w:highlight w:val="none"/>
        </w:rPr>
        <w:t>示例略</w:t>
      </w:r>
      <w:r>
        <w:rPr>
          <w:rFonts w:ascii="宋体" w:hAnsi="宋体" w:cs="Courier New"/>
          <w:color w:val="auto"/>
          <w:szCs w:val="21"/>
          <w:highlight w:val="none"/>
        </w:rPr>
        <w:t>)</w:t>
      </w:r>
    </w:p>
    <w:p>
      <w:pPr>
        <w:rPr>
          <w:rFonts w:cs="宋体"/>
          <w:color w:val="auto"/>
          <w:sz w:val="28"/>
          <w:szCs w:val="28"/>
          <w:highlight w:val="none"/>
        </w:rPr>
      </w:pPr>
      <w:r>
        <w:rPr>
          <w:rFonts w:cs="宋体" w:hint="eastAsia"/>
          <w:color w:val="auto"/>
          <w:sz w:val="28"/>
          <w:szCs w:val="28"/>
          <w:highlight w:val="none"/>
        </w:rPr>
        <w:br w:type="page"/>
      </w:r>
    </w:p>
    <w:p>
      <w:pPr>
        <w:topLinePunct/>
        <w:autoSpaceDE w:val="0"/>
        <w:autoSpaceDN w:val="0"/>
        <w:spacing w:line="460" w:lineRule="exac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13</w:t>
      </w:r>
      <w:r>
        <w:rPr>
          <w:rFonts w:ascii="Times New Roman" w:hAnsi="Times New Roman"/>
          <w:b/>
          <w:bCs/>
          <w:color w:val="auto"/>
          <w:sz w:val="28"/>
          <w:szCs w:val="28"/>
          <w:highlight w:val="none"/>
        </w:rPr>
        <w:t xml:space="preserve">  残疾人福利性单位声明函</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pPr>
        <w:spacing w:line="588" w:lineRule="exact"/>
        <w:ind w:firstLine="420" w:firstLineChars="200"/>
        <w:rPr>
          <w:rFonts w:ascii="Times New Roman" w:hAnsi="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topLinePunct/>
        <w:autoSpaceDE w:val="0"/>
        <w:autoSpaceDN w:val="0"/>
        <w:spacing w:line="460" w:lineRule="exact"/>
        <w:jc w:val="center"/>
        <w:rPr>
          <w:rFonts w:ascii="Times New Roman" w:hAnsi="Times New Roman"/>
          <w:color w:val="auto"/>
          <w:spacing w:val="6"/>
          <w:szCs w:val="21"/>
          <w:highlight w:val="none"/>
        </w:rPr>
      </w:pPr>
    </w:p>
    <w:p>
      <w:pPr>
        <w:tabs>
          <w:tab w:val="left" w:pos="420"/>
        </w:tabs>
        <w:snapToGrid w:val="0"/>
        <w:spacing w:line="460" w:lineRule="atLeast"/>
        <w:jc w:val="center"/>
        <w:rPr>
          <w:rFonts w:ascii="Times New Roman" w:eastAsia="方正大标宋简体" w:hAnsi="Times New Roman"/>
          <w:b/>
          <w:bCs/>
          <w:color w:val="auto"/>
          <w:sz w:val="28"/>
          <w:szCs w:val="28"/>
          <w:highlight w:val="none"/>
        </w:rPr>
      </w:pPr>
      <w:r>
        <w:rPr>
          <w:rFonts w:eastAsia="方正大标宋简体" w:cs="宋体" w:hint="eastAsia"/>
          <w:color w:val="auto"/>
          <w:sz w:val="28"/>
          <w:szCs w:val="28"/>
          <w:highlight w:val="none"/>
        </w:rPr>
        <w:br w:type="page"/>
      </w:r>
      <w:r>
        <w:rPr>
          <w:rFonts w:ascii="Times New Roman" w:eastAsia="方正大标宋简体" w:hAnsi="Times New Roman"/>
          <w:b/>
          <w:bCs/>
          <w:color w:val="auto"/>
          <w:sz w:val="28"/>
          <w:szCs w:val="28"/>
          <w:highlight w:val="none"/>
        </w:rPr>
        <w:t>格式</w:t>
      </w:r>
      <w:r>
        <w:rPr>
          <w:rFonts w:ascii="Times New Roman" w:eastAsia="方正大标宋简体" w:hAnsi="Times New Roman" w:hint="eastAsia"/>
          <w:b/>
          <w:bCs/>
          <w:color w:val="auto"/>
          <w:sz w:val="28"/>
          <w:szCs w:val="28"/>
          <w:highlight w:val="none"/>
        </w:rPr>
        <w:t>14</w:t>
      </w:r>
      <w:r>
        <w:rPr>
          <w:rFonts w:ascii="Times New Roman" w:eastAsia="方正大标宋简体" w:hAnsi="Times New Roman"/>
          <w:b/>
          <w:bCs/>
          <w:color w:val="auto"/>
          <w:sz w:val="28"/>
          <w:szCs w:val="28"/>
          <w:highlight w:val="none"/>
        </w:rPr>
        <w:t xml:space="preserve">  成功案例一览表</w:t>
      </w:r>
    </w:p>
    <w:p>
      <w:pPr>
        <w:jc w:val="center"/>
        <w:rPr>
          <w:color w:val="auto"/>
          <w:highlight w:val="none"/>
        </w:rPr>
      </w:pPr>
    </w:p>
    <w:tbl>
      <w:tblPr>
        <w:tblStyle w:val="TableNorm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hint="eastAsia"/>
          <w:color w:val="auto"/>
          <w:szCs w:val="21"/>
          <w:highlight w:val="none"/>
        </w:rPr>
      </w:pPr>
      <w:r>
        <w:rPr>
          <w:rFonts w:ascii="Times New Roman" w:hAnsi="Times New Roman" w:hint="eastAsia"/>
          <w:color w:val="auto"/>
          <w:szCs w:val="21"/>
          <w:highlight w:val="none"/>
        </w:rPr>
        <w:t>1.根据投标人2021年6月1日以来承接的类似项目的业绩的有效证明文件进行评价【以合同签订时间为准；有效证明文件包括该业绩的：采购合同文本扫描件（同一个项目签订多份合同的只能计算一次，不重复计分）；投标人须提供以上证明材料，否则该业绩不得分；类似项目业绩是指办公用房为主的综合性物业管理服务项目（合同服务内容仅有秩序维护服务和保洁服务或仅有单项服务内容的项目均不得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2.本表可扩展。</w:t>
      </w:r>
    </w:p>
    <w:p>
      <w:pPr>
        <w:widowControl/>
        <w:jc w:val="left"/>
        <w:rPr>
          <w:rFonts w:ascii="Times New Roman" w:hAnsi="Times New Roman"/>
          <w:color w:val="auto"/>
          <w:szCs w:val="21"/>
          <w:highlight w:val="none"/>
          <w:u w:val="single"/>
        </w:rPr>
      </w:pPr>
    </w:p>
    <w:p>
      <w:pPr>
        <w:rPr>
          <w:rFonts w:hAnsi="宋体" w:cs="宋体"/>
          <w:b/>
          <w:bCs/>
          <w:color w:val="auto"/>
          <w:sz w:val="36"/>
          <w:szCs w:val="36"/>
          <w:highlight w:val="none"/>
        </w:rPr>
      </w:pPr>
    </w:p>
    <w:p>
      <w:pPr>
        <w:spacing w:line="600" w:lineRule="auto"/>
        <w:jc w:val="center"/>
        <w:rPr>
          <w:rFonts w:ascii="宋体" w:hAnsi="宋体"/>
          <w:b/>
          <w:color w:val="auto"/>
          <w:kern w:val="0"/>
          <w:sz w:val="44"/>
          <w:szCs w:val="44"/>
          <w:highlight w:val="none"/>
        </w:rPr>
      </w:pPr>
    </w:p>
    <w:p>
      <w:pPr>
        <w:widowControl/>
        <w:jc w:val="left"/>
        <w:rPr>
          <w:rFonts w:ascii="华文中宋" w:eastAsia="华文中宋" w:hAnsi="华文中宋" w:cs="华文中宋"/>
          <w:bCs/>
          <w:color w:val="auto"/>
          <w:kern w:val="0"/>
          <w:sz w:val="32"/>
          <w:szCs w:val="32"/>
          <w:highlight w:val="none"/>
        </w:rPr>
      </w:pPr>
      <w:r>
        <w:rPr>
          <w:rFonts w:ascii="华文中宋" w:eastAsia="华文中宋" w:hAnsi="华文中宋" w:cs="华文中宋"/>
          <w:bCs/>
          <w:color w:val="auto"/>
          <w:kern w:val="0"/>
          <w:sz w:val="32"/>
          <w:szCs w:val="32"/>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技术部分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1470" w:firstLine="1680" w:leftChars="700" w:firstLineChars="700"/>
        <w:rPr>
          <w:rFonts w:ascii="方正小标宋简体" w:eastAsia="方正小标宋简体" w:hAnsi="方正小标宋简体" w:cs="方正小标宋简体"/>
          <w:bCs/>
          <w:color w:val="auto"/>
          <w:kern w:val="0"/>
          <w:sz w:val="24"/>
          <w:szCs w:val="24"/>
          <w:highlight w:val="none"/>
        </w:rPr>
      </w:pPr>
    </w:p>
    <w:p>
      <w:pPr>
        <w:widowControl/>
        <w:jc w:val="center"/>
        <w:rPr>
          <w:rFonts w:ascii="宋体" w:hAnsi="宋体" w:cs="宋体"/>
          <w:b/>
          <w:bCs/>
          <w:color w:val="auto"/>
          <w:sz w:val="28"/>
          <w:szCs w:val="28"/>
          <w:highlight w:val="none"/>
        </w:rPr>
      </w:pPr>
      <w:r>
        <w:rPr>
          <w:rFonts w:ascii="宋体" w:hAnsi="宋体" w:cs="宋体" w:hint="eastAsia"/>
          <w:b/>
          <w:bCs/>
          <w:color w:val="auto"/>
          <w:sz w:val="36"/>
          <w:szCs w:val="36"/>
          <w:highlight w:val="none"/>
        </w:rPr>
        <w:br w:type="page"/>
      </w: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15</w:t>
      </w:r>
      <w:r>
        <w:rPr>
          <w:rFonts w:ascii="Times New Roman" w:hAnsi="Times New Roman"/>
          <w:b/>
          <w:bCs/>
          <w:color w:val="auto"/>
          <w:sz w:val="28"/>
          <w:szCs w:val="28"/>
          <w:highlight w:val="none"/>
        </w:rPr>
        <w:t xml:space="preserve">  技术</w:t>
      </w:r>
      <w:r>
        <w:rPr>
          <w:rFonts w:ascii="Times New Roman" w:hAnsi="Times New Roman" w:hint="eastAsia"/>
          <w:b/>
          <w:bCs/>
          <w:color w:val="auto"/>
          <w:sz w:val="28"/>
          <w:szCs w:val="28"/>
          <w:highlight w:val="none"/>
        </w:rPr>
        <w:t>条款偏离表</w:t>
      </w:r>
    </w:p>
    <w:tbl>
      <w:tblPr>
        <w:tblStyle w:val="TableNormal"/>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928"/>
        <w:gridCol w:w="1516"/>
        <w:gridCol w:w="2116"/>
        <w:gridCol w:w="1684"/>
        <w:gridCol w:w="2090"/>
        <w:gridCol w:w="639"/>
      </w:tblGrid>
      <w:tr>
        <w:tblPrEx>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项目采购需求》中的技术要求，结合自身投标情况对技术条款逐条响应，未逐条响应的视为投标无效。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ind w:firstLine="420" w:firstLineChars="200"/>
        <w:rPr>
          <w:rFonts w:ascii="Times New Roman" w:hAnsi="Times New Roman"/>
          <w:color w:val="auto"/>
          <w:szCs w:val="21"/>
          <w:highlight w:val="none"/>
        </w:rPr>
      </w:pPr>
    </w:p>
    <w:p>
      <w:pPr>
        <w:widowControl/>
        <w:spacing w:after="156" w:afterLines="50" w:line="360" w:lineRule="auto"/>
        <w:ind w:firstLine="420" w:firstLineChars="2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p>
    <w:p>
      <w:pPr>
        <w:jc w:val="center"/>
        <w:rPr>
          <w:b/>
          <w:bCs/>
          <w:color w:val="auto"/>
          <w:sz w:val="36"/>
          <w:szCs w:val="36"/>
          <w:highlight w:val="none"/>
        </w:rPr>
      </w:pPr>
      <w:r>
        <w:rPr>
          <w:rFonts w:hAnsi="宋体" w:cs="宋体" w:hint="eastAsia"/>
          <w:color w:val="auto"/>
          <w:sz w:val="24"/>
          <w:highlight w:val="none"/>
        </w:rPr>
        <w:br w:type="page"/>
      </w:r>
      <w:r>
        <w:rPr>
          <w:rFonts w:ascii="宋体" w:hAnsi="宋体" w:hint="eastAsia"/>
          <w:b/>
          <w:bCs/>
          <w:color w:val="auto"/>
          <w:sz w:val="28"/>
          <w:szCs w:val="28"/>
          <w:highlight w:val="none"/>
        </w:rPr>
        <w:t>格式</w:t>
      </w:r>
      <w:r>
        <w:rPr>
          <w:rFonts w:ascii="Times New Roman" w:hAnsi="Times New Roman" w:hint="eastAsia"/>
          <w:b/>
          <w:bCs/>
          <w:color w:val="auto"/>
          <w:sz w:val="28"/>
          <w:szCs w:val="28"/>
          <w:highlight w:val="none"/>
        </w:rPr>
        <w:t xml:space="preserve">16  </w:t>
      </w:r>
      <w:r>
        <w:rPr>
          <w:rFonts w:hint="eastAsia"/>
          <w:b/>
          <w:bCs/>
          <w:color w:val="auto"/>
          <w:sz w:val="28"/>
          <w:szCs w:val="28"/>
          <w:highlight w:val="none"/>
        </w:rPr>
        <w:t>综合服务及会议服务方案；保洁、绿化服务方案；秩序维护服务方案；餐饮服务方案；突发事件应急预案</w:t>
      </w:r>
    </w:p>
    <w:p>
      <w:pPr>
        <w:ind w:firstLine="420" w:firstLineChars="200"/>
        <w:rPr>
          <w:color w:val="auto"/>
          <w:szCs w:val="21"/>
          <w:highlight w:val="none"/>
        </w:rPr>
      </w:pPr>
    </w:p>
    <w:p>
      <w:pPr>
        <w:adjustRightInd w:val="0"/>
        <w:snapToGrid w:val="0"/>
        <w:spacing w:line="360" w:lineRule="auto"/>
        <w:jc w:val="center"/>
        <w:rPr>
          <w:b/>
          <w:bCs/>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b/>
          <w:bCs/>
          <w:color w:val="auto"/>
          <w:sz w:val="28"/>
          <w:szCs w:val="28"/>
          <w:highlight w:val="none"/>
        </w:rPr>
        <w:t>综合服务及会议服务方案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保洁、绿化服务方案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秩序维护服务方案</w:t>
      </w:r>
    </w:p>
    <w:p>
      <w:pPr>
        <w:ind w:firstLine="420" w:firstLineChars="200"/>
        <w:rPr>
          <w:rFonts w:eastAsia="仿宋_GB2312"/>
          <w:color w:val="auto"/>
          <w:szCs w:val="21"/>
          <w:highlight w:val="none"/>
        </w:rPr>
      </w:pPr>
      <w:r>
        <w:rPr>
          <w:rFonts w:ascii="宋体" w:hAnsi="宋体"/>
          <w:color w:val="auto"/>
          <w:kern w:val="0"/>
          <w:szCs w:val="21"/>
          <w:highlight w:val="none"/>
        </w:rPr>
        <w:t>(</w:t>
      </w:r>
      <w:r>
        <w:rPr>
          <w:rFonts w:ascii="宋体" w:hAnsi="宋体" w:hint="eastAsia"/>
          <w:color w:val="auto"/>
          <w:kern w:val="0"/>
          <w:szCs w:val="21"/>
          <w:highlight w:val="none"/>
        </w:rPr>
        <w:t>示例略</w:t>
      </w:r>
      <w:r>
        <w:rPr>
          <w:rFonts w:ascii="宋体" w:hAnsi="宋体"/>
          <w:color w:val="auto"/>
          <w:kern w:val="0"/>
          <w:szCs w:val="21"/>
          <w:highlight w:val="none"/>
        </w:rPr>
        <w:t>)</w:t>
      </w:r>
      <w:r>
        <w:rPr>
          <w:rFonts w:eastAsia="仿宋_GB2312"/>
          <w:color w:val="auto"/>
          <w:szCs w:val="21"/>
          <w:highlight w:val="none"/>
        </w:rPr>
        <w:t xml:space="preserve"> </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餐饮服务方案</w:t>
      </w:r>
    </w:p>
    <w:p>
      <w:pPr>
        <w:spacing w:line="360" w:lineRule="auto"/>
        <w:ind w:firstLine="420" w:firstLineChars="200"/>
        <w:jc w:val="left"/>
        <w:rPr>
          <w:rFonts w:ascii="宋体" w:hAnsi="宋体"/>
          <w:color w:val="auto"/>
          <w:kern w:val="0"/>
          <w:szCs w:val="21"/>
          <w:highlight w:val="none"/>
        </w:rPr>
      </w:pPr>
      <w:r>
        <w:rPr>
          <w:rFonts w:ascii="宋体" w:hAnsi="宋体" w:hint="eastAsia"/>
          <w:color w:val="auto"/>
          <w:kern w:val="0"/>
          <w:szCs w:val="21"/>
          <w:highlight w:val="none"/>
        </w:rPr>
        <w:t>(示例略)</w:t>
      </w:r>
    </w:p>
    <w:p>
      <w:pPr>
        <w:ind w:firstLine="420" w:firstLineChars="200"/>
        <w:rPr>
          <w:rFonts w:eastAsia="仿宋_GB2312"/>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b/>
          <w:bCs/>
          <w:color w:val="auto"/>
          <w:sz w:val="28"/>
          <w:szCs w:val="28"/>
          <w:highlight w:val="none"/>
        </w:rPr>
        <w:t>突发事件应急预案</w:t>
      </w:r>
    </w:p>
    <w:p>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ascii="宋体" w:hAnsi="宋体" w:hint="eastAsia"/>
          <w:color w:val="auto"/>
          <w:kern w:val="0"/>
          <w:szCs w:val="21"/>
          <w:highlight w:val="none"/>
        </w:rPr>
        <w:t>示例略</w:t>
      </w:r>
      <w:r>
        <w:rPr>
          <w:rFonts w:ascii="宋体" w:hAnsi="宋体"/>
          <w:color w:val="auto"/>
          <w:kern w:val="0"/>
          <w:szCs w:val="21"/>
          <w:highlight w:val="none"/>
        </w:rPr>
        <w:t>)</w:t>
      </w:r>
    </w:p>
    <w:p>
      <w:pPr>
        <w:jc w:val="center"/>
        <w:rPr>
          <w:rFonts w:ascii="宋体" w:hAnsi="宋体" w:cs="宋体"/>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eastAsia="仿宋_GB2312"/>
          <w:color w:val="auto"/>
          <w:szCs w:val="21"/>
          <w:highlight w:val="none"/>
        </w:rPr>
        <w:br w:type="page"/>
      </w:r>
    </w:p>
    <w:p>
      <w:pPr>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w:t>
      </w:r>
      <w:r>
        <w:rPr>
          <w:rFonts w:ascii="Times New Roman" w:eastAsia="方正小标宋简体" w:hAnsi="Times New Roman" w:hint="eastAsia"/>
          <w:b/>
          <w:bCs/>
          <w:color w:val="auto"/>
          <w:sz w:val="28"/>
          <w:szCs w:val="28"/>
          <w:highlight w:val="none"/>
        </w:rPr>
        <w:t xml:space="preserve">17 </w:t>
      </w:r>
      <w:r>
        <w:rPr>
          <w:rFonts w:ascii="宋体" w:hAnsi="宋体" w:cs="宋体" w:hint="eastAsia"/>
          <w:b/>
          <w:bCs/>
          <w:color w:val="auto"/>
          <w:sz w:val="28"/>
          <w:szCs w:val="28"/>
          <w:highlight w:val="none"/>
        </w:rPr>
        <w:t xml:space="preserve">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652"/>
        <w:gridCol w:w="850"/>
        <w:gridCol w:w="1701"/>
        <w:gridCol w:w="1276"/>
        <w:gridCol w:w="1276"/>
        <w:gridCol w:w="1055"/>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姓 名</w:t>
            </w: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年龄</w:t>
            </w: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学历</w:t>
            </w: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技术职称</w:t>
            </w:r>
            <w:r>
              <w:rPr>
                <w:rFonts w:ascii="Times New Roman" w:hAnsi="Times New Roman" w:hint="eastAsia"/>
                <w:b/>
                <w:color w:val="auto"/>
                <w:szCs w:val="21"/>
                <w:highlight w:val="none"/>
              </w:rPr>
              <w:t>或证书</w:t>
            </w: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b/>
                <w:color w:val="auto"/>
                <w:szCs w:val="21"/>
                <w:highlight w:val="none"/>
              </w:rPr>
              <w:t>工作</w:t>
            </w:r>
            <w:r>
              <w:rPr>
                <w:rFonts w:ascii="Times New Roman" w:hAnsi="Times New Roman" w:hint="eastAsia"/>
                <w:b/>
                <w:color w:val="auto"/>
                <w:szCs w:val="21"/>
                <w:highlight w:val="none"/>
              </w:rPr>
              <w:t>经验</w:t>
            </w: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服务区域</w:t>
            </w: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b/>
                <w:color w:val="auto"/>
                <w:szCs w:val="21"/>
                <w:highlight w:val="none"/>
              </w:rPr>
            </w:pPr>
            <w:r>
              <w:rPr>
                <w:rFonts w:ascii="Times New Roman" w:hAnsi="Times New Roman" w:hint="eastAsia"/>
                <w:b/>
                <w:color w:val="auto"/>
                <w:szCs w:val="21"/>
                <w:highlight w:val="none"/>
              </w:rPr>
              <w:t>备注</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一、项目经理</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二、</w:t>
            </w:r>
            <w:r>
              <w:rPr>
                <w:rFonts w:asciiTheme="minorEastAsia" w:eastAsiaTheme="minorEastAsia" w:hAnsiTheme="minorEastAsia" w:cs="仿宋_GB2312" w:hint="eastAsia"/>
                <w:color w:val="auto"/>
                <w:szCs w:val="21"/>
                <w:highlight w:val="none"/>
              </w:rPr>
              <w:t>公共秩序维护人员</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Times New Roman" w:hAnsi="Times New Roman"/>
                <w:color w:val="auto"/>
                <w:szCs w:val="21"/>
                <w:highlight w:val="none"/>
              </w:rPr>
            </w:pPr>
            <w:r>
              <w:rPr>
                <w:rFonts w:ascii="Times New Roman" w:hAnsi="Times New Roman" w:hint="eastAsia"/>
                <w:color w:val="auto"/>
                <w:szCs w:val="21"/>
                <w:highlight w:val="none"/>
              </w:rPr>
              <w:t>（一）公共秩序维护员小组长</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（二）公共秩序维护员（除小组长外）</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三、保洁人</w:t>
            </w:r>
            <w:r>
              <w:rPr>
                <w:rFonts w:asciiTheme="minorEastAsia" w:eastAsiaTheme="minorEastAsia" w:hAnsiTheme="minorEastAsia" w:cs="宋体" w:hint="eastAsia"/>
                <w:color w:val="auto"/>
                <w:szCs w:val="21"/>
                <w:highlight w:val="none"/>
              </w:rPr>
              <w:t>员</w:t>
            </w: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（一）保洁员小组长</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（二）保洁员（除小组长外）</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四、绿化员</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heme="minorEastAsia" w:eastAsiaTheme="minorEastAsia" w:hAnsiTheme="minorEastAsia" w:cs="宋体" w:hint="eastAsia"/>
                <w:color w:val="auto"/>
                <w:szCs w:val="21"/>
                <w:highlight w:val="none"/>
              </w:rPr>
              <w:t>五、水电工</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六、厨师</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七、副厨</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r>
        <w:tblPrEx>
          <w:tblW w:w="8960" w:type="dxa"/>
          <w:tblInd w:w="0" w:type="dxa"/>
          <w:tblLayout w:type="fixed"/>
          <w:tblCellMar>
            <w:top w:w="0" w:type="dxa"/>
            <w:left w:w="108" w:type="dxa"/>
            <w:bottom w:w="0" w:type="dxa"/>
            <w:right w:w="108" w:type="dxa"/>
          </w:tblCellMar>
        </w:tblPrEx>
        <w:trPr>
          <w:trHeight w:val="454"/>
        </w:trPr>
        <w:tc>
          <w:tcPr>
            <w:tcW w:w="8960" w:type="dxa"/>
            <w:gridSpan w:val="8"/>
            <w:tcBorders>
              <w:top w:val="single" w:sz="4" w:space="0" w:color="auto"/>
              <w:left w:val="single" w:sz="4" w:space="0" w:color="auto"/>
              <w:bottom w:val="single" w:sz="4" w:space="0" w:color="auto"/>
              <w:right w:val="single" w:sz="4" w:space="0" w:color="auto"/>
            </w:tcBorders>
            <w:noWrap/>
            <w:vAlign w:val="center"/>
          </w:tcPr>
          <w:p>
            <w:pPr>
              <w:adjustRightInd w:val="0"/>
              <w:rPr>
                <w:rFonts w:ascii="Times New Roman" w:hAnsi="Times New Roman"/>
                <w:color w:val="auto"/>
                <w:szCs w:val="21"/>
                <w:highlight w:val="none"/>
              </w:rPr>
            </w:pPr>
            <w:r>
              <w:rPr>
                <w:rFonts w:ascii="Times New Roman" w:hAnsi="Times New Roman" w:hint="eastAsia"/>
                <w:color w:val="auto"/>
                <w:szCs w:val="21"/>
                <w:highlight w:val="none"/>
              </w:rPr>
              <w:t>八、会务员</w:t>
            </w:r>
          </w:p>
        </w:tc>
      </w:tr>
      <w:tr>
        <w:tblPrEx>
          <w:tblW w:w="8960" w:type="dxa"/>
          <w:tblInd w:w="0" w:type="dxa"/>
          <w:tblLayout w:type="fixed"/>
          <w:tblCellMar>
            <w:top w:w="0" w:type="dxa"/>
            <w:left w:w="108" w:type="dxa"/>
            <w:bottom w:w="0" w:type="dxa"/>
            <w:right w:w="108" w:type="dxa"/>
          </w:tblCellMar>
        </w:tblPrEx>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652"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850"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701"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c>
          <w:tcPr>
            <w:tcW w:w="105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Times New Roman" w:hint="eastAsia"/>
          <w:color w:val="auto"/>
          <w:szCs w:val="21"/>
          <w:highlight w:val="none"/>
        </w:rPr>
        <w:t>投标人按《第三章 评标方法及标准》、《第六章 项目采购需求》的要求附投入人员的相关学历、执业等证书扫描件，以及人员与投标人签署的劳动合同（截止本项目开标当天合同仍在有效期内）扫描件、工作经验证明材料扫描件。否则将不给予相应人员的计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3.本表可扩展。</w:t>
      </w:r>
    </w:p>
    <w:p>
      <w:pPr>
        <w:topLinePunct/>
        <w:autoSpaceDE w:val="0"/>
        <w:autoSpaceDN w:val="0"/>
        <w:spacing w:line="360" w:lineRule="auto"/>
        <w:jc w:val="center"/>
        <w:rPr>
          <w:rFonts w:ascii="宋体" w:hAnsi="宋体" w:cs="宋体"/>
          <w:b/>
          <w:bCs/>
          <w:color w:val="auto"/>
          <w:sz w:val="28"/>
          <w:szCs w:val="28"/>
          <w:highlight w:val="none"/>
        </w:rPr>
      </w:pPr>
      <w:r>
        <w:rPr>
          <w:rFonts w:ascii="宋体" w:hAnsi="宋体" w:cs="宋体" w:hint="eastAsia"/>
          <w:b/>
          <w:color w:val="auto"/>
          <w:sz w:val="30"/>
          <w:szCs w:val="30"/>
          <w:highlight w:val="none"/>
        </w:rPr>
        <w:br w:type="page"/>
      </w:r>
      <w:r>
        <w:rPr>
          <w:rFonts w:ascii="宋体" w:hAnsi="宋体" w:cs="宋体" w:hint="eastAsia"/>
          <w:b/>
          <w:bCs/>
          <w:color w:val="auto"/>
          <w:sz w:val="28"/>
          <w:szCs w:val="28"/>
          <w:highlight w:val="none"/>
        </w:rPr>
        <w:t>格式18  技术人员简历表</w:t>
      </w:r>
    </w:p>
    <w:tbl>
      <w:tblPr>
        <w:tblStyle w:val="TableNormal"/>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1713"/>
        <w:gridCol w:w="1505"/>
        <w:gridCol w:w="1388"/>
        <w:gridCol w:w="1796"/>
        <w:gridCol w:w="1263"/>
      </w:tblGrid>
      <w:tr>
        <w:tblPrEx>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姓   名</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性    别</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学   历</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270"/>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63"/>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5944"/>
        </w:trPr>
        <w:tc>
          <w:tcPr>
            <w:tcW w:w="8928" w:type="dxa"/>
            <w:gridSpan w:val="6"/>
            <w:tcBorders>
              <w:top w:val="single" w:sz="4" w:space="0" w:color="auto"/>
              <w:left w:val="single" w:sz="4" w:space="0" w:color="auto"/>
              <w:bottom w:val="single" w:sz="4" w:space="0" w:color="auto"/>
              <w:right w:val="single" w:sz="4" w:space="0" w:color="auto"/>
            </w:tcBorders>
          </w:tcPr>
          <w:p>
            <w:pPr>
              <w:rPr>
                <w:rFonts w:ascii="宋体" w:hAnsi="宋体" w:cs="宋体"/>
                <w:color w:val="auto"/>
                <w:szCs w:val="21"/>
                <w:highlight w:val="none"/>
              </w:rPr>
            </w:pPr>
            <w:r>
              <w:rPr>
                <w:rFonts w:ascii="宋体" w:hAnsi="宋体" w:cs="宋体" w:hint="eastAsia"/>
                <w:color w:val="auto"/>
                <w:szCs w:val="21"/>
                <w:highlight w:val="none"/>
              </w:rPr>
              <w:t>工作简历及主要业绩</w:t>
            </w:r>
          </w:p>
          <w:p>
            <w:pPr>
              <w:adjustRightInd w:val="0"/>
              <w:rPr>
                <w:rFonts w:ascii="宋体" w:hAnsi="宋体" w:cs="宋体"/>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特别说明：投标人应提供投入本项目</w:t>
      </w:r>
      <w:r>
        <w:rPr>
          <w:rFonts w:ascii="Times New Roman" w:hAnsi="Times New Roman" w:hint="eastAsia"/>
          <w:color w:val="auto"/>
          <w:szCs w:val="21"/>
          <w:highlight w:val="none"/>
        </w:rPr>
        <w:t>技术人员</w:t>
      </w:r>
      <w:r>
        <w:rPr>
          <w:rFonts w:ascii="Times New Roman" w:hAnsi="Times New Roman"/>
          <w:color w:val="auto"/>
          <w:szCs w:val="21"/>
          <w:highlight w:val="none"/>
        </w:rPr>
        <w:t>的简历。</w:t>
      </w:r>
    </w:p>
    <w:p>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 </w:t>
      </w:r>
    </w:p>
    <w:p>
      <w:pPr>
        <w:widowControl/>
        <w:jc w:val="left"/>
        <w:rPr>
          <w:color w:val="auto"/>
          <w:highlight w:val="none"/>
        </w:rPr>
      </w:pPr>
    </w:p>
    <w:p>
      <w:pPr>
        <w:widowControl/>
        <w:jc w:val="center"/>
        <w:rPr>
          <w:b/>
          <w:bCs/>
          <w:color w:val="auto"/>
          <w:sz w:val="36"/>
          <w:szCs w:val="36"/>
          <w:highlight w:val="none"/>
        </w:rPr>
      </w:pPr>
      <w:r>
        <w:rPr>
          <w:rFonts w:ascii="宋体" w:hAnsi="宋体"/>
          <w:b/>
          <w:bCs/>
          <w:color w:val="auto"/>
          <w:sz w:val="36"/>
          <w:szCs w:val="36"/>
          <w:highlight w:val="none"/>
        </w:rPr>
        <w:br w:type="page"/>
      </w:r>
      <w:r>
        <w:rPr>
          <w:rFonts w:ascii="宋体" w:hAnsi="宋体" w:hint="eastAsia"/>
          <w:b/>
          <w:bCs/>
          <w:color w:val="auto"/>
          <w:sz w:val="28"/>
          <w:szCs w:val="28"/>
          <w:highlight w:val="none"/>
        </w:rPr>
        <w:t>格式19  投标人售后服务承诺</w:t>
      </w:r>
    </w:p>
    <w:p>
      <w:pPr>
        <w:ind w:firstLine="420" w:firstLineChars="200"/>
        <w:rPr>
          <w:color w:val="auto"/>
          <w:szCs w:val="21"/>
          <w:highlight w:val="none"/>
        </w:rPr>
      </w:pPr>
    </w:p>
    <w:p>
      <w:pPr>
        <w:widowControl/>
        <w:jc w:val="center"/>
        <w:rPr>
          <w:rFonts w:ascii="宋体" w:hAnsi="宋体"/>
          <w:color w:val="auto"/>
          <w:kern w:val="0"/>
          <w:szCs w:val="21"/>
          <w:highlight w:val="none"/>
        </w:rPr>
      </w:pPr>
      <w:r>
        <w:rPr>
          <w:rFonts w:ascii="宋体" w:hAnsi="宋体"/>
          <w:color w:val="auto"/>
          <w:kern w:val="0"/>
          <w:szCs w:val="21"/>
          <w:highlight w:val="none"/>
        </w:rPr>
        <w:t>(示例略)</w:t>
      </w:r>
    </w:p>
    <w:p>
      <w:pPr>
        <w:spacing w:line="360" w:lineRule="auto"/>
        <w:ind w:firstLine="420" w:firstLineChars="200"/>
        <w:jc w:val="left"/>
        <w:rPr>
          <w:rFonts w:ascii="宋体" w:hAnsi="宋体"/>
          <w:color w:val="auto"/>
          <w:kern w:val="0"/>
          <w:szCs w:val="21"/>
          <w:highlight w:val="none"/>
        </w:rPr>
      </w:pPr>
    </w:p>
    <w:p>
      <w:pPr>
        <w:pStyle w:val="BodyText"/>
        <w:rPr>
          <w:rFonts w:ascii="黑体" w:eastAsia="黑体"/>
          <w:color w:val="auto"/>
          <w:sz w:val="32"/>
          <w:szCs w:val="32"/>
          <w:highlight w:val="none"/>
        </w:rPr>
      </w:pPr>
      <w:r>
        <w:rPr>
          <w:rFonts w:ascii="华文中宋" w:eastAsia="华文中宋" w:hAnsi="华文中宋" w:cs="华文中宋"/>
          <w:bCs/>
          <w:color w:val="auto"/>
          <w:sz w:val="32"/>
          <w:szCs w:val="32"/>
          <w:highlight w:val="none"/>
        </w:rPr>
        <w:br w:type="page"/>
      </w: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（技术部分）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rFonts w:ascii="华文中宋" w:eastAsia="华文中宋" w:hAnsi="华文中宋" w:cs="华文中宋"/>
          <w:bCs/>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PlainText"/>
        <w:numPr>
          <w:ilvl w:val="0"/>
          <w:numId w:val="4"/>
        </w:numPr>
        <w:jc w:val="center"/>
        <w:outlineLvl w:val="0"/>
        <w:rPr>
          <w:rFonts w:cs="宋体" w:hint="eastAsia"/>
          <w:b/>
          <w:bCs/>
          <w:color w:val="auto"/>
          <w:sz w:val="28"/>
          <w:szCs w:val="28"/>
          <w:highlight w:val="none"/>
        </w:rPr>
      </w:pPr>
      <w:r>
        <w:rPr>
          <w:rFonts w:cs="宋体" w:hint="eastAsia"/>
          <w:b/>
          <w:bCs/>
          <w:color w:val="auto"/>
          <w:sz w:val="28"/>
          <w:szCs w:val="28"/>
          <w:highlight w:val="none"/>
        </w:rPr>
        <w:t xml:space="preserve"> 项目采购需求</w:t>
      </w:r>
    </w:p>
    <w:p>
      <w:pPr>
        <w:numPr>
          <w:ilvl w:val="0"/>
          <w:numId w:val="0"/>
        </w:numPr>
        <w:rPr>
          <w:color w:val="auto"/>
          <w:highlight w:val="none"/>
        </w:rPr>
      </w:pP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说明：</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1.投标人提供的服务必须符合国家和行业标准。</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2.标“★”为实质性参数要求和条件，投标人必须满足并在投标文件中如实作出响应，否则投标无效；标“▲”为重点指标；无标识的为一般指标。</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3.投标人投标时必须在投标文件中对所投分标所有项目要求及技术需求内容、商务要求表中内容及附件内容（如有）逐条响应并一一对应。</w:t>
      </w:r>
    </w:p>
    <w:p>
      <w:pPr>
        <w:pStyle w:val="5"/>
        <w:rPr>
          <w:color w:val="auto"/>
          <w:highlight w:val="none"/>
        </w:rPr>
      </w:pPr>
    </w:p>
    <w:p>
      <w:pPr>
        <w:pStyle w:val="BodyText"/>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rPr>
        <w:t>一、项目概况</w:t>
      </w:r>
    </w:p>
    <w:tbl>
      <w:tblPr>
        <w:tblStyle w:val="TableNormal"/>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709"/>
        <w:gridCol w:w="1985"/>
        <w:gridCol w:w="4110"/>
        <w:gridCol w:w="1717"/>
      </w:tblGrid>
      <w:tr>
        <w:tblPrEx>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984"/>
          <w:jc w:val="center"/>
        </w:trPr>
        <w:tc>
          <w:tcPr>
            <w:tcW w:w="70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采购包</w:t>
            </w:r>
          </w:p>
        </w:tc>
        <w:tc>
          <w:tcPr>
            <w:tcW w:w="198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采购标的</w:t>
            </w:r>
          </w:p>
        </w:tc>
        <w:tc>
          <w:tcPr>
            <w:tcW w:w="4110"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最高限价</w:t>
            </w:r>
          </w:p>
        </w:tc>
        <w:tc>
          <w:tcPr>
            <w:tcW w:w="1717"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采购标的对应的中小企业划分标准所属行业</w:t>
            </w:r>
          </w:p>
        </w:tc>
      </w:tr>
      <w:tr>
        <w:tblPrEx>
          <w:tblW w:w="8521" w:type="dxa"/>
          <w:jc w:val="center"/>
          <w:tblCellMar>
            <w:top w:w="0" w:type="dxa"/>
            <w:left w:w="108" w:type="dxa"/>
            <w:bottom w:w="0" w:type="dxa"/>
            <w:right w:w="108" w:type="dxa"/>
          </w:tblCellMar>
        </w:tblPrEx>
        <w:trPr>
          <w:trHeight w:val="1482"/>
          <w:jc w:val="center"/>
        </w:trPr>
        <w:tc>
          <w:tcPr>
            <w:tcW w:w="70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1985"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国家税务总局北流市税务局物业管理服务项目、餐饮服务项目</w:t>
            </w:r>
          </w:p>
        </w:tc>
        <w:tc>
          <w:tcPr>
            <w:tcW w:w="411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；最高限价总金额为人民币（大写）伍佰零贰万元整（¥5,020,000.00）</w:t>
            </w:r>
          </w:p>
        </w:tc>
        <w:tc>
          <w:tcPr>
            <w:tcW w:w="1717"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物业管理、餐饮业</w:t>
            </w:r>
          </w:p>
        </w:tc>
      </w:tr>
    </w:tbl>
    <w:p>
      <w:pPr>
        <w:pStyle w:val="BodyText"/>
        <w:spacing w:line="360" w:lineRule="auto"/>
        <w:ind w:firstLine="420" w:firstLineChars="200"/>
        <w:rPr>
          <w:rFonts w:asciiTheme="minorEastAsia" w:eastAsiaTheme="minorEastAsia" w:hAnsiTheme="minorEastAsia" w:cs="黑体"/>
          <w:color w:val="auto"/>
          <w:szCs w:val="21"/>
          <w:highlight w:val="none"/>
        </w:rPr>
      </w:pPr>
    </w:p>
    <w:p>
      <w:pPr>
        <w:pStyle w:val="BodyText"/>
        <w:spacing w:line="360" w:lineRule="auto"/>
        <w:ind w:firstLine="420" w:firstLineChars="200"/>
        <w:rPr>
          <w:rFonts w:asciiTheme="minorEastAsia" w:eastAsiaTheme="minorEastAsia" w:hAnsiTheme="minorEastAsia" w:cs="宋体"/>
          <w:color w:val="auto"/>
          <w:szCs w:val="21"/>
          <w:highlight w:val="none"/>
        </w:rPr>
      </w:pPr>
      <w:r>
        <w:rPr>
          <w:rFonts w:asciiTheme="minorEastAsia" w:eastAsiaTheme="minorEastAsia" w:hAnsiTheme="minorEastAsia" w:cs="黑体" w:hint="eastAsia"/>
          <w:color w:val="auto"/>
          <w:szCs w:val="21"/>
          <w:highlight w:val="none"/>
        </w:rPr>
        <w:t>二、技术要求</w:t>
      </w:r>
    </w:p>
    <w:p>
      <w:pPr>
        <w:pStyle w:val="BodyText"/>
        <w:spacing w:line="360" w:lineRule="auto"/>
        <w:ind w:firstLine="420" w:firstLineChars="200"/>
        <w:rPr>
          <w:rFonts w:asciiTheme="minorEastAsia" w:eastAsiaTheme="minorEastAsia" w:hAnsiTheme="minorEastAsia" w:cs="楷体_GB2312"/>
          <w:color w:val="auto"/>
          <w:szCs w:val="21"/>
          <w:highlight w:val="none"/>
        </w:rPr>
      </w:pPr>
      <w:r>
        <w:rPr>
          <w:rFonts w:asciiTheme="minorEastAsia" w:eastAsiaTheme="minorEastAsia" w:hAnsiTheme="minorEastAsia" w:cs="楷体_GB2312" w:hint="eastAsia"/>
          <w:color w:val="auto"/>
          <w:szCs w:val="21"/>
          <w:highlight w:val="none"/>
        </w:rPr>
        <w:t>（一）物业服务内容</w:t>
      </w:r>
    </w:p>
    <w:p>
      <w:pPr>
        <w:spacing w:line="360" w:lineRule="auto"/>
        <w:ind w:firstLine="399" w:firstLineChars="190"/>
        <w:rPr>
          <w:rFonts w:asciiTheme="minorEastAsia" w:eastAsiaTheme="minorEastAsia" w:hAnsiTheme="minorEastAsia"/>
          <w:color w:val="auto"/>
          <w:szCs w:val="21"/>
          <w:highlight w:val="none"/>
        </w:rPr>
      </w:pPr>
      <w:r>
        <w:rPr>
          <w:rFonts w:asciiTheme="minorEastAsia" w:eastAsiaTheme="minorEastAsia" w:hAnsiTheme="minorEastAsia" w:cs="仿宋_GB2312" w:hint="eastAsia"/>
          <w:color w:val="auto"/>
          <w:kern w:val="0"/>
          <w:szCs w:val="21"/>
          <w:highlight w:val="none"/>
          <w:lang w:bidi="ar"/>
        </w:rPr>
        <w:t>综合服务、房屋及设备设施(含</w:t>
      </w:r>
      <w:r>
        <w:rPr>
          <w:rFonts w:asciiTheme="minorEastAsia" w:eastAsiaTheme="minorEastAsia" w:hAnsiTheme="minorEastAsia" w:cs="仿宋_GB2312" w:hint="eastAsia"/>
          <w:color w:val="auto"/>
          <w:szCs w:val="21"/>
          <w:highlight w:val="none"/>
        </w:rPr>
        <w:t>供电系统、供水排水系统）</w:t>
      </w:r>
      <w:r>
        <w:rPr>
          <w:rFonts w:asciiTheme="minorEastAsia" w:eastAsiaTheme="minorEastAsia" w:hAnsiTheme="minorEastAsia" w:cs="仿宋_GB2312" w:hint="eastAsia"/>
          <w:color w:val="auto"/>
          <w:kern w:val="0"/>
          <w:szCs w:val="21"/>
          <w:highlight w:val="none"/>
          <w:lang w:bidi="ar"/>
        </w:rPr>
        <w:t>维护保养、保洁服务、绿化服务、公共秩序维护</w:t>
      </w:r>
      <w:r>
        <w:rPr>
          <w:rFonts w:asciiTheme="minorEastAsia" w:eastAsiaTheme="minorEastAsia" w:hAnsiTheme="minorEastAsia" w:cs="仿宋_GB2312" w:hint="eastAsia"/>
          <w:color w:val="auto"/>
          <w:kern w:val="0"/>
          <w:szCs w:val="21"/>
          <w:highlight w:val="none"/>
          <w:lang w:val="en-US" w:eastAsia="zh-CN" w:bidi="ar"/>
        </w:rPr>
        <w:t>（含消防系统维护保养）</w:t>
      </w:r>
      <w:r>
        <w:rPr>
          <w:rFonts w:asciiTheme="minorEastAsia" w:eastAsiaTheme="minorEastAsia" w:hAnsiTheme="minorEastAsia" w:cs="仿宋_GB2312" w:hint="eastAsia"/>
          <w:color w:val="auto"/>
          <w:kern w:val="0"/>
          <w:szCs w:val="21"/>
          <w:highlight w:val="none"/>
          <w:lang w:bidi="ar"/>
        </w:rPr>
        <w:t>、会议服务、餐饮服务、应急管理等。</w:t>
      </w:r>
    </w:p>
    <w:p>
      <w:pPr>
        <w:spacing w:line="360" w:lineRule="auto"/>
        <w:ind w:firstLine="399" w:firstLineChars="190"/>
        <w:jc w:val="left"/>
        <w:rPr>
          <w:rFonts w:asciiTheme="minorEastAsia" w:eastAsiaTheme="minorEastAsia" w:hAnsiTheme="minorEastAsia"/>
          <w:b/>
          <w:color w:val="auto"/>
          <w:szCs w:val="21"/>
          <w:highlight w:val="none"/>
        </w:rPr>
      </w:pPr>
      <w:r>
        <w:rPr>
          <w:rFonts w:asciiTheme="minorEastAsia" w:eastAsiaTheme="minorEastAsia" w:hAnsiTheme="minorEastAsia" w:cs="楷体_GB2312" w:hint="eastAsia"/>
          <w:b/>
          <w:color w:val="auto"/>
          <w:szCs w:val="21"/>
          <w:highlight w:val="none"/>
        </w:rPr>
        <w:t>（二）物业服务范围</w:t>
      </w:r>
    </w:p>
    <w:p>
      <w:pPr>
        <w:pStyle w:val="BodyText"/>
        <w:spacing w:line="360" w:lineRule="auto"/>
        <w:ind w:firstLine="420" w:firstLineChars="200"/>
        <w:rPr>
          <w:rFonts w:asciiTheme="minorEastAsia" w:eastAsiaTheme="minorEastAsia" w:hAnsiTheme="minorEastAsia"/>
          <w:b w:val="0"/>
          <w:color w:val="auto"/>
          <w:szCs w:val="21"/>
          <w:highlight w:val="none"/>
        </w:rPr>
      </w:pPr>
      <w:r>
        <w:rPr>
          <w:rFonts w:asciiTheme="minorEastAsia" w:eastAsiaTheme="minorEastAsia" w:hAnsiTheme="minorEastAsia" w:cs="仿宋_GB2312" w:hint="eastAsia"/>
          <w:b w:val="0"/>
          <w:color w:val="auto"/>
          <w:kern w:val="0"/>
          <w:szCs w:val="21"/>
          <w:highlight w:val="none"/>
          <w:lang w:bidi="ar"/>
        </w:rPr>
        <w:t>总建筑面积：43268.17平方米，如采购人有需要扩大或变更物业服务范围的（物业服务范围不超过北流市境内），由采购人与中标人双方另行协商。</w:t>
      </w:r>
    </w:p>
    <w:tbl>
      <w:tblPr>
        <w:tblStyle w:val="TableNormal"/>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2148"/>
        <w:gridCol w:w="960"/>
        <w:gridCol w:w="800"/>
        <w:gridCol w:w="2290"/>
        <w:gridCol w:w="2233"/>
      </w:tblGrid>
      <w:tr>
        <w:tblPrEx>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序号</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服务区域</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建筑面积(m²)</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总层数</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物业类型</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座落地址</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6211.41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10、3、2、1</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办公楼、食堂、职工活动室</w:t>
            </w:r>
            <w:r>
              <w:rPr>
                <w:rFonts w:asciiTheme="minorEastAsia" w:eastAsiaTheme="minorEastAsia" w:hAnsiTheme="minorEastAsia" w:hint="eastAsia"/>
                <w:b w:val="0"/>
                <w:color w:val="auto"/>
                <w:szCs w:val="21"/>
                <w:highlight w:val="none"/>
              </w:rPr>
              <w:t>、</w:t>
            </w:r>
            <w:r>
              <w:rPr>
                <w:rFonts w:asciiTheme="minorEastAsia" w:eastAsiaTheme="minorEastAsia" w:hAnsiTheme="minorEastAsia" w:cs="仿宋_GB2312" w:hint="eastAsia"/>
                <w:b w:val="0"/>
                <w:color w:val="auto"/>
                <w:szCs w:val="21"/>
                <w:highlight w:val="none"/>
              </w:rPr>
              <w:t>电梯、周转住房、车库</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北流市新松路0031号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国家税务总局北流市税务局第一税务分局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900</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北流市南站政务中心</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国家税务总局北流市税务局第二税务分局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8205.2</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r>
              <w:rPr>
                <w:rFonts w:asciiTheme="minorEastAsia" w:eastAsiaTheme="minorEastAsia" w:hAnsiTheme="minorEastAsia" w:hint="eastAsia"/>
                <w:b w:val="0"/>
                <w:color w:val="auto"/>
                <w:szCs w:val="21"/>
                <w:highlight w:val="none"/>
              </w:rPr>
              <w:t>电梯、车库</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北流市324国道旁南辅道（北流市南站南路红绿灯旁）</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国家税务总局北流市税务局北流税务分局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2111.88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办公楼、食堂、车库、周转住房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北流市陵宁路0027号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国家税务总局北流市税务局民安税务分局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1064.38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北流市民安镇永兴街89号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国家税务总局北流市税务局民乐税务分局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1657.69</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北流市民乐镇兴乐路22号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国家税务总局北流市税务局新圩税务分局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2430.35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北流市新圩镇文武街35号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国家税务总局北流市税务局塘岸税务分局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789</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北流市塘岸镇塘政街</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国家税务总局北流市税务局隆盛税务分局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1530.25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北流市隆盛镇河东开发区</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国家税务总局北流市税务局新丰税务分局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755.01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北流市新丰镇荔丰街1号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国家税务总局北流市税务局平政税务分局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562.48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北流市平政镇圩背垌</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国家税务总局北流市税务局白马税务分局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1922.88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北流市白马镇黄金开发区</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国家税务总局北流市税务局六靖税务分局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2229.16</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北流市六靖镇镇东路0093号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国家税务总局北流市税务局六地坡宿舍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b w:val="0"/>
                <w:color w:val="auto"/>
                <w:szCs w:val="21"/>
                <w:highlight w:val="none"/>
              </w:rPr>
              <w:t>2372.32</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北流市六地坡</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国家税务总局北流市税务局望街岭宿舍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1490.63</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北流市望街岭</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国家税务总局北流市税务局新街宿舍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1311.4</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北流市永安路0206号</w:t>
            </w:r>
          </w:p>
        </w:tc>
      </w:tr>
      <w:tr>
        <w:tblPrEx>
          <w:tblW w:w="9004" w:type="dxa"/>
          <w:jc w:val="center"/>
          <w:tblLayout w:type="fixed"/>
          <w:tblCellMar>
            <w:top w:w="0" w:type="dxa"/>
            <w:left w:w="108" w:type="dxa"/>
            <w:bottom w:w="0" w:type="dxa"/>
            <w:right w:w="108" w:type="dxa"/>
          </w:tblCellMar>
        </w:tblPrEx>
        <w:trPr>
          <w:cantSplit/>
          <w:trHeight w:val="90"/>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17</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国家税务总局北流市税务局陵宁路宿舍</w:t>
            </w:r>
          </w:p>
        </w:tc>
        <w:tc>
          <w:tcPr>
            <w:tcW w:w="960" w:type="dxa"/>
            <w:vAlign w:val="center"/>
          </w:tcPr>
          <w:p>
            <w:pPr>
              <w:widowControl/>
              <w:spacing w:line="360" w:lineRule="auto"/>
              <w:jc w:val="right"/>
              <w:textAlignment w:val="bottom"/>
              <w:rPr>
                <w:rFonts w:asciiTheme="minorEastAsia" w:eastAsiaTheme="minorEastAsia" w:hAnsiTheme="minorEastAsia" w:cs="Arial"/>
                <w:color w:val="auto"/>
                <w:szCs w:val="21"/>
                <w:highlight w:val="none"/>
              </w:rPr>
            </w:pPr>
            <w:r>
              <w:rPr>
                <w:rFonts w:asciiTheme="minorEastAsia" w:eastAsiaTheme="minorEastAsia" w:hAnsiTheme="minorEastAsia" w:cs="仿宋_GB2312" w:hint="eastAsia"/>
                <w:color w:val="auto"/>
                <w:szCs w:val="21"/>
                <w:highlight w:val="none"/>
              </w:rPr>
              <w:t>1065.21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北流市陵宁路0002号，</w:t>
            </w:r>
          </w:p>
        </w:tc>
      </w:tr>
      <w:tr>
        <w:tblPrEx>
          <w:tblW w:w="9004" w:type="dxa"/>
          <w:jc w:val="center"/>
          <w:tblLayout w:type="fixed"/>
          <w:tblCellMar>
            <w:top w:w="0" w:type="dxa"/>
            <w:left w:w="108" w:type="dxa"/>
            <w:bottom w:w="0" w:type="dxa"/>
            <w:right w:w="108" w:type="dxa"/>
          </w:tblCellMar>
        </w:tblPrEx>
        <w:trPr>
          <w:cantSplit/>
          <w:trHeight w:val="812"/>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国家税务总局北流市税务局局机关城东一路办公区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1233.25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北流市城东一路0070号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国家税务总局北流市税务局城东一路宿舍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3537.97</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北流市城东一路0072号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20</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国家税务总局北流市税务局局机关西河南路办公区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1887.7</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北流市西河南路003号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国家税务总局北流市税务局责任清洁区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街道长度500米</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道路</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北流市陵宁路城中路口至永安路口路段</w:t>
            </w:r>
          </w:p>
        </w:tc>
      </w:tr>
    </w:tbl>
    <w:p>
      <w:pPr>
        <w:spacing w:line="360" w:lineRule="auto"/>
        <w:ind w:firstLine="420" w:firstLineChars="200"/>
        <w:rPr>
          <w:rFonts w:asciiTheme="minorEastAsia" w:eastAsiaTheme="minorEastAsia" w:hAnsiTheme="minorEastAsia" w:cs="宋体"/>
          <w:b/>
          <w:bCs/>
          <w:color w:val="auto"/>
          <w:szCs w:val="21"/>
          <w:highlight w:val="none"/>
        </w:rPr>
      </w:pPr>
      <w:r>
        <w:rPr>
          <w:rFonts w:asciiTheme="minorEastAsia" w:eastAsiaTheme="minorEastAsia" w:hAnsiTheme="minorEastAsia" w:cs="楷体_GB2312" w:hint="eastAsia"/>
          <w:b/>
          <w:color w:val="auto"/>
          <w:szCs w:val="21"/>
          <w:highlight w:val="none"/>
        </w:rPr>
        <w:t>（三）物业服务要求</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1.综合服务。发挥物业服务管理职能，提供相应保障服务，更好地服务采购人工作人员，包括但不限于：</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建立投诉处理机制：建立物业管理服务投诉渠道，如投诉电话、微信号、意见箱等，公布投诉处理流程等；及时接受采购人和职工的投诉反映，并及时解决所反映的问题，对受理的投诉应核实情况，及时处理并对采购人和职工提出的投诉进行答复。受理、处理投诉应留存记录。</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（2）采购人意见征集、处理：每半年一次，向采购人采用走访、问卷调查等形式开展调查，并对调查结果进行分析，持续改进，及时反馈采购人动态信息，采购人日常反馈的意见应及时处理，并留有记录。</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物业档案资料管理。档案和资料的管理包括：清洁卫生管理档案、室内外绿化管理档案、房屋及公共设备设施维护保养档案、人事管理及人员培训档案以及具体的管理方案，所有资料档案做到保存完整，管理完善，交接手续完备，检索方便准确。</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（4）安排专人负责报刊、杂志派送等。</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（5）对废纸、废塑料品、废电池及废灯具等废旧物品进行定点回收及清理搬运。</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（6）配合采购人做好公共机构节能减排工作，每天晚上22点对办公区进行巡查，关闭楼道窗户及公共区域的灯。</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（7）中标人能自觉维护公众利益，遵守办公区的各项管理规定。</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（8）项目经理每天对各楼层巡查不少于2次，发现问题及时整改，提升服务质量。</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（9）领用日常</w:t>
      </w:r>
      <w:r>
        <w:rPr>
          <w:rFonts w:ascii="宋体" w:hAnsi="宋体" w:cs="仿宋_GB2312" w:hint="eastAsia"/>
          <w:b w:val="0"/>
          <w:color w:val="auto"/>
          <w:kern w:val="0"/>
          <w:szCs w:val="21"/>
          <w:highlight w:val="none"/>
          <w:lang w:bidi="ar"/>
        </w:rPr>
        <w:t>清洁药剂、清洁工具、洗手液、卫生纸及</w:t>
      </w:r>
      <w:r>
        <w:rPr>
          <w:rFonts w:ascii="宋体" w:hAnsi="宋体" w:cs="仿宋_GB2312" w:hint="eastAsia"/>
          <w:b w:val="0"/>
          <w:color w:val="auto"/>
          <w:szCs w:val="21"/>
          <w:highlight w:val="none"/>
        </w:rPr>
        <w:t>维修材料</w:t>
      </w:r>
      <w:r>
        <w:rPr>
          <w:rFonts w:ascii="宋体" w:hAnsi="宋体" w:cs="仿宋_GB2312" w:hint="eastAsia"/>
          <w:b w:val="0"/>
          <w:color w:val="auto"/>
          <w:kern w:val="0"/>
          <w:szCs w:val="21"/>
          <w:highlight w:val="none"/>
          <w:lang w:bidi="ar"/>
        </w:rPr>
        <w:t>等易耗品</w:t>
      </w:r>
      <w:r>
        <w:rPr>
          <w:rFonts w:ascii="宋体" w:hAnsi="宋体" w:cs="仿宋_GB2312" w:hint="eastAsia"/>
          <w:b w:val="0"/>
          <w:color w:val="auto"/>
          <w:szCs w:val="21"/>
          <w:highlight w:val="none"/>
        </w:rPr>
        <w:t>需拟定计划并建立台账管理。</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（10）配合采购人做好节能减排、固定资产等管理工作。</w:t>
      </w:r>
    </w:p>
    <w:p>
      <w:pPr>
        <w:pStyle w:val="BodyText"/>
        <w:spacing w:line="360" w:lineRule="auto"/>
        <w:ind w:firstLine="420" w:firstLineChars="200"/>
        <w:rPr>
          <w:rFonts w:ascii="宋体" w:hAnsi="宋体"/>
          <w:b w:val="0"/>
          <w:color w:val="auto"/>
          <w:szCs w:val="21"/>
          <w:highlight w:val="none"/>
        </w:rPr>
      </w:pPr>
      <w:r>
        <w:rPr>
          <w:rFonts w:ascii="宋体" w:hAnsi="宋体" w:cs="仿宋_GB2312" w:hint="eastAsia"/>
          <w:b w:val="0"/>
          <w:color w:val="auto"/>
          <w:szCs w:val="21"/>
          <w:highlight w:val="none"/>
        </w:rPr>
        <w:t>（11）法定节假日或有重大活动的，按采购人要求协助做好氛围营造工作，如绿化、美化、宣传布置、垂挂灯笼、大型活动场地布置等。</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bidi="ar"/>
        </w:rPr>
        <w:t>2.房屋及公共设备设施维护保养。对房屋、供电系统、供水排水系统</w:t>
      </w:r>
      <w:r>
        <w:rPr>
          <w:rFonts w:ascii="宋体" w:hAnsi="宋体" w:cs="仿宋_GB2312" w:hint="eastAsia"/>
          <w:b w:val="0"/>
          <w:color w:val="auto"/>
          <w:szCs w:val="21"/>
          <w:highlight w:val="none"/>
        </w:rPr>
        <w:t>等进行巡查、维护和保养。</w:t>
      </w:r>
      <w:r>
        <w:rPr>
          <w:rFonts w:ascii="宋体" w:hAnsi="宋体" w:cs="仿宋_GB2312" w:hint="eastAsia"/>
          <w:b w:val="0"/>
          <w:color w:val="auto"/>
          <w:kern w:val="0"/>
          <w:szCs w:val="21"/>
          <w:highlight w:val="none"/>
          <w:lang w:bidi="ar"/>
        </w:rPr>
        <w:t>中标人接到采购人的报修事项后要在1天内完成维修，需要更换零部件的要与采购人后勤部门联系，若由于客观原因无法在1天内完成的要向及时向采购人后勤部门报备。</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（1）房屋巡查、维护和保养。对物业服务范围内所有房产进行日常巡查，每月至少2次，做好每月每次巡查记录，该项工作由保洁员兼任完成，如发现问题及时向采购人反馈汇报、并协助采购人做好维护和保养。</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供电系统巡查、维护和保养。负责对高低压电器设备、电线电缆、电器照明装置、柴油发电机等进行日常巡查（每月至少2次）、零星维修，发现故障或隐患要及时向采购人报告，维修用到的零配件材料费由采购人承担。中标人要制定停电应急处置预案，接到市政停电通知后立即通知采购人。</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供水排水系统巡查、维护和保养。对上下水道、阀门、管道、落水管、水泵、二次加压供水等系统和设备进行日常巡查（每月至少2次）、零星维修等，发现问题的要及时向采购人报告，维修用到的零配件材料费由采购人承担。接到市政停水通知要立即通知采购人，发现各种水管和水龙头漏水、滴水情况，及时维修处理；制定事故应急处理预案，严禁发生大面积泡水、泛水，长时间停水现象（由市政通知停水的情况除外）。</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保洁服务。保洁区域包括但不限于办公楼（区）内办公室和周转住房、大厅、展厅、过道、楼梯、天台、电梯间、卫生间、茶水间、会议室等，办公区域道路、停车场（库）、球场、职工活动室、餐厅、活动室等所有公共场地及“门前三包”区域，周转住房的公共部分（含楼道、地面），责任清洁区的日常清洁。洗手液、卫生纸、清洁剂、化粪池清掏、灭虫除害等所产生的费用由采购人承担；清洁工具等由中标人承担。具体保洁服务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（1）保洁员应按照保洁作业频率和质量标准（详见附件3）完成保洁工作。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项目经理每天1次对保洁区域进行巡视检查，巡回保洁，确保干净、无异味、无灰尘、无杂物、无积水、无明显污迹、无油迹、无蛛网、无乱钉乱画，物品、桌椅摆放整齐有序、无杂物，卫生间、楼梯、电梯间等室内空间保持空气清新、无异味，公共部位无擅自占用和堆放杂物。</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（3）卫生间的卫生纸及洗手液按要求及时更换。</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（4）清洁工具分区分类定点摆放，整齐、干净；卫生保洁要注意节约用水，做到人离水关；在清扫外围区域时注意行人车辆，要有安全作业标识，确保安全。</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（5）做好垃圾清运工作。保洁员在作业中产生的所有垃圾必须倒入指定位置，所有生活垃圾必须做到日产日清，不得在管理区域内私自焚烧或随意倒放，</w:t>
      </w:r>
      <w:r>
        <w:rPr>
          <w:rFonts w:ascii="宋体" w:hAnsi="宋体" w:cs="仿宋_GB2312" w:hint="eastAsia"/>
          <w:b w:val="0"/>
          <w:bCs/>
          <w:color w:val="auto"/>
          <w:spacing w:val="-5"/>
          <w:szCs w:val="21"/>
          <w:highlight w:val="none"/>
        </w:rPr>
        <w:t>垃圾箱外侧表面清洁、内侧无残留物</w:t>
      </w:r>
      <w:r>
        <w:rPr>
          <w:rFonts w:ascii="宋体" w:hAnsi="宋体" w:cs="仿宋_GB2312" w:hint="eastAsia"/>
          <w:b w:val="0"/>
          <w:color w:val="auto"/>
          <w:szCs w:val="21"/>
          <w:highlight w:val="none"/>
        </w:rPr>
        <w:t>；装修垃圾必须集中堆放，定期清运并进行消毒杀菌，不影响交通，不影响环境。</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（6）定期组织管道疏导工作并根据天气状况，及时清理排水沟渠及排污管道，保持地下管道畅通。</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（7）不定期检查化粪池情况，及时报告采购人处理，保持良好环境卫生。</w:t>
      </w:r>
    </w:p>
    <w:p>
      <w:pPr>
        <w:spacing w:line="360" w:lineRule="auto"/>
        <w:ind w:firstLine="420" w:firstLineChars="200"/>
        <w:rPr>
          <w:rFonts w:ascii="宋体" w:hAnsi="宋体" w:cs="仿宋_GB2312"/>
          <w:color w:val="auto"/>
          <w:szCs w:val="21"/>
          <w:highlight w:val="none"/>
        </w:rPr>
      </w:pPr>
      <w:r>
        <w:rPr>
          <w:rFonts w:ascii="宋体" w:hAnsi="宋体" w:cs="仿宋_GB2312" w:hint="eastAsia"/>
          <w:color w:val="auto"/>
          <w:szCs w:val="21"/>
          <w:highlight w:val="none"/>
        </w:rPr>
        <w:t>（8）负责采购人局机关的保洁员需对责任清洁区（北流市陵宁路城中路口至永安路口路段）定时或不定时进行清扫。</w:t>
      </w:r>
    </w:p>
    <w:p>
      <w:pPr>
        <w:pStyle w:val="BodyText"/>
        <w:spacing w:line="360" w:lineRule="auto"/>
        <w:ind w:firstLine="420" w:firstLineChars="200"/>
        <w:rPr>
          <w:rFonts w:ascii="宋体" w:hAnsi="宋体" w:cs="仿宋_GB2312"/>
          <w:b w:val="0"/>
          <w:color w:val="auto"/>
          <w:szCs w:val="21"/>
          <w:highlight w:val="none"/>
        </w:rPr>
      </w:pPr>
      <w:r>
        <w:rPr>
          <w:rFonts w:ascii="宋体" w:hAnsi="宋体" w:cs="宋体" w:hint="eastAsia"/>
          <w:b w:val="0"/>
          <w:color w:val="auto"/>
          <w:szCs w:val="21"/>
          <w:highlight w:val="none"/>
        </w:rPr>
        <w:t>（9）垃圾分类：配合北流市的城市管理要求，进行垃圾分类宣传和行为引导设立生活垃圾分类集中投放点和分类收集容器，对生活垃圾进行分类收集、分类暂存和分类交运。</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（10）保洁员要求：思想端正，人员相对固定，并签订保密协议。</w:t>
      </w:r>
    </w:p>
    <w:p>
      <w:pPr>
        <w:spacing w:line="360" w:lineRule="auto"/>
        <w:ind w:firstLine="420" w:firstLineChars="200"/>
        <w:jc w:val="left"/>
        <w:rPr>
          <w:rFonts w:ascii="宋体" w:hAnsi="宋体" w:cs="仿宋_GB2312"/>
          <w:color w:val="auto"/>
          <w:kern w:val="0"/>
          <w:szCs w:val="21"/>
          <w:highlight w:val="none"/>
          <w:lang w:bidi="ar"/>
        </w:rPr>
      </w:pPr>
      <w:r>
        <w:rPr>
          <w:rFonts w:ascii="宋体" w:hAnsi="宋体" w:cs="仿宋_GB2312" w:hint="eastAsia"/>
          <w:color w:val="auto"/>
          <w:kern w:val="0"/>
          <w:szCs w:val="21"/>
          <w:highlight w:val="none"/>
          <w:lang w:bidi="ar"/>
        </w:rPr>
        <w:t>4.绿化服务。办公楼（区）室内外各类植株进行整形修剪土壤、水肥管理和病虫害综合治理等日常养护，绿化带、盆株的日常清洁和绿化生产垃圾的清运，办公楼（区）门前规定区域绿地的养护管理等。绿化所产生垃圾的清运费用、除草机、修剪机、肥料、杀虫药剂等材料费用</w:t>
      </w:r>
      <w:r>
        <w:rPr>
          <w:rFonts w:ascii="宋体" w:hAnsi="宋体" w:cs="仿宋_GB2312" w:hint="eastAsia"/>
          <w:color w:val="auto"/>
          <w:szCs w:val="21"/>
          <w:highlight w:val="none"/>
        </w:rPr>
        <w:t>由</w:t>
      </w:r>
      <w:r>
        <w:rPr>
          <w:rFonts w:ascii="宋体" w:hAnsi="宋体" w:cs="仿宋_GB2312" w:hint="eastAsia"/>
          <w:color w:val="auto"/>
          <w:kern w:val="0"/>
          <w:szCs w:val="21"/>
          <w:highlight w:val="none"/>
          <w:lang w:bidi="ar"/>
        </w:rPr>
        <w:t>中标人</w:t>
      </w:r>
      <w:r>
        <w:rPr>
          <w:rFonts w:ascii="宋体" w:hAnsi="宋体" w:cs="仿宋_GB2312" w:hint="eastAsia"/>
          <w:color w:val="auto"/>
          <w:szCs w:val="21"/>
          <w:highlight w:val="none"/>
        </w:rPr>
        <w:t>承担，</w:t>
      </w:r>
      <w:r>
        <w:rPr>
          <w:rFonts w:ascii="宋体" w:hAnsi="宋体" w:cs="仿宋_GB2312" w:hint="eastAsia"/>
          <w:color w:val="auto"/>
          <w:kern w:val="0"/>
          <w:szCs w:val="21"/>
          <w:highlight w:val="none"/>
          <w:lang w:bidi="ar"/>
        </w:rPr>
        <w:t>各类高大植株</w:t>
      </w:r>
      <w:r>
        <w:rPr>
          <w:rFonts w:ascii="宋体" w:hAnsi="宋体" w:cs="仿宋_GB2312" w:hint="eastAsia"/>
          <w:color w:val="auto"/>
          <w:szCs w:val="21"/>
          <w:highlight w:val="none"/>
        </w:rPr>
        <w:t>绿化</w:t>
      </w:r>
      <w:r>
        <w:rPr>
          <w:rFonts w:ascii="宋体" w:hAnsi="宋体" w:cs="仿宋_GB2312" w:hint="eastAsia"/>
          <w:color w:val="auto"/>
          <w:kern w:val="0"/>
          <w:szCs w:val="21"/>
          <w:highlight w:val="none"/>
          <w:lang w:bidi="ar"/>
        </w:rPr>
        <w:t>整形修剪</w:t>
      </w:r>
      <w:r>
        <w:rPr>
          <w:rFonts w:ascii="宋体" w:hAnsi="宋体" w:cs="仿宋_GB2312" w:hint="eastAsia"/>
          <w:color w:val="auto"/>
          <w:szCs w:val="21"/>
          <w:highlight w:val="none"/>
        </w:rPr>
        <w:t>所产生的费用由采购人承担。</w:t>
      </w:r>
      <w:r>
        <w:rPr>
          <w:rFonts w:ascii="宋体" w:hAnsi="宋体" w:cs="仿宋_GB2312" w:hint="eastAsia"/>
          <w:color w:val="auto"/>
          <w:kern w:val="0"/>
          <w:szCs w:val="21"/>
          <w:highlight w:val="none"/>
          <w:lang w:bidi="ar"/>
        </w:rPr>
        <w:t>绿化服务具体要求如下：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（1）及时铲除绿地、空地、屋顶、车棚、天台等处的杂草、杂物、青苔。</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（2）不定期浇水。根据季节、气候、地域条件、绿地花木品种、生长期决定浇水量。</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（3）定期松土施肥。根据花木生长期，花木品种和培植需要，定期对绿化地土壤进行松土和施肥，确保花木长势良好。</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（4）定期修剪整形。修剪绿化带、草地及景观树根据树木形态、观赏效果、树木品种和生长情况等因素定期进行修剪整形；要及时清理树枝、树叶、枯枝、杂草等，配合采购人对高大</w:t>
      </w:r>
      <w:r>
        <w:rPr>
          <w:rFonts w:ascii="宋体" w:hAnsi="宋体" w:cs="仿宋_GB2312" w:hint="eastAsia"/>
          <w:b w:val="0"/>
          <w:color w:val="auto"/>
          <w:kern w:val="0"/>
          <w:szCs w:val="21"/>
          <w:highlight w:val="none"/>
          <w:lang w:bidi="ar"/>
        </w:rPr>
        <w:t>植株进行</w:t>
      </w:r>
      <w:r>
        <w:rPr>
          <w:rFonts w:ascii="宋体" w:hAnsi="宋体" w:cs="仿宋_GB2312" w:hint="eastAsia"/>
          <w:b w:val="0"/>
          <w:color w:val="auto"/>
          <w:szCs w:val="21"/>
          <w:highlight w:val="none"/>
        </w:rPr>
        <w:t>修剪，做好安全防范管理工作。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（5）不定期清除病虫害。根据病虫害发生规律实施综合治理，做到预防为主、综合防治，不得发生办公区内花木因病虫害而导致的枯萎问题。</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（6）喷洒农药要在节假日实施，对喷洒农药的植物，要挂牌警示，以防农药中毒。</w:t>
      </w:r>
    </w:p>
    <w:p>
      <w:pPr>
        <w:pStyle w:val="BodyText"/>
        <w:spacing w:line="360" w:lineRule="auto"/>
        <w:ind w:firstLine="420" w:firstLineChars="200"/>
        <w:rPr>
          <w:rFonts w:ascii="宋体" w:hAnsi="宋体" w:cs="仿宋_GB2312" w:hint="eastAsia"/>
          <w:b w:val="0"/>
          <w:color w:val="auto"/>
          <w:kern w:val="0"/>
          <w:szCs w:val="21"/>
          <w:highlight w:val="none"/>
          <w:lang w:bidi="ar"/>
        </w:rPr>
      </w:pPr>
      <w:r>
        <w:rPr>
          <w:rFonts w:ascii="宋体" w:hAnsi="宋体" w:cs="仿宋_GB2312" w:hint="eastAsia"/>
          <w:b w:val="0"/>
          <w:color w:val="auto"/>
          <w:kern w:val="0"/>
          <w:szCs w:val="21"/>
          <w:highlight w:val="none"/>
          <w:lang w:bidi="ar"/>
        </w:rPr>
        <w:t>5.公共秩序维护服务</w:t>
      </w: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val="en-US" w:eastAsia="zh-CN" w:bidi="ar"/>
        </w:rPr>
        <w:t>含</w:t>
      </w:r>
      <w:r>
        <w:rPr>
          <w:rFonts w:ascii="宋体" w:hAnsi="宋体" w:cs="仿宋_GB2312" w:hint="eastAsia"/>
          <w:b w:val="0"/>
          <w:color w:val="auto"/>
          <w:kern w:val="0"/>
          <w:szCs w:val="21"/>
          <w:highlight w:val="none"/>
          <w:lang w:bidi="ar"/>
        </w:rPr>
        <w:t>消防系统维护保养</w:t>
      </w: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bidi="ar"/>
        </w:rPr>
        <w:t>。</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val="en-US" w:eastAsia="zh-CN" w:bidi="ar"/>
        </w:rPr>
        <w:t>1</w:t>
      </w:r>
      <w:r>
        <w:rPr>
          <w:rFonts w:ascii="宋体" w:hAnsi="宋体" w:cs="仿宋_GB2312" w:hint="eastAsia"/>
          <w:b w:val="0"/>
          <w:color w:val="auto"/>
          <w:kern w:val="0"/>
          <w:szCs w:val="21"/>
          <w:highlight w:val="none"/>
          <w:lang w:eastAsia="zh-CN" w:bidi="ar"/>
        </w:rPr>
        <w:t>）公共秩序维护服务。</w:t>
      </w:r>
      <w:r>
        <w:rPr>
          <w:rFonts w:ascii="宋体" w:hAnsi="宋体" w:cs="仿宋_GB2312" w:hint="eastAsia"/>
          <w:b w:val="0"/>
          <w:color w:val="auto"/>
          <w:kern w:val="0"/>
          <w:szCs w:val="21"/>
          <w:highlight w:val="none"/>
          <w:lang w:bidi="ar"/>
        </w:rPr>
        <w:t>办公楼（区）门卫和日常巡逻、防盗等报警监控运行管理，车辆、道路及公共秩序维护，防汛、治安及其他突发事件处理等，公共秩序维护所需配备的对讲机、服装、电筒、应急包等材料费用由中标人承担。公共秩序维护服务具体要求如下：</w:t>
      </w:r>
    </w:p>
    <w:p>
      <w:pPr>
        <w:pStyle w:val="TableText"/>
        <w:spacing w:line="360" w:lineRule="auto"/>
        <w:ind w:firstLine="420" w:firstLineChars="200"/>
        <w:rPr>
          <w:rFonts w:cs="仿宋_GB2312"/>
          <w:color w:val="auto"/>
          <w:sz w:val="21"/>
          <w:szCs w:val="21"/>
          <w:highlight w:val="none"/>
          <w:lang w:eastAsia="zh-CN"/>
        </w:rPr>
      </w:pPr>
      <w:r>
        <w:rPr>
          <w:rFonts w:cs="仿宋_GB2312" w:hint="eastAsia"/>
          <w:color w:val="auto"/>
          <w:sz w:val="21"/>
          <w:szCs w:val="21"/>
          <w:highlight w:val="none"/>
          <w:lang w:val="en-US" w:eastAsia="zh-CN"/>
        </w:rPr>
        <w:t>①</w:t>
      </w:r>
      <w:r>
        <w:rPr>
          <w:rFonts w:cs="仿宋_GB2312" w:hint="eastAsia"/>
          <w:color w:val="auto"/>
          <w:sz w:val="21"/>
          <w:szCs w:val="21"/>
          <w:highlight w:val="none"/>
          <w:lang w:eastAsia="zh-CN"/>
        </w:rPr>
        <w:t>加强门卫管理。24小时值守；指定时间段立岗，形象展示；按采购人要求，严格对出入管理区域人员管理，落实好检查、验证、登记制度，杜绝可疑人员和危险物品进入办公楼（区）内；密切掌握管理区域车辆、人员动态，及时妥善处置各种意外情况。</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②</w:t>
      </w:r>
      <w:r>
        <w:rPr>
          <w:rFonts w:ascii="宋体" w:hAnsi="宋体" w:cs="仿宋_GB2312" w:hint="eastAsia"/>
          <w:b w:val="0"/>
          <w:color w:val="auto"/>
          <w:szCs w:val="21"/>
          <w:highlight w:val="none"/>
        </w:rPr>
        <w:t>每天定时对办公区域进行巡查、安全检查、隐患排查等工作；在职所有公共秩序维护人员必须签订保密协议；对</w:t>
      </w:r>
      <w:r>
        <w:rPr>
          <w:rFonts w:ascii="宋体" w:hAnsi="宋体" w:cs="仿宋_GB2312" w:hint="eastAsia"/>
          <w:b w:val="0"/>
          <w:bCs/>
          <w:color w:val="auto"/>
          <w:szCs w:val="21"/>
          <w:highlight w:val="none"/>
        </w:rPr>
        <w:t>公共秩序维护</w:t>
      </w:r>
      <w:r>
        <w:rPr>
          <w:rFonts w:ascii="宋体" w:hAnsi="宋体" w:cs="仿宋_GB2312" w:hint="eastAsia"/>
          <w:b w:val="0"/>
          <w:color w:val="auto"/>
          <w:szCs w:val="21"/>
          <w:highlight w:val="none"/>
        </w:rPr>
        <w:t>人员要统一执勤着装、统一执勤标准、统一执勤动作，保持执勤威严，并做到服务态度良好。</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③</w:t>
      </w:r>
      <w:r>
        <w:rPr>
          <w:rFonts w:ascii="宋体" w:hAnsi="宋体" w:cs="仿宋_GB2312" w:hint="eastAsia"/>
          <w:b w:val="0"/>
          <w:color w:val="auto"/>
          <w:szCs w:val="21"/>
          <w:highlight w:val="none"/>
        </w:rPr>
        <w:t>组织对办公区域道路弯道、交叉路口、楼梯台阶、易发事故等处设置安全标识，并及时组织引导与设施维护。</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④</w:t>
      </w:r>
      <w:r>
        <w:rPr>
          <w:rFonts w:ascii="宋体" w:hAnsi="宋体" w:cs="仿宋_GB2312" w:hint="eastAsia"/>
          <w:b w:val="0"/>
          <w:color w:val="auto"/>
          <w:szCs w:val="21"/>
          <w:highlight w:val="none"/>
        </w:rPr>
        <w:t>主动引导车辆停放和维护交通秩序，加强检查巡查，及时纠正各种乱停乱放问题。</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⑤</w:t>
      </w:r>
      <w:r>
        <w:rPr>
          <w:rFonts w:ascii="宋体" w:hAnsi="宋体" w:cs="仿宋_GB2312" w:hint="eastAsia"/>
          <w:b w:val="0"/>
          <w:color w:val="auto"/>
          <w:szCs w:val="21"/>
          <w:highlight w:val="none"/>
        </w:rPr>
        <w:t>积极协助采购人做好重大活动、重大会议的公共秩序维护工作，全力保障重大活动与重大会议顺利进行。</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⑥</w:t>
      </w:r>
      <w:r>
        <w:rPr>
          <w:rFonts w:ascii="宋体" w:hAnsi="宋体" w:cs="仿宋_GB2312" w:hint="eastAsia"/>
          <w:b w:val="0"/>
          <w:color w:val="auto"/>
          <w:szCs w:val="21"/>
          <w:highlight w:val="none"/>
        </w:rPr>
        <w:t>严格执行门卫管理制度做好交接工作。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⑦</w:t>
      </w:r>
      <w:r>
        <w:rPr>
          <w:rFonts w:ascii="宋体" w:hAnsi="宋体" w:cs="仿宋_GB2312" w:hint="eastAsia"/>
          <w:b w:val="0"/>
          <w:color w:val="auto"/>
          <w:szCs w:val="21"/>
          <w:highlight w:val="none"/>
        </w:rPr>
        <w:t>中标人及其员工未经采购人允许，不得私自放行无关人员进入采购人房产（大院）或占用采购人房产及相关设施。</w:t>
      </w:r>
    </w:p>
    <w:p>
      <w:pPr>
        <w:pStyle w:val="BodyText"/>
        <w:spacing w:line="360" w:lineRule="auto"/>
        <w:ind w:firstLine="420" w:firstLineChars="200"/>
        <w:rPr>
          <w:rFonts w:ascii="宋体" w:hAnsi="宋体" w:cs="仿宋_GB2312" w:hint="eastAsia"/>
          <w:b w:val="0"/>
          <w:color w:val="auto"/>
          <w:kern w:val="0"/>
          <w:szCs w:val="21"/>
          <w:highlight w:val="none"/>
          <w:lang w:bidi="ar"/>
        </w:rPr>
      </w:pPr>
      <w:r>
        <w:rPr>
          <w:rFonts w:ascii="宋体" w:hAnsi="宋体" w:cs="仿宋_GB2312" w:hint="eastAsia"/>
          <w:b w:val="0"/>
          <w:color w:val="auto"/>
          <w:kern w:val="0"/>
          <w:szCs w:val="21"/>
          <w:highlight w:val="none"/>
          <w:lang w:bidi="ar"/>
        </w:rPr>
        <w:t>（</w:t>
      </w:r>
      <w:r>
        <w:rPr>
          <w:rFonts w:ascii="宋体" w:hAnsi="宋体" w:cs="仿宋_GB2312" w:hint="eastAsia"/>
          <w:b w:val="0"/>
          <w:color w:val="auto"/>
          <w:kern w:val="0"/>
          <w:szCs w:val="21"/>
          <w:highlight w:val="none"/>
          <w:lang w:val="en-US" w:eastAsia="zh-CN" w:bidi="ar"/>
        </w:rPr>
        <w:t>2</w:t>
      </w:r>
      <w:r>
        <w:rPr>
          <w:rFonts w:ascii="宋体" w:hAnsi="宋体" w:cs="仿宋_GB2312" w:hint="eastAsia"/>
          <w:b w:val="0"/>
          <w:color w:val="auto"/>
          <w:kern w:val="0"/>
          <w:szCs w:val="21"/>
          <w:highlight w:val="none"/>
          <w:lang w:bidi="ar"/>
        </w:rPr>
        <w:t>）消防系统维护保养。</w:t>
      </w:r>
      <w:r>
        <w:rPr>
          <w:rFonts w:ascii="宋体" w:hAnsi="宋体" w:cs="仿宋_GB2312" w:hint="eastAsia"/>
          <w:b w:val="0"/>
          <w:color w:val="auto"/>
          <w:kern w:val="0"/>
          <w:szCs w:val="21"/>
          <w:highlight w:val="none"/>
          <w:lang w:val="en-US" w:eastAsia="zh-CN" w:bidi="ar"/>
        </w:rPr>
        <w:t>对</w:t>
      </w:r>
      <w:r>
        <w:rPr>
          <w:rFonts w:ascii="宋体" w:hAnsi="宋体" w:cs="仿宋_GB2312" w:hint="eastAsia"/>
          <w:b w:val="0"/>
          <w:color w:val="auto"/>
          <w:kern w:val="0"/>
          <w:szCs w:val="21"/>
          <w:highlight w:val="none"/>
          <w:lang w:bidi="ar"/>
        </w:rPr>
        <w:t>消防系统</w:t>
      </w:r>
      <w:r>
        <w:rPr>
          <w:rFonts w:ascii="宋体" w:hAnsi="宋体" w:cs="仿宋_GB2312" w:hint="eastAsia"/>
          <w:b w:val="0"/>
          <w:color w:val="auto"/>
          <w:kern w:val="0"/>
          <w:szCs w:val="21"/>
          <w:highlight w:val="none"/>
          <w:lang w:val="en-US" w:eastAsia="zh-CN" w:bidi="ar"/>
        </w:rPr>
        <w:t>进行</w:t>
      </w:r>
      <w:r>
        <w:rPr>
          <w:rFonts w:ascii="宋体" w:hAnsi="宋体" w:cs="仿宋_GB2312" w:hint="eastAsia"/>
          <w:b w:val="0"/>
          <w:color w:val="auto"/>
          <w:kern w:val="0"/>
          <w:szCs w:val="21"/>
          <w:highlight w:val="none"/>
          <w:lang w:bidi="ar"/>
        </w:rPr>
        <w:t>巡查、维护和保养。中标人接到采购人的报修事项后要在1天内完成维修，需要更换零部件的要与采购人后勤部门联系，若由于客观原因无法在1天内完成的要向及时向采购人后勤部门报备。加强对消防栓，灭火器、消防管道、烟雾报警器等消防系统和设备的日常巡查（每月至少2次），日常养护及运行管理等，发现问题的及时向采购人报告，配合采购人进行维修、更换。</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bidi="ar"/>
        </w:rPr>
        <w:t>6.会议服务。办公楼（区）内发生的会前的物品准备、会场清洁、会场布置、会议期间的茶水供应、应急疏散、会议用品保管等，会议服务的茶叶、水杯、纸巾等材料费由采购人承担。会议服务具体要求如下：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（1）会议室及其用品管理：茶具严格清洗、消毒、保存，达到卫生安全标准，对公共区域的物品进行有效管理，定期进行清点。</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（2）根据采购人要求、场地大小、用途，明确摆放规定，做好会场和活动场地的布置。</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（3）及时做好会务服务：会前30分钟必须要做好会前准备工作，如物品准备、会场布置等；茶水间隔40分钟至少要续水一次；中间休息及时整理好座椅、桌面用品。做好会前会后的保洁工作。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（4）制定有关会议、活动突发事件的应急预案；</w:t>
      </w:r>
      <w:r>
        <w:rPr>
          <w:rFonts w:ascii="宋体" w:hAnsi="宋体" w:cs="仿宋_GB2312"/>
          <w:b w:val="0"/>
          <w:color w:val="auto"/>
          <w:szCs w:val="21"/>
          <w:highlight w:val="none"/>
        </w:rPr>
        <w:t>召开会议，物业服务人员务必提前对水、电、空调等设备的情况进行检查。</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7.餐饮服务。采购人提供厨房、餐厅、厨房设备、餐具，中标人负责按照采购人要求加工供应职工用餐﹙早、中、晚﹚、接待用餐、会议（培训）用餐以及食堂清洁卫生。食材采购由采购人负责，中标人配合验收。</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（1）职工用餐供餐时间：早餐7:00-8:00，中午12:00-13:30，晚餐18:00-19:30（菜品准点供餐率为100%，采购人可根据工作需要进行调整并提前通知中标人）。</w:t>
      </w:r>
    </w:p>
    <w:p>
      <w:pPr>
        <w:pStyle w:val="BodyText"/>
        <w:spacing w:line="360" w:lineRule="auto"/>
        <w:ind w:firstLine="420" w:firstLineChars="200"/>
        <w:rPr>
          <w:rFonts w:ascii="宋体" w:hAnsi="宋体"/>
          <w:b w:val="0"/>
          <w:color w:val="auto"/>
          <w:szCs w:val="21"/>
          <w:highlight w:val="none"/>
        </w:rPr>
      </w:pPr>
      <w:r>
        <w:rPr>
          <w:rFonts w:ascii="宋体" w:hAnsi="宋体" w:cs="仿宋_GB2312" w:hint="eastAsia"/>
          <w:b w:val="0"/>
          <w:color w:val="auto"/>
          <w:szCs w:val="21"/>
          <w:highlight w:val="none"/>
        </w:rPr>
        <w:t>接待用餐、会议（培训）用餐：中标人依据采购人提供的就餐人数、菜品、用餐标准等制定合理的方案交采购人确定，并按照采购人确定的时间供餐。</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（2）中标人按照采购人要求提供餐饮服务，包括但不限于菜肴制作、分餐、摆盘、餐具清洁、厨房清洁、餐厅清洁、财务核算、库存盘点、每日菜样留存及各项目日常管理工作。</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（3）餐饮服务人员要爱惜厨房、餐厅的各项设备，每天进行清洁，设备出现故障要及时向采购人进行报备。</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（4）餐饮服务人员要遵守食堂服务要求和食堂工作卫生标准（详见附件4：食堂服务工作要求及标准）。</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（5）严格执行《中华人民共和国食品安全法》、《餐饮服务食品安全操作规范》 及国家、行业相关最新法律法规规定，确保餐食制作的安全及卫生。中标人违反相关法律、法规规定，将依法承担行政责任或刑事责任，给采购人造成损失的，还应当依法予以赔偿。</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（6）中标人提供的厨师要严把菜肴的质量关，对不合格的食材一律拒绝签收和使用</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宋体" w:hAnsi="宋体" w:cs="仿宋_GB2312" w:hint="eastAsia"/>
          <w:color w:val="auto"/>
          <w:szCs w:val="21"/>
          <w:highlight w:val="none"/>
        </w:rPr>
        <w:t>8.应急管理。制定各类突发事件（包括但不限于出现灾害性天气、地震、突发火灾、停电停电、供水管道爆裂、突发治安或刑事事件等）的应急处置预案。发生突发事件必须第一时间启动应急处置预案，做好安全稳定及应急处置工作。市政停电时，北流市税务局局机关办公楼必须10分钟内切换到备用电源恢复供电。</w:t>
      </w:r>
    </w:p>
    <w:p>
      <w:pPr>
        <w:spacing w:line="360" w:lineRule="auto"/>
        <w:ind w:firstLine="420" w:firstLineChars="200"/>
        <w:jc w:val="left"/>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（四）物业服务目标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1.服务目标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服务目标是：为采购人工作人员创造高效、便捷、安全、卫生的办公生活环境，为来访人员创造文明、舒适、温馨的办事环境。</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服务应达到的各项指标要求，全体物业服务人员须统一着装，佩戴统一标志，仪表端庄、大方，衣着整洁，表情自然和蔼、亲切，迎送接待来访人员时，用语准确，称呼恰当，问候亲切，语气诚恳，耐心细致；使用文明用语，不使用服务忌语。达到以下指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①杜绝火灾责任事故和其他安全事故；</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②环境卫生、清洁率达99%；</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③消防设备设施完好率100%；</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④房屋、门窗完好率99%；</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⑤零星维修、维修及时率99%，返修率≤1%；</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⑥会议服务按时率100%；</w:t>
      </w:r>
    </w:p>
    <w:p>
      <w:pPr>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s="仿宋_GB2312" w:hint="eastAsia"/>
          <w:color w:val="auto"/>
          <w:szCs w:val="21"/>
          <w:highlight w:val="none"/>
        </w:rPr>
        <w:t>⑦餐饮服务按时率100%、安全卫生率100%。</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（五）服务人员及工资待遇</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1.服务团队配置需求。</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配备物业服务人员为65人</w:t>
      </w:r>
      <w:r>
        <w:rPr>
          <w:rFonts w:asciiTheme="minorEastAsia" w:eastAsiaTheme="minorEastAsia" w:hAnsiTheme="minorEastAsia" w:cs="仿宋_GB2312" w:hint="eastAsia"/>
          <w:color w:val="auto"/>
          <w:szCs w:val="21"/>
          <w:highlight w:val="none"/>
          <w:lang w:bidi="ar"/>
        </w:rPr>
        <w:t>（本项所称的“以上”、“以下”、“内”、“以内”，包括本数；所称的“不足”，不包括本数）</w:t>
      </w:r>
      <w:r>
        <w:rPr>
          <w:rFonts w:asciiTheme="minorEastAsia" w:eastAsiaTheme="minorEastAsia" w:hAnsiTheme="minorEastAsia" w:cs="仿宋_GB2312" w:hint="eastAsia"/>
          <w:color w:val="auto"/>
          <w:szCs w:val="21"/>
          <w:highlight w:val="none"/>
        </w:rPr>
        <w:t>，且必须满足服务工作需要。</w:t>
      </w:r>
    </w:p>
    <w:tbl>
      <w:tblPr>
        <w:tblStyle w:val="TableNormal"/>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7"/>
        <w:gridCol w:w="1996"/>
        <w:gridCol w:w="795"/>
        <w:gridCol w:w="1245"/>
        <w:gridCol w:w="825"/>
        <w:gridCol w:w="795"/>
        <w:gridCol w:w="851"/>
        <w:gridCol w:w="814"/>
        <w:gridCol w:w="795"/>
        <w:gridCol w:w="802"/>
      </w:tblGrid>
      <w:tr>
        <w:tblPrEx>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序号</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服务区域</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项目经理（人）</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公共秩序维护员（人）</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保洁员（人）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绿化员（人）</w:t>
            </w:r>
          </w:p>
        </w:tc>
        <w:tc>
          <w:tcPr>
            <w:tcW w:w="851"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水电工（人）</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厨师（人）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副厨（人）</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会务员（人）</w:t>
            </w: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w:t>
            </w:r>
          </w:p>
        </w:tc>
        <w:tc>
          <w:tcPr>
            <w:tcW w:w="79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6人(含小组长1人）</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5人（含小组长1人）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851"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第一税务分局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第二税务分局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民安税务分局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民乐税务分局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新圩税务分局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塘岸税务分局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753"/>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隆盛税务分局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新丰税务分局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11</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平政税务分局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白马税务分局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六靖税务分局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六地坡宿舍</w:t>
            </w:r>
          </w:p>
        </w:tc>
        <w:tc>
          <w:tcPr>
            <w:tcW w:w="79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望街岭宿舍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新街宿舍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17</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国家税务总局北流市税务局陵宁路宿舍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国家税务总局北流市税务局城东一路宿舍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国家税务总局北流市税务局局机关城东一路办公区</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20</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国家税务总局北流市税务局局西河南路机关办公区</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合计</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23</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51"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r>
    </w:tbl>
    <w:p>
      <w:pPr>
        <w:pStyle w:val="BodyText"/>
        <w:suppressAutoHyphens/>
        <w:spacing w:line="360" w:lineRule="auto"/>
        <w:ind w:firstLine="420" w:firstLineChars="200"/>
        <w:rPr>
          <w:color w:val="auto"/>
          <w:highlight w:val="none"/>
        </w:rPr>
      </w:pPr>
      <w:r>
        <w:rPr>
          <w:rFonts w:asciiTheme="minorEastAsia" w:eastAsiaTheme="minorEastAsia" w:hAnsiTheme="minorEastAsia" w:cs="仿宋_GB2312" w:hint="eastAsia"/>
          <w:bCs/>
          <w:color w:val="auto"/>
          <w:szCs w:val="21"/>
          <w:highlight w:val="none"/>
        </w:rPr>
        <w:t>（1）项目经理</w:t>
      </w:r>
      <w:r>
        <w:rPr>
          <w:rFonts w:hint="eastAsia"/>
          <w:bCs/>
          <w:color w:val="auto"/>
          <w:highlight w:val="none"/>
        </w:rPr>
        <w:t>（1人）</w:t>
      </w:r>
    </w:p>
    <w:p>
      <w:pPr>
        <w:pStyle w:val="BodyText"/>
        <w:suppressAutoHyphens/>
        <w:spacing w:line="360" w:lineRule="auto"/>
        <w:ind w:firstLine="420" w:firstLineChars="200"/>
        <w:rPr>
          <w:color w:val="auto"/>
          <w:highlight w:val="none"/>
        </w:rPr>
      </w:pPr>
      <w:r>
        <w:rPr>
          <w:rFonts w:asciiTheme="minorEastAsia" w:eastAsiaTheme="minorEastAsia" w:hAnsiTheme="minorEastAsia" w:cs="仿宋_GB2312" w:hint="eastAsia"/>
          <w:b w:val="0"/>
          <w:color w:val="auto"/>
          <w:szCs w:val="21"/>
          <w:highlight w:val="none"/>
        </w:rPr>
        <w:t>年龄40周岁以下，具有大专以上学历，具有良好的沟通能力，有耐心，好学，服务意识强，能熟练操作办公软件，有较强的组织管理能力、协调能力，具有三年项目经理任职经验。</w:t>
      </w:r>
    </w:p>
    <w:p>
      <w:pPr>
        <w:widowControl/>
        <w:suppressAutoHyphens/>
        <w:spacing w:line="360" w:lineRule="auto"/>
        <w:ind w:left="420" w:leftChars="200"/>
        <w:jc w:val="left"/>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（2）公共秩序维护人员（16人）</w:t>
      </w:r>
    </w:p>
    <w:p>
      <w:pPr>
        <w:widowControl/>
        <w:suppressAutoHyphens/>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bCs/>
          <w:color w:val="auto"/>
          <w:szCs w:val="21"/>
          <w:highlight w:val="none"/>
          <w:lang w:val="zh-CN"/>
        </w:rPr>
        <w:t>公共秩序维护员</w:t>
      </w:r>
      <w:r>
        <w:rPr>
          <w:rFonts w:asciiTheme="minorEastAsia" w:eastAsiaTheme="minorEastAsia" w:hAnsiTheme="minorEastAsia" w:cs="仿宋_GB2312" w:hint="eastAsia"/>
          <w:b/>
          <w:bCs/>
          <w:color w:val="auto"/>
          <w:szCs w:val="21"/>
          <w:highlight w:val="none"/>
        </w:rPr>
        <w:t>小组长（1人）</w:t>
      </w:r>
      <w:r>
        <w:rPr>
          <w:rFonts w:asciiTheme="minorEastAsia" w:eastAsiaTheme="minorEastAsia" w:hAnsiTheme="minorEastAsia" w:cs="仿宋_GB2312" w:hint="eastAsia"/>
          <w:color w:val="auto"/>
          <w:szCs w:val="21"/>
          <w:highlight w:val="none"/>
        </w:rPr>
        <w:t>：男性，年龄45周岁以下，具有高中以上学历，有较强的组织协调能力</w:t>
      </w:r>
      <w:r>
        <w:rPr>
          <w:rFonts w:asciiTheme="minorEastAsia" w:eastAsiaTheme="minorEastAsia" w:hAnsiTheme="minorEastAsia" w:cs="仿宋_GB2312" w:hint="eastAsia"/>
          <w:color w:val="auto"/>
          <w:szCs w:val="21"/>
          <w:highlight w:val="none"/>
          <w:lang w:val="en-US" w:eastAsia="zh-CN"/>
        </w:rPr>
        <w:t>和消防系统维护能力</w:t>
      </w:r>
      <w:r>
        <w:rPr>
          <w:rFonts w:asciiTheme="minorEastAsia" w:eastAsiaTheme="minorEastAsia" w:hAnsiTheme="minorEastAsia" w:cs="仿宋_GB2312" w:hint="eastAsia"/>
          <w:color w:val="auto"/>
          <w:szCs w:val="21"/>
          <w:highlight w:val="none"/>
        </w:rPr>
        <w:t>，</w:t>
      </w:r>
      <w:r>
        <w:rPr>
          <w:rFonts w:asciiTheme="minorEastAsia" w:eastAsiaTheme="minorEastAsia" w:hAnsiTheme="minorEastAsia" w:cs="仿宋_GB2312" w:hint="eastAsia"/>
          <w:color w:val="auto"/>
          <w:szCs w:val="21"/>
          <w:highlight w:val="none"/>
          <w:lang w:val="zh-CN"/>
        </w:rPr>
        <w:t>具有两年相关工作经验，</w:t>
      </w:r>
      <w:r>
        <w:rPr>
          <w:rFonts w:hint="eastAsia"/>
          <w:color w:val="auto"/>
          <w:highlight w:val="none"/>
          <w:lang w:eastAsia="zh-CN"/>
        </w:rPr>
        <w:t>具</w:t>
      </w:r>
      <w:r>
        <w:rPr>
          <w:rFonts w:hint="eastAsia"/>
          <w:color w:val="auto"/>
          <w:highlight w:val="none"/>
          <w:lang w:val="en-US" w:eastAsia="zh-CN"/>
        </w:rPr>
        <w:t>有</w:t>
      </w:r>
      <w:r>
        <w:rPr>
          <w:rFonts w:ascii="宋体" w:eastAsia="宋体" w:hAnsi="宋体" w:cs="宋体" w:hint="eastAsia"/>
          <w:color w:val="auto"/>
          <w:szCs w:val="21"/>
          <w:highlight w:val="none"/>
          <w:lang w:val="zh-CN"/>
        </w:rPr>
        <w:t>建（构）筑物消防员证书或消防设施操作员证书</w:t>
      </w:r>
      <w:r>
        <w:rPr>
          <w:rFonts w:ascii="宋体" w:hAnsi="宋体" w:cs="宋体" w:hint="eastAsia"/>
          <w:color w:val="auto"/>
          <w:szCs w:val="21"/>
          <w:highlight w:val="none"/>
          <w:lang w:val="zh-CN"/>
        </w:rPr>
        <w:t>，</w:t>
      </w:r>
      <w:r>
        <w:rPr>
          <w:rFonts w:asciiTheme="minorEastAsia" w:eastAsiaTheme="minorEastAsia" w:hAnsiTheme="minorEastAsia" w:cs="仿宋_GB2312" w:hint="eastAsia"/>
          <w:color w:val="auto"/>
          <w:szCs w:val="21"/>
          <w:highlight w:val="none"/>
        </w:rPr>
        <w:t>持保安员证优先。</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bCs/>
          <w:color w:val="auto"/>
          <w:szCs w:val="21"/>
          <w:highlight w:val="none"/>
        </w:rPr>
        <w:t>公共秩序维护员（除小组长外）（15人）</w:t>
      </w:r>
      <w:r>
        <w:rPr>
          <w:rFonts w:asciiTheme="minorEastAsia" w:eastAsiaTheme="minorEastAsia" w:hAnsiTheme="minorEastAsia" w:cs="仿宋_GB2312" w:hint="eastAsia"/>
          <w:color w:val="auto"/>
          <w:szCs w:val="21"/>
          <w:highlight w:val="none"/>
        </w:rPr>
        <w:t>：男性，年龄52周岁以下,身体健康，能吃苦耐劳，有良好的服务意识，纪律性与责任心强，</w:t>
      </w:r>
      <w:r>
        <w:rPr>
          <w:rFonts w:asciiTheme="minorEastAsia" w:eastAsiaTheme="minorEastAsia" w:hAnsiTheme="minorEastAsia" w:cs="仿宋_GB2312" w:hint="eastAsia"/>
          <w:color w:val="auto"/>
          <w:szCs w:val="21"/>
          <w:highlight w:val="none"/>
          <w:lang w:val="zh-CN"/>
        </w:rPr>
        <w:t>具有一年相关工作经验，</w:t>
      </w:r>
      <w:r>
        <w:rPr>
          <w:rFonts w:asciiTheme="minorEastAsia" w:eastAsiaTheme="minorEastAsia" w:hAnsiTheme="minorEastAsia" w:cs="仿宋_GB2312" w:hint="eastAsia"/>
          <w:color w:val="auto"/>
          <w:szCs w:val="21"/>
          <w:highlight w:val="none"/>
        </w:rPr>
        <w:t>持保安员证优先。</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（3）保洁人员（23人）</w:t>
      </w:r>
    </w:p>
    <w:p>
      <w:pPr>
        <w:pStyle w:val="BodyText"/>
        <w:spacing w:line="360" w:lineRule="auto"/>
        <w:ind w:firstLine="420" w:firstLineChars="200"/>
        <w:rPr>
          <w:rFonts w:asciiTheme="minorEastAsia" w:eastAsiaTheme="minorEastAsia" w:hAnsiTheme="minorEastAsia"/>
          <w:b w:val="0"/>
          <w:color w:val="auto"/>
          <w:szCs w:val="21"/>
          <w:highlight w:val="none"/>
        </w:rPr>
      </w:pPr>
      <w:r>
        <w:rPr>
          <w:rFonts w:asciiTheme="minorEastAsia" w:eastAsiaTheme="minorEastAsia" w:hAnsiTheme="minorEastAsia" w:cs="仿宋_GB2312" w:hint="eastAsia"/>
          <w:bCs/>
          <w:color w:val="auto"/>
          <w:szCs w:val="21"/>
          <w:highlight w:val="none"/>
        </w:rPr>
        <w:t>保洁员小组长（1人）</w:t>
      </w:r>
      <w:r>
        <w:rPr>
          <w:rFonts w:asciiTheme="minorEastAsia" w:eastAsiaTheme="minorEastAsia" w:hAnsiTheme="minorEastAsia" w:cs="仿宋_GB2312" w:hint="eastAsia"/>
          <w:b w:val="0"/>
          <w:color w:val="auto"/>
          <w:szCs w:val="21"/>
          <w:highlight w:val="none"/>
        </w:rPr>
        <w:t>：女性，年龄 53周岁以下，具有高中以上学历，有较强的组织协调能力，有</w:t>
      </w:r>
      <w:r>
        <w:rPr>
          <w:rFonts w:asciiTheme="minorEastAsia" w:eastAsiaTheme="minorEastAsia" w:hAnsiTheme="minorEastAsia" w:cs="仿宋_GB2312" w:hint="eastAsia"/>
          <w:b w:val="0"/>
          <w:color w:val="auto"/>
          <w:szCs w:val="21"/>
          <w:highlight w:val="none"/>
          <w:lang w:eastAsia="zh-CN"/>
        </w:rPr>
        <w:t>两</w:t>
      </w:r>
      <w:r>
        <w:rPr>
          <w:rFonts w:asciiTheme="minorEastAsia" w:eastAsiaTheme="minorEastAsia" w:hAnsiTheme="minorEastAsia" w:cs="仿宋_GB2312" w:hint="eastAsia"/>
          <w:b w:val="0"/>
          <w:color w:val="auto"/>
          <w:szCs w:val="21"/>
          <w:highlight w:val="none"/>
        </w:rPr>
        <w:t>年相关工作经验。</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Cs/>
          <w:color w:val="auto"/>
          <w:szCs w:val="21"/>
          <w:highlight w:val="none"/>
        </w:rPr>
        <w:t>保洁员（除小组长外）（22人）：</w:t>
      </w:r>
      <w:r>
        <w:rPr>
          <w:rFonts w:asciiTheme="minorEastAsia" w:eastAsiaTheme="minorEastAsia" w:hAnsiTheme="minorEastAsia" w:cs="仿宋_GB2312" w:hint="eastAsia"/>
          <w:b w:val="0"/>
          <w:color w:val="auto"/>
          <w:szCs w:val="21"/>
          <w:highlight w:val="none"/>
        </w:rPr>
        <w:t>女性，年龄50周岁以下，身体健康，能吃苦耐劳，有良好的服务意识，纪律性与责任心强，有</w:t>
      </w:r>
      <w:r>
        <w:rPr>
          <w:rFonts w:asciiTheme="minorEastAsia" w:eastAsiaTheme="minorEastAsia" w:hAnsiTheme="minorEastAsia" w:cs="仿宋_GB2312" w:hint="eastAsia"/>
          <w:b w:val="0"/>
          <w:color w:val="auto"/>
          <w:szCs w:val="21"/>
          <w:highlight w:val="none"/>
          <w:lang w:eastAsia="zh-CN"/>
        </w:rPr>
        <w:t>一年</w:t>
      </w:r>
      <w:r>
        <w:rPr>
          <w:rFonts w:asciiTheme="minorEastAsia" w:eastAsiaTheme="minorEastAsia" w:hAnsiTheme="minorEastAsia" w:cs="仿宋_GB2312" w:hint="eastAsia"/>
          <w:b w:val="0"/>
          <w:color w:val="auto"/>
          <w:szCs w:val="21"/>
          <w:highlight w:val="none"/>
        </w:rPr>
        <w:t>相关工作经验。</w:t>
      </w:r>
    </w:p>
    <w:p>
      <w:pPr>
        <w:spacing w:line="360" w:lineRule="auto"/>
        <w:ind w:firstLine="420" w:firstLineChars="200"/>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（4）绿化员（2人）</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年龄50周岁以下，身体健康，有一定绿植养护知识，懂得操作多种绿化工具，有相关工作经验优先。</w:t>
      </w:r>
    </w:p>
    <w:p>
      <w:pPr>
        <w:spacing w:line="360" w:lineRule="auto"/>
        <w:ind w:firstLine="420" w:firstLineChars="200"/>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（5）水电工（2人）</w:t>
      </w:r>
    </w:p>
    <w:p>
      <w:pPr>
        <w:spacing w:line="360" w:lineRule="auto"/>
        <w:ind w:firstLine="420" w:firstLineChars="200"/>
        <w:rPr>
          <w:color w:val="auto"/>
          <w:highlight w:val="none"/>
        </w:rPr>
      </w:pPr>
      <w:r>
        <w:rPr>
          <w:rFonts w:asciiTheme="minorEastAsia" w:eastAsiaTheme="minorEastAsia" w:hAnsiTheme="minorEastAsia" w:cs="仿宋_GB2312" w:hint="eastAsia"/>
          <w:color w:val="auto"/>
          <w:szCs w:val="21"/>
          <w:highlight w:val="none"/>
        </w:rPr>
        <w:t>年龄50周岁以下，身体健康，能吃苦耐劳，有良好的服务意识，纪律性与责任心强。具有两年相关工作经验，具有有效的《特种作业操作证》（操作项目：低压电工作业）。</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（6）厨师（12人）</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年龄55周岁以下，具有三年厨师工作经验，身体健康，能吃苦耐劳，有良好的服务意识，纪律性与责任心强，应具有健康证</w:t>
      </w:r>
      <w:r>
        <w:rPr>
          <w:rFonts w:asciiTheme="minorEastAsia" w:eastAsiaTheme="minorEastAsia" w:hAnsiTheme="minorEastAsia" w:hint="eastAsia"/>
          <w:b w:val="0"/>
          <w:color w:val="auto"/>
          <w:szCs w:val="21"/>
          <w:highlight w:val="none"/>
        </w:rPr>
        <w:t>。</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（7）副厨（8人）</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年龄50周岁以下，能辅助厨师做好食品加工，有良好的服务意识，纪律性和责任心强，具有健康证，有两年相关工作经验。</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（8）会务员（1人）</w:t>
      </w:r>
    </w:p>
    <w:p>
      <w:pPr>
        <w:spacing w:line="360" w:lineRule="auto"/>
        <w:ind w:firstLine="420" w:firstLineChars="200"/>
        <w:rPr>
          <w:color w:val="auto"/>
          <w:highlight w:val="none"/>
        </w:rPr>
      </w:pPr>
      <w:r>
        <w:rPr>
          <w:rFonts w:asciiTheme="minorEastAsia" w:eastAsiaTheme="minorEastAsia" w:hAnsiTheme="minorEastAsia" w:cs="仿宋_GB2312" w:hint="eastAsia"/>
          <w:color w:val="auto"/>
          <w:szCs w:val="21"/>
          <w:highlight w:val="none"/>
        </w:rPr>
        <w:t>女性，年龄40周岁以下，具有高中以上学历，具有健康证。</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2.中标人应按国家规定为物业服务人员购买养老保险、医疗保险、失业保险、工伤保险、生育保险。</w:t>
      </w:r>
    </w:p>
    <w:p>
      <w:pPr>
        <w:pStyle w:val="BodyText"/>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val="0"/>
          <w:color w:val="auto"/>
          <w:szCs w:val="21"/>
          <w:highlight w:val="none"/>
        </w:rPr>
        <w:t>3.物业服务人数不足要求且10个工作日内不及时补充的，采购人有权在相应月份扣减5000元/人的物业服务费（扣减金额=所缺人数*5000元）。</w:t>
      </w:r>
    </w:p>
    <w:p>
      <w:pPr>
        <w:spacing w:line="360" w:lineRule="auto"/>
        <w:ind w:firstLine="420" w:firstLineChars="200"/>
        <w:rPr>
          <w:rFonts w:asciiTheme="minorEastAsia" w:eastAsiaTheme="minorEastAsia" w:hAnsiTheme="minorEastAsia" w:cs="楷体_GB2312"/>
          <w:b/>
          <w:color w:val="auto"/>
          <w:szCs w:val="21"/>
          <w:highlight w:val="none"/>
        </w:rPr>
      </w:pPr>
      <w:r>
        <w:rPr>
          <w:rFonts w:asciiTheme="minorEastAsia" w:eastAsiaTheme="minorEastAsia" w:hAnsiTheme="minorEastAsia" w:cs="楷体_GB2312" w:hint="eastAsia"/>
          <w:b/>
          <w:color w:val="auto"/>
          <w:szCs w:val="21"/>
          <w:highlight w:val="none"/>
        </w:rPr>
        <w:t>（六）物业服务考核办法</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（本办法所称的“以上”、“以下”、“内”、“以内”，包括本数；所称的“不足”，不包括本数）</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1.采购人采取每月定期（详见附件1：</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物业服务月度考核评分表</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及不定期（详见附件2：物业服务日常工作考核评分表）方式对中标人进行考核。中标人派人参加考核，发现问题，当场告知。中标人根据考核存在的问题和不足，查找原因，提出整改意见（整改意见于5个工作日内）通报采购人，并及时作出整改。考核结果双方签字确认。</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采购人每月最末一个工作日对本月物业服务进行定期考核，总分为95分以上的，不扣所属月份的物业服务费用；总分为90分以上不足95分的，扣所属月份应付物业服务费的1%（取整到元）；总分为85分以上不足90分的，扣所属月份应付物业服务费的2%（取整到元）；总分不足85分为不合格，扣所属月份应付物业服务费的5%（取整到元）；累计三次总分为不合格的，或由于中标人责任，在合同履行期间发生安全责任事故造成人员或财产损失的，采购人有权单方面解除合同，并不退还履约保证金。</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3.采购人对中标人的服务质量不定期抽查，检查记录经双方签字确认后保存在采购人处。采购人有权根据检查结果，按物业</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服务日常工作考核评分表</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（详见附件2）对中标人实施扣款，并通知中标人限期整改。</w:t>
      </w:r>
    </w:p>
    <w:p>
      <w:pPr>
        <w:spacing w:line="360" w:lineRule="auto"/>
        <w:jc w:val="left"/>
        <w:rPr>
          <w:rFonts w:asciiTheme="minorEastAsia" w:eastAsiaTheme="minorEastAsia" w:hAnsiTheme="minorEastAsia" w:cs="黑体"/>
          <w:color w:val="auto"/>
          <w:szCs w:val="21"/>
          <w:highlight w:val="none"/>
        </w:rPr>
      </w:pPr>
    </w:p>
    <w:p>
      <w:pPr>
        <w:spacing w:line="360" w:lineRule="auto"/>
        <w:ind w:firstLine="420" w:firstLineChars="200"/>
        <w:jc w:val="left"/>
        <w:rPr>
          <w:rFonts w:asciiTheme="minorEastAsia" w:eastAsiaTheme="minorEastAsia" w:hAnsiTheme="minorEastAsia" w:cs="仿宋_GB2312"/>
          <w:b/>
          <w:bCs/>
          <w:color w:val="auto"/>
          <w:szCs w:val="21"/>
          <w:highlight w:val="none"/>
        </w:rPr>
      </w:pPr>
      <w:r>
        <w:rPr>
          <w:rFonts w:asciiTheme="minorEastAsia" w:eastAsiaTheme="minorEastAsia" w:hAnsiTheme="minorEastAsia" w:cs="黑体" w:hint="eastAsia"/>
          <w:b/>
          <w:color w:val="auto"/>
          <w:szCs w:val="21"/>
          <w:highlight w:val="none"/>
        </w:rPr>
        <w:t>三、商务要求</w:t>
      </w:r>
    </w:p>
    <w:p>
      <w:pPr>
        <w:pStyle w:val="PlainText"/>
        <w:spacing w:line="360" w:lineRule="auto"/>
        <w:ind w:firstLine="420" w:firstLineChars="200"/>
        <w:rPr>
          <w:rFonts w:asciiTheme="minorEastAsia" w:eastAsiaTheme="minorEastAsia" w:hAnsiTheme="minorEastAsia" w:cs="仿宋_GB2312"/>
          <w:color w:val="auto"/>
          <w:highlight w:val="none"/>
        </w:rPr>
      </w:pPr>
      <w:r>
        <w:rPr>
          <w:rFonts w:asciiTheme="minorEastAsia" w:eastAsiaTheme="minorEastAsia" w:hAnsiTheme="minorEastAsia" w:cs="楷体_GB2312" w:hint="eastAsia"/>
          <w:b/>
          <w:color w:val="auto"/>
          <w:highlight w:val="none"/>
        </w:rPr>
        <w:t>★（一）服务地点：</w:t>
      </w:r>
      <w:r>
        <w:rPr>
          <w:rFonts w:asciiTheme="minorEastAsia" w:eastAsiaTheme="minorEastAsia" w:hAnsiTheme="minorEastAsia" w:cs="仿宋_GB2312" w:hint="eastAsia"/>
          <w:color w:val="auto"/>
          <w:highlight w:val="none"/>
        </w:rPr>
        <w:t>采购人指定的物业服务范围（广西壮族自治区北流市内）。</w:t>
      </w:r>
    </w:p>
    <w:p>
      <w:pPr>
        <w:spacing w:line="360" w:lineRule="auto"/>
        <w:ind w:firstLine="420" w:firstLineChars="200"/>
        <w:rPr>
          <w:rFonts w:asciiTheme="minorEastAsia" w:eastAsiaTheme="minorEastAsia" w:hAnsiTheme="minorEastAsia" w:cs="楷体_GB2312"/>
          <w:color w:val="auto"/>
          <w:szCs w:val="21"/>
          <w:highlight w:val="none"/>
        </w:rPr>
      </w:pPr>
      <w:r>
        <w:rPr>
          <w:rFonts w:asciiTheme="minorEastAsia" w:eastAsiaTheme="minorEastAsia" w:hAnsiTheme="minorEastAsia" w:cs="楷体_GB2312" w:hint="eastAsia"/>
          <w:b/>
          <w:color w:val="auto"/>
          <w:szCs w:val="21"/>
          <w:highlight w:val="none"/>
        </w:rPr>
        <w:t>★（二）服务期限：</w:t>
      </w:r>
      <w:r>
        <w:rPr>
          <w:rFonts w:asciiTheme="minorEastAsia" w:eastAsiaTheme="minorEastAsia" w:hAnsiTheme="minorEastAsia" w:cs="楷体_GB2312" w:hint="eastAsia"/>
          <w:color w:val="auto"/>
          <w:szCs w:val="21"/>
          <w:highlight w:val="none"/>
        </w:rPr>
        <w:t>2年。</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★（三）服务费支付方式及时间：</w:t>
      </w:r>
    </w:p>
    <w:p>
      <w:pPr>
        <w:spacing w:line="360" w:lineRule="auto"/>
        <w:ind w:firstLine="420" w:firstLineChars="200"/>
        <w:rPr>
          <w:rFonts w:asciiTheme="minorEastAsia" w:eastAsiaTheme="minorEastAsia" w:hAnsiTheme="minorEastAsia" w:cs="仿宋_GB2312" w:hint="eastAsia"/>
          <w:color w:val="auto"/>
          <w:szCs w:val="21"/>
          <w:highlight w:val="none"/>
        </w:rPr>
      </w:pPr>
      <w:r>
        <w:rPr>
          <w:rFonts w:asciiTheme="minorEastAsia" w:eastAsiaTheme="minorEastAsia" w:hAnsiTheme="minorEastAsia" w:cs="仿宋_GB2312" w:hint="eastAsia"/>
          <w:color w:val="auto"/>
          <w:szCs w:val="21"/>
          <w:highlight w:val="none"/>
        </w:rPr>
        <w:t>1.采购人采取先服务再付款、按月考核结算的方式。每月最末一个工作日，采购人根据《物业服务月度考核评分表》、《物业服务日常工作考核评分表》（如有）及合同罚责条款对中标人本月服务进行考核，考核结果经双方确认无异议后，采购人按考核结果对合同服务费进行汇总扣款后支付剩余款项。即：月度服务费=年度合同总金额/24-月度考核汇总扣款。</w:t>
      </w:r>
    </w:p>
    <w:p>
      <w:pPr>
        <w:spacing w:line="360" w:lineRule="auto"/>
        <w:ind w:firstLine="420" w:firstLineChars="200"/>
        <w:rPr>
          <w:rFonts w:asciiTheme="minorEastAsia" w:eastAsiaTheme="minorEastAsia" w:hAnsiTheme="minorEastAsia" w:cs="仿宋_GB2312" w:hint="eastAsia"/>
          <w:color w:val="auto"/>
          <w:szCs w:val="21"/>
          <w:highlight w:val="none"/>
        </w:rPr>
      </w:pPr>
      <w:r>
        <w:rPr>
          <w:rFonts w:asciiTheme="minorEastAsia" w:eastAsiaTheme="minorEastAsia" w:hAnsiTheme="minorEastAsia" w:cs="仿宋_GB2312" w:hint="eastAsia"/>
          <w:color w:val="auto"/>
          <w:szCs w:val="21"/>
          <w:highlight w:val="none"/>
        </w:rPr>
        <w:t>2.采购人付款前，中标人应向采购人开具等额有效的增值税发票，采购人收到发票后10个工作日内将相应款项支付到合同约定的中标人账户。采购人未收到发票的，有权不予支付直至中标人提供合格发票，并不承担延迟付款责任；但中标人应按合同约定继续履行服务义务，确保采购人工作正常运转；当发生此等情况时，中标人有义务自行先向所派员工支付各种相关费用。</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（四）物业服务费用：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1.以下费用由物业服务公司负担</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（1）人员工资（含社保、福利）；</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（2）清洁卫生费（含清洁用的器具、用品及消耗品，前文条款提到的由采购人负责的除外）；</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（3）绿化管理费（</w:t>
      </w:r>
      <w:r>
        <w:rPr>
          <w:rFonts w:asciiTheme="minorEastAsia" w:eastAsiaTheme="minorEastAsia" w:hAnsiTheme="minorEastAsia" w:cs="仿宋_GB2312" w:hint="eastAsia"/>
          <w:color w:val="auto"/>
          <w:szCs w:val="21"/>
          <w:highlight w:val="none"/>
          <w:lang w:val="en"/>
        </w:rPr>
        <w:t>除</w:t>
      </w:r>
      <w:r>
        <w:rPr>
          <w:rFonts w:asciiTheme="minorEastAsia" w:eastAsiaTheme="minorEastAsia" w:hAnsiTheme="minorEastAsia" w:cs="仿宋_GB2312" w:hint="eastAsia"/>
          <w:color w:val="auto"/>
          <w:szCs w:val="21"/>
          <w:highlight w:val="none"/>
          <w:lang w:bidi="ar"/>
        </w:rPr>
        <w:t>各类高大植株</w:t>
      </w:r>
      <w:r>
        <w:rPr>
          <w:rFonts w:asciiTheme="minorEastAsia" w:eastAsiaTheme="minorEastAsia" w:hAnsiTheme="minorEastAsia" w:cs="仿宋_GB2312" w:hint="eastAsia"/>
          <w:color w:val="auto"/>
          <w:szCs w:val="21"/>
          <w:highlight w:val="none"/>
        </w:rPr>
        <w:t>绿化</w:t>
      </w:r>
      <w:r>
        <w:rPr>
          <w:rFonts w:asciiTheme="minorEastAsia" w:eastAsiaTheme="minorEastAsia" w:hAnsiTheme="minorEastAsia" w:cs="仿宋_GB2312" w:hint="eastAsia"/>
          <w:color w:val="auto"/>
          <w:szCs w:val="21"/>
          <w:highlight w:val="none"/>
          <w:lang w:bidi="ar"/>
        </w:rPr>
        <w:t>整形修剪</w:t>
      </w:r>
      <w:r>
        <w:rPr>
          <w:rFonts w:asciiTheme="minorEastAsia" w:eastAsiaTheme="minorEastAsia" w:hAnsiTheme="minorEastAsia" w:cs="仿宋_GB2312" w:hint="eastAsia"/>
          <w:color w:val="auto"/>
          <w:szCs w:val="21"/>
          <w:highlight w:val="none"/>
        </w:rPr>
        <w:t>所产生的费用外）；</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（4）日常行政办公及后勤管理费（含人员制服费）；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（5）与本项目直接有关的固定资产折旧费；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（6）合理利润；</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（7）法定税费；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（8）不可预见费用（含其他应由物业服务公司负担的费用）；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（9）其它费用。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2.以下费用不需要中标人承担和支付：</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（1）办公楼（区）及食堂内保洁服务使用的洗手液、卫生纸、清洁剂等不需中标人负责。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（2）办公楼（区）内会议服务使用的茶叶、水杯、纸巾等材料不需中标人负责。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（3）化粪池清掏、灭虫除害等所产生的费用不需中标人负责。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（4）供电系统、供水排水系统、房屋维修用到的零配件材料费不需中标人负责。</w:t>
      </w:r>
    </w:p>
    <w:p>
      <w:pPr>
        <w:spacing w:line="360" w:lineRule="auto"/>
        <w:ind w:firstLine="420" w:firstLineChars="200"/>
        <w:rPr>
          <w:rFonts w:asciiTheme="minorEastAsia" w:eastAsiaTheme="minorEastAsia" w:hAnsiTheme="minorEastAsia" w:cs="仿宋_GB2312"/>
          <w:color w:val="auto"/>
          <w:szCs w:val="21"/>
          <w:highlight w:val="none"/>
        </w:rPr>
      </w:pP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仿宋_GB2312" w:hint="eastAsia"/>
          <w:b/>
          <w:color w:val="auto"/>
          <w:szCs w:val="21"/>
          <w:highlight w:val="none"/>
        </w:rPr>
        <w:t>四、其他事项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（一）本项目专门面向小微企业采购。</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投标人建立相关的标准化管理体系、创建绿色企业、提供绿色物业管理服务、切实保护企业从业人员的职业健康、职业安全等合法权益，采用标准化的管理方式为采购人提供优质的物业管理服务，同时确保对采购人、社会更负责任。</w:t>
      </w: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附件1：</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物业服务月度考核评分表</w:t>
      </w:r>
    </w:p>
    <w:p>
      <w:pPr>
        <w:spacing w:line="360" w:lineRule="auto"/>
        <w:rPr>
          <w:color w:val="auto"/>
          <w:highlight w:val="none"/>
        </w:rPr>
      </w:pPr>
      <w:r>
        <w:rPr>
          <w:rFonts w:hint="eastAsia"/>
          <w:color w:val="auto"/>
          <w:highlight w:val="none"/>
        </w:rPr>
        <w:t>（如中标人投标承诺的考核评分表优于本表，合同履约时将结合中标人投标承诺的考核评分表及采购人制订的考核评分表进行履约考核。）</w:t>
      </w:r>
    </w:p>
    <w:p>
      <w:pPr>
        <w:spacing w:line="360" w:lineRule="auto"/>
        <w:jc w:val="righ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   月   日</w:t>
      </w:r>
    </w:p>
    <w:tbl>
      <w:tblPr>
        <w:tblStyle w:val="TableNormal"/>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8"/>
        <w:gridCol w:w="3969"/>
        <w:gridCol w:w="583"/>
        <w:gridCol w:w="3303"/>
        <w:gridCol w:w="632"/>
      </w:tblGrid>
      <w:tr>
        <w:tblPrEx>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37"/>
          <w:jc w:val="center"/>
        </w:trPr>
        <w:tc>
          <w:tcPr>
            <w:tcW w:w="568"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396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标准内容</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分值</w:t>
            </w:r>
          </w:p>
        </w:tc>
        <w:tc>
          <w:tcPr>
            <w:tcW w:w="330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考核细则</w:t>
            </w:r>
          </w:p>
        </w:tc>
        <w:tc>
          <w:tcPr>
            <w:tcW w:w="632"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得分</w:t>
            </w: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综合服务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员工着装规范，佩戴明显标志，工作规范、作风严谨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着装及标志一次不符合扣0.3分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物业档案资料齐全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档案资料不齐全一项扣0.6分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报刊、杂志分送及时</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报刊、杂志分送不及时一次扣0.2分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建立投诉渠道，定期向采购人征求意见，并及时反馈</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未建立投诉渠道扣1分，未及时向采购人反馈一次扣0.2分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房屋及公共设备设施维护保养</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按照要求定期对房屋、供电系统、供水系统、消防系统进行巡查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未按要求定期进行巡查的，一次扣0.2分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1145"/>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发现故障、隐患，接到报修后1天内完成维修，因客观原因无法完成的，及时向采购人相关部门报备；接到停水停电通知均需及时向采购人相关部门报备</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未及时报备的，一次扣0.2分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应急发电机可随时启用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90"/>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零星维修、维修及时率</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仿宋_GB2312" w:hint="eastAsia"/>
                <w:color w:val="auto"/>
                <w:szCs w:val="21"/>
                <w:highlight w:val="none"/>
              </w:rPr>
              <w:t>99%，返修率≤1%</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及时率符合2分，不符合0分；返修率符合1分，不符合0分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水电工拥有2年以上相关工作经验，具有有效的《特种作业操作证》（操作项目：低压电工作业）</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保洁服务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按照保洁作业频率和质量标准完成日常保洁工作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未按作业频率和质量标准完成日常保洁工作，一次扣0.2分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接到服务范围的临时保洁任务，需在5分钟内响应</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未及时响应的，一次扣0.2分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房屋共用部位保持清洁，无乱贴、乱画，无擅自占用和堆放杂物现象；楼梯扶栏、天台、共用玻璃窗等保持洁净；共用场地和绿地无纸屑、烟头、积水等废弃物</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不符合要求的，一次扣0.2分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垃圾日产日清，定期进行卫生灭杀</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每发现一处垃圾扣0.1分，未达到垃圾日产日清的扣0.3分，未定期进行卫生消毒灭杀扣0.3分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项目经理按要求进行巡视检查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未按要求落实的，一次扣0.1分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四</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绿化服务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绿地无改变使用用途和破坏、践踏、占用现象</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符合1分，基本符合0.5分，不符合0分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花草树木长势良好，修剪整齐美观，无病虫害，无折损现象，无斑秃</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长势不好扣1分，其它每发现一处不符合扣0.1分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根据季节、花期变化进行修剪、施肥，确保园林美观。</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符合2分，基本符合1分，不符合0分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五</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公共秩序维护服务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有专业公共秩序维护队伍，公共秩序维护人员熟悉工作区的环境，文明执勤，训练有素，言语规范，认真负责</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符合2分，基本符合1分，不符合0分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实行24小时值班</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值班记录不规范每处扣0.1分，发现人员缺岗每次扣0.5分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落实巡逻制度，进行安全检查、隐患排查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巡逻记录不规范每次扣0.1分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对外来人员和物品的出入进行管理，落实检查、验证、登记制度</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未按要求设登记本扣1分；未按要求落实出入管理每次扣0.1分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车辆进出有序，按指定位置、朝向停放</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每发现一处不符合扣0.2分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六</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会议服务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按照采购人要求布置会场，包括桌椅摆放、屏风摆放、台牌摆放、宣传品宣传栏摆放等</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未按要求落实每次扣0.2分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会前会后对会场进行清洁，地面桌面抽屉均无垃圾、灰尘</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会务员持有健康证</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会前准备好茶水，会中每间隔40分钟续一次茶水</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茶具严格清洗、消杀、保存，达到卫生安全标准，茶叶密封保存、按需领用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七</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按照采购人点餐情况及时制作，按时提供餐食</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餐饮服务人员持有健康证且在有效期内</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少一个扣1分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提供的食品安全、卫生，没有食品安全事件发生</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出现食品安全事故，扣5分；出现食品卫生问题，按严重程度扣0.5—5分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分餐时确保每份餐食的份量质量，圆桌用餐时提前摆放好餐具，提供上菜服务</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做好厨房、餐厅、各类设备、餐具的清洁工作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工作期间患有痢疾、伤寒、活动性肺结核、化脓性皮肤病等疾病而未停止工作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每发现一个扣1分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餐饮器具使用前必须洗净消毒，消毒后及时放入保洁柜待用，保持干净、无油腻、无积水，并保存相关消毒记录。</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八</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应急管理</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按要求制定各类突发事件应急预案</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无应急预案或应急预按明显不完整或不可行，扣1分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发生突发事件5分钟内向采购人报告，配合做好安全稳定、应急处置工作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符合3分，不符合0分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bl>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考核人：                被考核人：</w:t>
      </w: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附件2：</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物业服务日常工作考核评分表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53"/>
        <w:gridCol w:w="2970"/>
        <w:gridCol w:w="55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653"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考核检查内容</w:t>
            </w:r>
          </w:p>
        </w:tc>
        <w:tc>
          <w:tcPr>
            <w:tcW w:w="2970"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扣款额度</w:t>
            </w:r>
          </w:p>
        </w:tc>
        <w:tc>
          <w:tcPr>
            <w:tcW w:w="552"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备注</w:t>
            </w:r>
          </w:p>
        </w:tc>
      </w:tr>
      <w:tr>
        <w:tblPrEx>
          <w:tblW w:w="0" w:type="auto"/>
          <w:jc w:val="center"/>
          <w:tblLayout w:type="fixed"/>
          <w:tblCellMar>
            <w:top w:w="0" w:type="dxa"/>
            <w:left w:w="108" w:type="dxa"/>
            <w:bottom w:w="0" w:type="dxa"/>
            <w:right w:w="108" w:type="dxa"/>
          </w:tblCellMar>
        </w:tblPrEx>
        <w:trPr>
          <w:cantSplit/>
          <w:trHeight w:val="599"/>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发生重大失责行为，造成严重后果者。</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每次扣款10000元。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物业服务人员服务态度端正，佩戴明显标志（工作牌），穿工服，讲文明礼貌用语、服从和接受采购人的管理和检查。</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公共秩序维护人员务必坚守岗位严禁脱岗，值班（上班）时间喝酒睡觉、擅离岗位者</w:t>
            </w:r>
            <w:r>
              <w:rPr>
                <w:rFonts w:asciiTheme="minorEastAsia" w:eastAsiaTheme="minorEastAsia" w:hAnsiTheme="minorEastAsia" w:hint="eastAsia"/>
                <w:snapToGrid w:val="0"/>
                <w:color w:val="auto"/>
                <w:kern w:val="0"/>
                <w:szCs w:val="21"/>
                <w:highlight w:val="none"/>
              </w:rPr>
              <w:t>。</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维护公共秩序时不准嬉笑打闹，不准看书、看报或进行其他与值班无关的事。</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公共秩序维护区域出现打架、斗殴、寻衅滋事的事件发生；出现盗窃和人为破坏行为。</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每发现一次扣款500元。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消防设备、器材和消防安全标志是否在位，状态是否良好，发现破损应及时维修更换。</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安全通道无违规占用、无杂物堆放等现象。</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10"/>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闲杂人员进入大楼，院内车辆乱停乱放，不及时制止者。</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建筑物内公共楼道、步行梯、电梯间、卫生间、大堂、门厅、会议室保洁及时、无死角。</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84"/>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大楼外观完好、整洁，外墙、路面、绿地、散水坡、停车场、水池、楼梯入口台阶保洁及时、无死角。</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90"/>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垃圾箱等环卫设备内部垃圾及时清理，外表无污迹，垃圾箱周围无散落垃圾，污迹。</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雨、污水管井的井底无沉淀物，水流畅通；井盖上无污物，盖板无污迹。</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地面地漏完好无堵塞，无大面积积水，明沟、暗沟排水畅通，无垃圾，无溢流现象。沟盖板安装牢固、平稳。</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98"/>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垃圾中转站、收集箱垃圾不能溢出，周围无散落垃圾，无明显污物。有效控制蝇、蚊等害虫孳生。</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绿化带、草坪、灌木定期浇水、修剪、养护、施肥，所有绿化长势良好，整齐美观，无病害、无斑秃无人为损坏。</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值班室保持清洁、卫生、通风、照明良好。</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设备机房（特指监控室和配电室，不包含信息中心机房）内整洁，无烟头无乱堆现象，保持机身洁净、仪表清晰，设备、阀门、管道工作正常、无跑冒滴漏。</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16"/>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维修保养不及时造成设备故障问题者。</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每次扣款500元。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90"/>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接到采购人报修，未能及时维修和报备的。</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366"/>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态度蛮横、与采购人员工或来访人员争吵、发生冲突。</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每次扣款1000元以上。</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28"/>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发生有效投诉。</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每次扣款200元以上。</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40"/>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对所分配的工作处理不及时、不到位或置之不理者。</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每次扣款200元。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40"/>
          <w:jc w:val="center"/>
        </w:trPr>
        <w:tc>
          <w:tcPr>
            <w:tcW w:w="5653" w:type="dxa"/>
            <w:vAlign w:val="center"/>
          </w:tcPr>
          <w:p>
            <w:pPr>
              <w:pStyle w:val="BodyText"/>
              <w:spacing w:line="360" w:lineRule="auto"/>
              <w:rPr>
                <w:rFonts w:asciiTheme="minorEastAsia" w:eastAsiaTheme="minorEastAsia" w:hAnsiTheme="minorEastAsia" w:cs="仿宋_GB2312"/>
                <w:b w:val="0"/>
                <w:snapToGrid w:val="0"/>
                <w:color w:val="auto"/>
                <w:kern w:val="0"/>
                <w:szCs w:val="21"/>
                <w:highlight w:val="none"/>
              </w:rPr>
            </w:pPr>
            <w:r>
              <w:rPr>
                <w:rFonts w:asciiTheme="minorEastAsia" w:eastAsiaTheme="minorEastAsia" w:hAnsiTheme="minorEastAsia" w:cs="仿宋_GB2312" w:hint="eastAsia"/>
                <w:b w:val="0"/>
                <w:snapToGrid w:val="0"/>
                <w:color w:val="auto"/>
                <w:kern w:val="0"/>
                <w:szCs w:val="21"/>
                <w:highlight w:val="none"/>
              </w:rPr>
              <w:t>物业服务人数不足要求且10个工作日内不及时补充的</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每缺一人扣款5000元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bl>
    <w:p>
      <w:pPr>
        <w:spacing w:line="360" w:lineRule="auto"/>
        <w:rPr>
          <w:rFonts w:asciiTheme="minorEastAsia" w:eastAsiaTheme="minorEastAsia" w:hAnsiTheme="minorEastAsia" w:cs="仿宋_GB2312"/>
          <w:color w:val="auto"/>
          <w:szCs w:val="21"/>
          <w:highlight w:val="none"/>
        </w:rPr>
      </w:pP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附件3：</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保洁作业频率和质量标准</w:t>
      </w:r>
    </w:p>
    <w:tbl>
      <w:tblPr>
        <w:tblStyle w:val="TableNormal"/>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40"/>
        <w:gridCol w:w="2520"/>
        <w:gridCol w:w="3464"/>
        <w:gridCol w:w="2836"/>
      </w:tblGrid>
      <w:tr>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252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清洁项目</w:t>
            </w:r>
          </w:p>
        </w:tc>
        <w:tc>
          <w:tcPr>
            <w:tcW w:w="3464"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作业频率</w:t>
            </w:r>
          </w:p>
        </w:tc>
        <w:tc>
          <w:tcPr>
            <w:tcW w:w="2836"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质量标准</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公共地面（走廊、楼梯地面）</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每天至少两次，上午7：30至8：30，下午4：00至5：00清理，全天保洁</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保持清洁、无纸屑痰渍</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办公楼走廊的挡雨墙、玻璃窗</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挡雨墙墙面每天清洁一次，玻璃窗每周擦一次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保持清洁，无尘无污渍，整齐明洁</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办公楼、附属楼、食堂、大门两侧走廊天面</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每周至少清扫尘及蜘蛛网一次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办公楼公共卫生间</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每天至少清洁两次、每周至少消毒一次，每天清洁服务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保持清洁无尘无纸屑烟头等杂物</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楼梯扶手、护栏</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每天两次擦拭</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辖区公共道路</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每天7：30至9：00清扫一次，全天保洁</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无明显杂物、保持整条道路清洁</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消防栓及相关的消防器材</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每周进行保洁一次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绿化地及长椅</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无烟头等杂物，保持整治</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车库地面、天面</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附属楼楼顶绿化</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保持清洁、摆放整齐</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11</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食堂</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每次供餐后清洁一次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保持整洁、消毒</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12</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办公室桌面、地面</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保持清洁、摆放整齐</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13</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办公楼（区）内的空闲周转住房及周转住房公共部分</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每周至少清扫地面，及墙体的蜘蛛网两次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14</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职工活动室</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每天至少清扫一次地面，擦拭一次职工活动室器材</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15</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展厅</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16</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会议室</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有会议时每次会前会后各清扫一次地面，擦拭一次会议桌椅；没有会议时每周清扫擦拭一次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bl>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附件4：</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食堂服务工作要求及标准</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一、食堂服务要求</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73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155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工作内容</w:t>
            </w:r>
          </w:p>
        </w:tc>
        <w:tc>
          <w:tcPr>
            <w:tcW w:w="73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一、安全管理</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1、须认真执行</w:t>
            </w:r>
            <w:r>
              <w:rPr>
                <w:rFonts w:asciiTheme="minorEastAsia" w:eastAsiaTheme="minorEastAsia" w:hAnsiTheme="minorEastAsia" w:cs="宋体" w:hint="eastAsia"/>
                <w:color w:val="auto"/>
                <w:kern w:val="0"/>
                <w:szCs w:val="21"/>
                <w:highlight w:val="none"/>
              </w:rPr>
              <w:t>《中华人民共和国食品安全法》</w:t>
            </w:r>
            <w:r>
              <w:rPr>
                <w:rFonts w:asciiTheme="minorEastAsia" w:eastAsiaTheme="minorEastAsia" w:hAnsiTheme="minorEastAsia" w:cs="仿宋_GB2312" w:hint="eastAsia"/>
                <w:color w:val="auto"/>
                <w:szCs w:val="21"/>
                <w:highlight w:val="none"/>
              </w:rPr>
              <w:t>，并结合食堂的具体情况，建立健全卫生制度，使卫生工作经常化，确保疾病传染和食物中毒事件零发生。食堂内厨、仓库不许存放任何有毒性药品。严防食品和药物混串造成食物中毒事件发生。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2、做好防火、防盗、防毒和防破坏工作，确保安全事故零发生。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3、须建立严格的消防安全制度，落实各项消防安全管理措施，确保火灾事故零发生。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4、食堂用火用电设备有专人管理负责。炉灶旁不准堆放杂物和易燃易爆物品。</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5、遵守安全法规，设备安全管理到位，做好安全教育及劳动保护工作。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二、健全各项规章制度</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1、食品卫生管理制度；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2、食堂环境卫生管理制度；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3、工作人员健康检查制度；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4、工作人员服务守则；</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5、工作人员岗位工作标准；</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三、环境及用具卫生</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1、保持餐厅地面清洁，窗户明亮，桌椅干净，天花板、墙壁无积尘、无蛛网。</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2、及时清理餐桌残留物，保持清洁，无油腻。</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3、冷冻设备无灰尘，无蜘蛛网，无油迹，生菜和熟菜分别存放。</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4、按照卫生标准，对锅、碗、瓢、盆、案板、菜刀、餐具等实行一洗、二刷、三冲、四消毒。</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5、保持货架、抽风系统、箱柜的整洁干净，洗物池做到无污、无苔。</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6、厨房、碗柜内物品摆放整齐，餐具密闭存放。</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7、消毒柜、餐具回收要及时清洗，餐具消毒才能给用餐人员使用。</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8、做好防鼠、防蟑、防蝇等防护措施。</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四、食品卫生</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1、认真执行国家有关食品卫生法的规定，严把采购关，使用绿色食品，严防食源性疾患的发生。做好食品安全管理，杜绝食品中毒事件发生。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2、蔬菜要先拣后洗，保证菜肴无虫子、沙子、头发、杂物等。</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3、肉菜按规定程序清洗干净。</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4、每日制作的饭菜及下班后剩饭菜，必须随时清理和处理。</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5、熟食要加盖加罩，做好防尘防蝇工作。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五、食堂员工卫生守则、服务质量</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1、食堂员工每年进行一次健康检查，无健康证不准上岗。</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2、服务人员必须着整洁工作服，接触入口食品要戴口罩及一次性手套。</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3、食堂员工要勤洗手、勤剪指甲，患有感冒等传染性疾病要主动报告，患病员工不直接接触食品的岗位工作。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4、食堂员工要遵守职业道德，做到礼貌待人，热情服务，文明用语。</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六、饭菜质量及份量</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1、一日三餐按时开餐，保证饭菜供应。</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2、菜肴花色品种要定期翻新并公布，做到色香俱全饭菜质量好，得到大多数职工认可。</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3、米饭软硬适中，不得有夹生或隔天剩饭剩菜。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4、饭菜份量合理，质好量足。</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5、接待、会议、培训就餐的其体品种由采购人按次确定并交中标人实施。</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七、水电管理</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1、下班时必须关闭各用水用电设备。杜绝长明灯、长流水的现象。</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2、使用拖把清理清扫，严禁长开水龙头冲洗地面和水沟。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3、食堂的空调、音响、电视设备仅在就餐时使用，其余时间一律关闭。</w:t>
            </w:r>
          </w:p>
        </w:tc>
      </w:tr>
    </w:tbl>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仿宋_GB2312" w:hint="eastAsia"/>
          <w:color w:val="auto"/>
          <w:szCs w:val="21"/>
          <w:highlight w:val="none"/>
        </w:rPr>
        <w:t>二、食堂工作卫生标准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1"/>
        <w:gridCol w:w="8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805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工作卫生标准</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切实落实食品安全“五四”制；</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制定并落实食品制度;</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禁止领用、加工以下食品：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⑴腐败变质、油脂酸败、霉变、生虫、污秽不洁、混有异物或者其他感官性状异常，含有毒有害物质或者被有毒、有害物质污染，可能对人体健康有害的食品；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⑵未经检疫或者检疫不合格的肉类及其制品；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⑶超过保质期限或不符合食品标签规定的定型包装食品；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⑷其他不符合食品安全标准和要求的食品、添加剂等。</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储存食品及器具放置须符合相关卫生规定，要有防水、防潮、防蝇、防鼠、防霉、防蛀等措施。</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生熟食品存放的冰箱要分开，加工生熟食品的器具要分开，不可混用。</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食品加工、供应：</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(1)各种原料加工做到一摘、二洗、三清、四切配。</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(2)必须做到烧熟烧透，需要熟制加工的大块食品，其中心温度不低于70度,食品不得接触有毒物、不洁物。</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加工烹调食品必须使用添加剂时，要在使用前看清其产品标签和说明书，标签模糊不清的或来源不明的添加剂不得使用；食品添加剂的使用必须符合《食品添加剂使用标准》或卫生部公告名单规定的品种及其使用范围、使用量，不得凭经验随意扩大使用范围和使用量。</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(4)食品在烹调后至供应前一般不超过2个小时，若超过2个小时存放的，应当在高于60度或低于10度的条件下存放。剩余食品不得再次供应。</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环境卫生。食堂应当保持内外环境整洁，采取有效措施，消除老鼠、蟑螂、苍蝇和其他有害昆虫及其孳生条件。</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(1)就餐场所确保工完场清，四壁无尘，窗明几净，室内保持通风。</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(2)地面无污水，无菜头和饭菜等杂物。下水道疏通无堵塞，垃圾桶（袋）加盖（扎口）、确保每餐必清。</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(3)操作间锅台无污秽物，瓷砖无污痕，炊具卫生。</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(4)餐厅桌凳摆放整齐，桌面清洁无油腻，地面干爽无积水，供应台、水池、天花板、空调、灯具等保持清洁。</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餐饮器具清洗消毒保洁：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(1)餐饮器具使用后应及时洗净，定位存放，保持清洁。消毒后的餐饮器具应贮存在专用保洁设施内备用，保洁设施应有明显标记。餐饮器具保洁设施应当定期清洗，保持洁净。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(2)餐饮器具使用前应按以下规定洗净并消毒。</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①清洗方法（采用手工方法清洗的应按以下步骤进行）：</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一刮。刮掉沾在餐饮具表面上的大部分食物残渣、污垢；</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二洗。用含洗涤剂溶液洗净餐饮具表面；</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三过水。用清水冲去残留的洗涤剂。</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②消毒方法：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首选热力消毒。包括蒸汽、煮沸、红外线等热力消毒方法。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煮沸、蒸汽、高温消毒保持100度、保持10分钟以上；</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红外线消毒一般控制温度120度、保持10分钟以上；</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应严格按消毒设备所指示的时间消毒，定期检查并记录，保证消毒效果。</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③保洁方法：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消毒后的餐饮具要自然滤干或烘干，不应使用手巾、餐巾擦干，以避免受到再次污染。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消毒后的餐饮具应及时放入专用密闭式餐饮具保洁柜（间）保存，避免再次受到污染。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应定期检查消毒设备、设施是否处于良好状态。采用化学消毒的应定时测量有效消毒浓度。</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不得重复使用一次性餐饮具。</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保洁设施的内外应洁净、干爽，保洁设施内不得存放其他物品。已消毒和未消毒的餐饮器具应分开存放。</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餐具摆台超过当次就餐时间尚未使用的应收回保洁。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盛放调味料的容器应定期清洗消毒。</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个人卫生：</w:t>
            </w:r>
          </w:p>
          <w:p>
            <w:pPr>
              <w:numPr>
                <w:ilvl w:val="0"/>
                <w:numId w:val="5"/>
              </w:numPr>
              <w:suppressAutoHyphens/>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在服务期间，服务人员应规范操作，餐饮服务人员必须持健康证上岗，每年至少进行一次健康检查，必要时接受临时检查；无痢疾、伤寒、 活动性肺结核、化脓性皮肤病等疾病，无传染疾病,健康证由中标人自行安排员工在正规卫生监督部门体检并领取健康证明,在合同签订后30日内向采购人提交所有餐饮服务人员的健康证；如有员工发生变化,中标人应及时向采购人提交新员工的健康证。合同期内人员健康证必须保持有效。</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（2）凡患有痢疾、伤寒、病毒性肝炎等消化道疾病（包括病原携带者），活动性肺结核，化脓性或者渗出性皮肤病以及其他有碍食品安全的疾病的，不得上岗。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（3）在出现咳嗽、腹泻、发热、呕吐等有碍于食品安全的病症时，应立即脱离工作岗位，待查明病因、排除有碍食品安全的病症或治愈后，方可重新上岗。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（4）必须掌握本岗位的食品安全技术要求，养成良好的卫生习惯，严格遵守卫生操作规程。</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（5）坚持科学的洗手习惯：操作前、便后以及从事与食品无关的其他活动后应洗手；洗手应先用消毒液消毒，后用流动水冲洗。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（6）不得留长指甲、涂指甲油、戴戒指。不得在食品加工场所或销售场所内吸烟、吃东西、随地吐痰，不得穿工作服入厕。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（7）加工销售食品时，不挖鼻孔、掏耳朵，不喝酒，不吃零食；直接接触入口食品时应戴口罩和一次性手套，不得用手直接接触食品和器皿。</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（8）个人卫生做到“四勤”：勤洗手、剪指甲（指甲长度以不超过手指头为标准）；勤洗澡、理发；勤洗衣服、被褥；勤换工作服。</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（9）不得面对食品打喷嚏、咳嗽及做其他影响食品安全的行为，不得直接抓取直接入口食品或用勺直接尝味。</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（10）要注意个人卫生及形象，养成良好的卫生习惯，穿戴整洁的工作衣帽，头发梳理整齐置于帽内。</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（11）必须认真执行各项卫生管理制度。</w:t>
            </w:r>
          </w:p>
        </w:tc>
      </w:tr>
    </w:tbl>
    <w:p>
      <w:pPr>
        <w:spacing w:line="360" w:lineRule="auto"/>
        <w:rPr>
          <w:rFonts w:asciiTheme="minorEastAsia" w:eastAsiaTheme="minorEastAsia" w:hAnsiTheme="minorEastAsia"/>
          <w:color w:val="auto"/>
          <w:szCs w:val="21"/>
          <w:highlight w:val="none"/>
        </w:rPr>
      </w:pPr>
    </w:p>
    <w:sectPr>
      <w:pgSz w:w="11906" w:h="16838"/>
      <w:pgMar w:top="1418" w:right="1418" w:bottom="1418" w:left="1418" w:header="851" w:footer="992" w:gutter="0"/>
      <w:cols w:num="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w:altName w:val="DejaVu Serif"/>
    <w:panose1 w:val="02040604050505020304"/>
    <w:charset w:val="00"/>
    <w:family w:val="roman"/>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64C000" w:usb3="00000002" w:csb0="00000001" w:csb1="40000000"/>
  </w:font>
  <w:font w:name="MS Mincho">
    <w:altName w:val="宋体"/>
    <w:panose1 w:val="02020609040205080304"/>
    <w:charset w:val="80"/>
    <w:family w:val="modern"/>
    <w:pitch w:val="default"/>
    <w:sig w:usb0="00000000" w:usb1="00000000" w:usb2="00000012" w:usb3="00000000" w:csb0="4002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p/>
  <w:p/>
  <w:p/>
  <w:p/>
  <w:p/>
  <w:p/>
  <w:p/>
  <w:p/>
  <w:p/>
  <w:p/>
  <w:p/>
  <w:p/>
  <w:p/>
  <w:p/>
  <w:p/>
  <w:p/>
  <w:p/>
  <w:p/>
  <w:p/>
  <w:p/>
  <w:p/>
  <w:p/>
  <w:p/>
  <w:p/>
  <w:p/>
  <w:p/>
  <w:p/>
  <w:p/>
  <w:p/>
  <w:p/>
  <w:p/>
  <w:p/>
  <w:p/>
  <w:p/>
  <w:p/>
  <w:p/>
  <w:p/>
  <w:p/>
  <w:p/>
  <w:p/>
  <w:p/>
  <w:p/>
  <w:p/>
  <w:p/>
  <w:p/>
  <w:p/>
  <w:p/>
  <w:p/>
  <w:p/>
  <w:p/>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2676339"/>
      <w:richText/>
    </w:sdtPr>
    <w:sdtContent>
      <w:p>
        <w:pPr>
          <w:pStyle w:val="Footer"/>
          <w:jc w:val="center"/>
        </w:pPr>
        <w:r>
          <w:fldChar w:fldCharType="begin"/>
        </w:r>
        <w:r>
          <w:instrText>PAGE   \* MERGEFORMAT</w:instrText>
        </w:r>
        <w:r>
          <w:fldChar w:fldCharType="separate"/>
        </w:r>
        <w:r>
          <w:rPr>
            <w:lang w:val="zh-CN"/>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3745676"/>
      <w:richText/>
    </w:sdtPr>
    <w:sdtContent>
      <w:p>
        <w:pPr>
          <w:pStyle w:val="Footer"/>
          <w:jc w:val="center"/>
        </w:pPr>
        <w:r>
          <w:fldChar w:fldCharType="begin"/>
        </w:r>
        <w:r>
          <w:instrText>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DCA569A"/>
    <w:multiLevelType w:val="singleLevel"/>
    <w:tmpl w:val="CDCA569A"/>
    <w:lvl w:ilvl="0">
      <w:start w:val="1"/>
      <w:numFmt w:val="decimal"/>
      <w:pStyle w:val="ListNumber3"/>
      <w:lvlText w:val="%1."/>
      <w:lvlJc w:val="left"/>
      <w:pPr>
        <w:tabs>
          <w:tab w:val="left" w:pos="780"/>
        </w:tabs>
        <w:ind w:left="780" w:hanging="360"/>
      </w:pPr>
    </w:lvl>
  </w:abstractNum>
  <w:abstractNum w:abstractNumId="1">
    <w:nsid w:val="FFFFFF7F"/>
    <w:multiLevelType w:val="singleLevel"/>
    <w:tmpl w:val="FFFFFF7F"/>
    <w:lvl w:ilvl="0">
      <w:start w:val="1"/>
      <w:numFmt w:val="decimal"/>
      <w:pStyle w:val="ListNumber2"/>
      <w:lvlText w:val="%1."/>
      <w:lvlJc w:val="left"/>
      <w:pPr>
        <w:tabs>
          <w:tab w:val="left" w:pos="780"/>
        </w:tabs>
        <w:ind w:left="780" w:hanging="360" w:leftChars="200" w:hangingChars="200"/>
      </w:pPr>
    </w:lvl>
  </w:abstractNum>
  <w:abstractNum w:abstractNumId="2">
    <w:nsid w:val="1ACA1F33"/>
    <w:multiLevelType w:val="singleLevel"/>
    <w:tmpl w:val="1ACA1F33"/>
    <w:lvl w:ilvl="0">
      <w:start w:val="1"/>
      <w:numFmt w:val="decimal"/>
      <w:suff w:val="nothing"/>
      <w:lvlText w:val="（%1）"/>
      <w:lvlJc w:val="left"/>
    </w:lvl>
  </w:abstractNum>
  <w:abstractNum w:abstractNumId="3">
    <w:nsid w:val="1B9FC4CD"/>
    <w:multiLevelType w:val="singleLevel"/>
    <w:tmpl w:val="1B9FC4CD"/>
    <w:lvl w:ilvl="0">
      <w:start w:val="6"/>
      <w:numFmt w:val="chineseCounting"/>
      <w:suff w:val="space"/>
      <w:lvlText w:val="第%1章"/>
      <w:lvlJc w:val="left"/>
      <w:rPr>
        <w:rFonts w:hint="eastAsia"/>
      </w:rPr>
    </w:lvl>
  </w:abstractNum>
  <w:abstractNum w:abstractNumId="4">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B3C83"/>
    <w:rsid w:val="EDF5E61C"/>
    <w:rsid w:val="00007694"/>
    <w:rsid w:val="0001058B"/>
    <w:rsid w:val="00012F66"/>
    <w:rsid w:val="00022195"/>
    <w:rsid w:val="000225EA"/>
    <w:rsid w:val="000300C3"/>
    <w:rsid w:val="0003022F"/>
    <w:rsid w:val="00041549"/>
    <w:rsid w:val="00047122"/>
    <w:rsid w:val="0005085F"/>
    <w:rsid w:val="000532EF"/>
    <w:rsid w:val="000535CF"/>
    <w:rsid w:val="000538A7"/>
    <w:rsid w:val="00053EE6"/>
    <w:rsid w:val="0005472C"/>
    <w:rsid w:val="0005698D"/>
    <w:rsid w:val="00062061"/>
    <w:rsid w:val="000703E8"/>
    <w:rsid w:val="00072B80"/>
    <w:rsid w:val="0007306E"/>
    <w:rsid w:val="000747FF"/>
    <w:rsid w:val="0008207A"/>
    <w:rsid w:val="00084AB1"/>
    <w:rsid w:val="00093F98"/>
    <w:rsid w:val="00097DD8"/>
    <w:rsid w:val="000A3315"/>
    <w:rsid w:val="000A42AB"/>
    <w:rsid w:val="000A4733"/>
    <w:rsid w:val="000A5F2D"/>
    <w:rsid w:val="000A7ADF"/>
    <w:rsid w:val="000B587A"/>
    <w:rsid w:val="000C0500"/>
    <w:rsid w:val="000C0FEA"/>
    <w:rsid w:val="000C76C3"/>
    <w:rsid w:val="000D001F"/>
    <w:rsid w:val="000E48C9"/>
    <w:rsid w:val="000F34B8"/>
    <w:rsid w:val="0010223D"/>
    <w:rsid w:val="00105309"/>
    <w:rsid w:val="001135E5"/>
    <w:rsid w:val="00117EDD"/>
    <w:rsid w:val="00122816"/>
    <w:rsid w:val="00124D48"/>
    <w:rsid w:val="00125D8B"/>
    <w:rsid w:val="00133AE1"/>
    <w:rsid w:val="001402A6"/>
    <w:rsid w:val="0014384A"/>
    <w:rsid w:val="0015123A"/>
    <w:rsid w:val="0016122D"/>
    <w:rsid w:val="00162D21"/>
    <w:rsid w:val="00171C7F"/>
    <w:rsid w:val="00176267"/>
    <w:rsid w:val="0018195E"/>
    <w:rsid w:val="0018298A"/>
    <w:rsid w:val="001839FD"/>
    <w:rsid w:val="00183B8A"/>
    <w:rsid w:val="0018502B"/>
    <w:rsid w:val="001864FE"/>
    <w:rsid w:val="0018693F"/>
    <w:rsid w:val="00192BB6"/>
    <w:rsid w:val="0019410D"/>
    <w:rsid w:val="00196217"/>
    <w:rsid w:val="00197491"/>
    <w:rsid w:val="001A065A"/>
    <w:rsid w:val="001A229C"/>
    <w:rsid w:val="001B40EB"/>
    <w:rsid w:val="001B5AAF"/>
    <w:rsid w:val="001C134E"/>
    <w:rsid w:val="001C78E1"/>
    <w:rsid w:val="001D409F"/>
    <w:rsid w:val="001D6E9E"/>
    <w:rsid w:val="001E08AF"/>
    <w:rsid w:val="001F1C00"/>
    <w:rsid w:val="00200520"/>
    <w:rsid w:val="002046E1"/>
    <w:rsid w:val="002054F6"/>
    <w:rsid w:val="00210CA7"/>
    <w:rsid w:val="00222DC9"/>
    <w:rsid w:val="00231A01"/>
    <w:rsid w:val="00231EBC"/>
    <w:rsid w:val="00233529"/>
    <w:rsid w:val="00234079"/>
    <w:rsid w:val="00237183"/>
    <w:rsid w:val="00237346"/>
    <w:rsid w:val="002460D0"/>
    <w:rsid w:val="002515B7"/>
    <w:rsid w:val="00252605"/>
    <w:rsid w:val="0025269B"/>
    <w:rsid w:val="00252A84"/>
    <w:rsid w:val="00252C06"/>
    <w:rsid w:val="002535C5"/>
    <w:rsid w:val="002545C9"/>
    <w:rsid w:val="00256FFD"/>
    <w:rsid w:val="00257BD7"/>
    <w:rsid w:val="00261609"/>
    <w:rsid w:val="00270D8B"/>
    <w:rsid w:val="002717DB"/>
    <w:rsid w:val="002717FE"/>
    <w:rsid w:val="00281433"/>
    <w:rsid w:val="00281CF2"/>
    <w:rsid w:val="00284581"/>
    <w:rsid w:val="002905DE"/>
    <w:rsid w:val="0029130E"/>
    <w:rsid w:val="002976BA"/>
    <w:rsid w:val="002B407C"/>
    <w:rsid w:val="002B5A25"/>
    <w:rsid w:val="002C202B"/>
    <w:rsid w:val="002C73BE"/>
    <w:rsid w:val="002C7827"/>
    <w:rsid w:val="002D3558"/>
    <w:rsid w:val="002D3853"/>
    <w:rsid w:val="002D4C5C"/>
    <w:rsid w:val="002E04AE"/>
    <w:rsid w:val="002E64CD"/>
    <w:rsid w:val="002E7A1D"/>
    <w:rsid w:val="002F0553"/>
    <w:rsid w:val="00305FE1"/>
    <w:rsid w:val="003114F0"/>
    <w:rsid w:val="00322E79"/>
    <w:rsid w:val="00323A45"/>
    <w:rsid w:val="00326E3C"/>
    <w:rsid w:val="00332D0D"/>
    <w:rsid w:val="0034274F"/>
    <w:rsid w:val="00351243"/>
    <w:rsid w:val="0035254D"/>
    <w:rsid w:val="00356DC1"/>
    <w:rsid w:val="00362692"/>
    <w:rsid w:val="00363CF6"/>
    <w:rsid w:val="00364DE4"/>
    <w:rsid w:val="003769BE"/>
    <w:rsid w:val="003827D1"/>
    <w:rsid w:val="00386F27"/>
    <w:rsid w:val="00387528"/>
    <w:rsid w:val="003903DD"/>
    <w:rsid w:val="003923FD"/>
    <w:rsid w:val="00393B2A"/>
    <w:rsid w:val="00394900"/>
    <w:rsid w:val="003A49F2"/>
    <w:rsid w:val="003A6319"/>
    <w:rsid w:val="003A6EDA"/>
    <w:rsid w:val="003A6F82"/>
    <w:rsid w:val="003B66D0"/>
    <w:rsid w:val="003C175A"/>
    <w:rsid w:val="003C4C53"/>
    <w:rsid w:val="003C51A4"/>
    <w:rsid w:val="003C69A6"/>
    <w:rsid w:val="003C6B9E"/>
    <w:rsid w:val="003D1D20"/>
    <w:rsid w:val="003D2CE7"/>
    <w:rsid w:val="003D5D42"/>
    <w:rsid w:val="003D68EF"/>
    <w:rsid w:val="003E634F"/>
    <w:rsid w:val="003F0891"/>
    <w:rsid w:val="003F4983"/>
    <w:rsid w:val="003F7679"/>
    <w:rsid w:val="00402EBA"/>
    <w:rsid w:val="00406718"/>
    <w:rsid w:val="00406FE9"/>
    <w:rsid w:val="0040742E"/>
    <w:rsid w:val="004146CE"/>
    <w:rsid w:val="00422E0C"/>
    <w:rsid w:val="00422E4D"/>
    <w:rsid w:val="00424AF5"/>
    <w:rsid w:val="00436EB5"/>
    <w:rsid w:val="00441430"/>
    <w:rsid w:val="004440AE"/>
    <w:rsid w:val="00444C62"/>
    <w:rsid w:val="00445A46"/>
    <w:rsid w:val="004472F7"/>
    <w:rsid w:val="00454E6B"/>
    <w:rsid w:val="0045594D"/>
    <w:rsid w:val="004616E1"/>
    <w:rsid w:val="00467A87"/>
    <w:rsid w:val="0047319D"/>
    <w:rsid w:val="004735C5"/>
    <w:rsid w:val="00474095"/>
    <w:rsid w:val="00485217"/>
    <w:rsid w:val="004860A2"/>
    <w:rsid w:val="00491A0B"/>
    <w:rsid w:val="00491DAC"/>
    <w:rsid w:val="004958A4"/>
    <w:rsid w:val="0049663A"/>
    <w:rsid w:val="004C0418"/>
    <w:rsid w:val="004C115B"/>
    <w:rsid w:val="004C2BDB"/>
    <w:rsid w:val="004D4700"/>
    <w:rsid w:val="004E1FDA"/>
    <w:rsid w:val="004E3B74"/>
    <w:rsid w:val="004E4E4B"/>
    <w:rsid w:val="00500022"/>
    <w:rsid w:val="005045BD"/>
    <w:rsid w:val="00513DB9"/>
    <w:rsid w:val="00514614"/>
    <w:rsid w:val="00514A53"/>
    <w:rsid w:val="00523093"/>
    <w:rsid w:val="00523A1F"/>
    <w:rsid w:val="00531E71"/>
    <w:rsid w:val="005348BB"/>
    <w:rsid w:val="0054437B"/>
    <w:rsid w:val="00550211"/>
    <w:rsid w:val="00557075"/>
    <w:rsid w:val="00557D34"/>
    <w:rsid w:val="00564D29"/>
    <w:rsid w:val="00565278"/>
    <w:rsid w:val="005654FB"/>
    <w:rsid w:val="00567BAB"/>
    <w:rsid w:val="005720A4"/>
    <w:rsid w:val="00575403"/>
    <w:rsid w:val="00575F8D"/>
    <w:rsid w:val="005763E4"/>
    <w:rsid w:val="005823F1"/>
    <w:rsid w:val="00583467"/>
    <w:rsid w:val="00587A9A"/>
    <w:rsid w:val="005916E3"/>
    <w:rsid w:val="00593234"/>
    <w:rsid w:val="00593E89"/>
    <w:rsid w:val="005972FE"/>
    <w:rsid w:val="005B1042"/>
    <w:rsid w:val="005B6582"/>
    <w:rsid w:val="005B7D4F"/>
    <w:rsid w:val="005C691F"/>
    <w:rsid w:val="005D053D"/>
    <w:rsid w:val="005D4367"/>
    <w:rsid w:val="005D6064"/>
    <w:rsid w:val="005E0843"/>
    <w:rsid w:val="005E262A"/>
    <w:rsid w:val="005E27D6"/>
    <w:rsid w:val="005F044A"/>
    <w:rsid w:val="005F2E79"/>
    <w:rsid w:val="006113E4"/>
    <w:rsid w:val="00612EFB"/>
    <w:rsid w:val="006170BE"/>
    <w:rsid w:val="00620F5B"/>
    <w:rsid w:val="00623558"/>
    <w:rsid w:val="0062597C"/>
    <w:rsid w:val="00626C33"/>
    <w:rsid w:val="00630DF3"/>
    <w:rsid w:val="006346E7"/>
    <w:rsid w:val="006346F0"/>
    <w:rsid w:val="00640D17"/>
    <w:rsid w:val="006416DE"/>
    <w:rsid w:val="006429AC"/>
    <w:rsid w:val="00646D07"/>
    <w:rsid w:val="006564F8"/>
    <w:rsid w:val="00660FEA"/>
    <w:rsid w:val="00666498"/>
    <w:rsid w:val="00671BE6"/>
    <w:rsid w:val="006727B7"/>
    <w:rsid w:val="006746DE"/>
    <w:rsid w:val="00680D71"/>
    <w:rsid w:val="00684602"/>
    <w:rsid w:val="00684A82"/>
    <w:rsid w:val="006939F6"/>
    <w:rsid w:val="00696128"/>
    <w:rsid w:val="00697A43"/>
    <w:rsid w:val="006A0F86"/>
    <w:rsid w:val="006B5F6B"/>
    <w:rsid w:val="006B664E"/>
    <w:rsid w:val="006C0657"/>
    <w:rsid w:val="006C5C00"/>
    <w:rsid w:val="006F3A37"/>
    <w:rsid w:val="006F3CB3"/>
    <w:rsid w:val="006F3EB2"/>
    <w:rsid w:val="00702833"/>
    <w:rsid w:val="00715B98"/>
    <w:rsid w:val="00723E0A"/>
    <w:rsid w:val="00731FE9"/>
    <w:rsid w:val="00732D21"/>
    <w:rsid w:val="00734D67"/>
    <w:rsid w:val="00736759"/>
    <w:rsid w:val="007473DE"/>
    <w:rsid w:val="00747B33"/>
    <w:rsid w:val="00752833"/>
    <w:rsid w:val="007532F7"/>
    <w:rsid w:val="00756F39"/>
    <w:rsid w:val="0076280D"/>
    <w:rsid w:val="00775C30"/>
    <w:rsid w:val="00781120"/>
    <w:rsid w:val="0078160C"/>
    <w:rsid w:val="00783015"/>
    <w:rsid w:val="00797477"/>
    <w:rsid w:val="007976C8"/>
    <w:rsid w:val="007A135B"/>
    <w:rsid w:val="007A2CF7"/>
    <w:rsid w:val="007A316B"/>
    <w:rsid w:val="007A5F5C"/>
    <w:rsid w:val="007A721D"/>
    <w:rsid w:val="007A733A"/>
    <w:rsid w:val="007A762C"/>
    <w:rsid w:val="007B00B1"/>
    <w:rsid w:val="007B348F"/>
    <w:rsid w:val="007C3C45"/>
    <w:rsid w:val="007C617A"/>
    <w:rsid w:val="007C799C"/>
    <w:rsid w:val="007D405B"/>
    <w:rsid w:val="007D4FAE"/>
    <w:rsid w:val="007E0993"/>
    <w:rsid w:val="007E16AC"/>
    <w:rsid w:val="007F5AD7"/>
    <w:rsid w:val="00800834"/>
    <w:rsid w:val="00816317"/>
    <w:rsid w:val="008177C4"/>
    <w:rsid w:val="00817D82"/>
    <w:rsid w:val="008216E9"/>
    <w:rsid w:val="00826DB2"/>
    <w:rsid w:val="00827629"/>
    <w:rsid w:val="008451EF"/>
    <w:rsid w:val="008465AA"/>
    <w:rsid w:val="00847462"/>
    <w:rsid w:val="0085330A"/>
    <w:rsid w:val="00857C4E"/>
    <w:rsid w:val="0086293A"/>
    <w:rsid w:val="00864F3D"/>
    <w:rsid w:val="0086620F"/>
    <w:rsid w:val="00881743"/>
    <w:rsid w:val="00881C86"/>
    <w:rsid w:val="008821FD"/>
    <w:rsid w:val="00883347"/>
    <w:rsid w:val="00884426"/>
    <w:rsid w:val="008854F8"/>
    <w:rsid w:val="00890C90"/>
    <w:rsid w:val="0089285D"/>
    <w:rsid w:val="00892C3C"/>
    <w:rsid w:val="00893934"/>
    <w:rsid w:val="00893EAE"/>
    <w:rsid w:val="00897318"/>
    <w:rsid w:val="008A0588"/>
    <w:rsid w:val="008A3EC4"/>
    <w:rsid w:val="008A4956"/>
    <w:rsid w:val="008B129F"/>
    <w:rsid w:val="008B373C"/>
    <w:rsid w:val="008B44B0"/>
    <w:rsid w:val="008B5771"/>
    <w:rsid w:val="008B676D"/>
    <w:rsid w:val="008C1437"/>
    <w:rsid w:val="008C4AD4"/>
    <w:rsid w:val="008C76DE"/>
    <w:rsid w:val="008D0EF3"/>
    <w:rsid w:val="008D363E"/>
    <w:rsid w:val="008E1937"/>
    <w:rsid w:val="008E20B0"/>
    <w:rsid w:val="008E4479"/>
    <w:rsid w:val="008E55D5"/>
    <w:rsid w:val="008E64A7"/>
    <w:rsid w:val="008F319E"/>
    <w:rsid w:val="008F455D"/>
    <w:rsid w:val="008F564C"/>
    <w:rsid w:val="008F6A08"/>
    <w:rsid w:val="00903523"/>
    <w:rsid w:val="00911D57"/>
    <w:rsid w:val="00914288"/>
    <w:rsid w:val="009171AE"/>
    <w:rsid w:val="00925C02"/>
    <w:rsid w:val="00927ECD"/>
    <w:rsid w:val="009306A5"/>
    <w:rsid w:val="00937EC1"/>
    <w:rsid w:val="00940346"/>
    <w:rsid w:val="009427FB"/>
    <w:rsid w:val="00943C2F"/>
    <w:rsid w:val="00950584"/>
    <w:rsid w:val="009524BD"/>
    <w:rsid w:val="00965207"/>
    <w:rsid w:val="00965F27"/>
    <w:rsid w:val="00970CC0"/>
    <w:rsid w:val="009711A2"/>
    <w:rsid w:val="00973A99"/>
    <w:rsid w:val="0097594E"/>
    <w:rsid w:val="00976F9A"/>
    <w:rsid w:val="00984D73"/>
    <w:rsid w:val="009865A3"/>
    <w:rsid w:val="009909A9"/>
    <w:rsid w:val="0099104C"/>
    <w:rsid w:val="0099207F"/>
    <w:rsid w:val="009961F3"/>
    <w:rsid w:val="009974F0"/>
    <w:rsid w:val="009A0749"/>
    <w:rsid w:val="009A505B"/>
    <w:rsid w:val="009A6F41"/>
    <w:rsid w:val="009B0C74"/>
    <w:rsid w:val="009B17AD"/>
    <w:rsid w:val="009B3F99"/>
    <w:rsid w:val="009C3908"/>
    <w:rsid w:val="009C4317"/>
    <w:rsid w:val="009D021B"/>
    <w:rsid w:val="009D66EF"/>
    <w:rsid w:val="009E08F2"/>
    <w:rsid w:val="009E4EDB"/>
    <w:rsid w:val="009E765F"/>
    <w:rsid w:val="009F6541"/>
    <w:rsid w:val="00A0375E"/>
    <w:rsid w:val="00A045D2"/>
    <w:rsid w:val="00A1126F"/>
    <w:rsid w:val="00A11284"/>
    <w:rsid w:val="00A11F93"/>
    <w:rsid w:val="00A164C5"/>
    <w:rsid w:val="00A24664"/>
    <w:rsid w:val="00A24A60"/>
    <w:rsid w:val="00A30387"/>
    <w:rsid w:val="00A368BF"/>
    <w:rsid w:val="00A41DE6"/>
    <w:rsid w:val="00A442CF"/>
    <w:rsid w:val="00A45F2C"/>
    <w:rsid w:val="00A50CB4"/>
    <w:rsid w:val="00A55CF0"/>
    <w:rsid w:val="00A65724"/>
    <w:rsid w:val="00A861AC"/>
    <w:rsid w:val="00A86F81"/>
    <w:rsid w:val="00AA15B5"/>
    <w:rsid w:val="00AA316C"/>
    <w:rsid w:val="00AA6E9F"/>
    <w:rsid w:val="00AA6F35"/>
    <w:rsid w:val="00AB22ED"/>
    <w:rsid w:val="00AB436A"/>
    <w:rsid w:val="00AB76A1"/>
    <w:rsid w:val="00AC35A9"/>
    <w:rsid w:val="00AC64C1"/>
    <w:rsid w:val="00AD20DD"/>
    <w:rsid w:val="00AD238C"/>
    <w:rsid w:val="00AD35F5"/>
    <w:rsid w:val="00AD4A35"/>
    <w:rsid w:val="00AE05AC"/>
    <w:rsid w:val="00AE1568"/>
    <w:rsid w:val="00AE445D"/>
    <w:rsid w:val="00AE6CF4"/>
    <w:rsid w:val="00AE77C4"/>
    <w:rsid w:val="00AF2797"/>
    <w:rsid w:val="00AF5475"/>
    <w:rsid w:val="00AF6CFE"/>
    <w:rsid w:val="00B00075"/>
    <w:rsid w:val="00B0077B"/>
    <w:rsid w:val="00B20EB7"/>
    <w:rsid w:val="00B3193C"/>
    <w:rsid w:val="00B323B2"/>
    <w:rsid w:val="00B346B2"/>
    <w:rsid w:val="00B4063D"/>
    <w:rsid w:val="00B406C1"/>
    <w:rsid w:val="00B43F70"/>
    <w:rsid w:val="00B61CA8"/>
    <w:rsid w:val="00B61F50"/>
    <w:rsid w:val="00B6290F"/>
    <w:rsid w:val="00B710E2"/>
    <w:rsid w:val="00B818F5"/>
    <w:rsid w:val="00B844BE"/>
    <w:rsid w:val="00B86032"/>
    <w:rsid w:val="00B86910"/>
    <w:rsid w:val="00B93B3D"/>
    <w:rsid w:val="00B943C7"/>
    <w:rsid w:val="00B96F8C"/>
    <w:rsid w:val="00BA4D0D"/>
    <w:rsid w:val="00BA5C46"/>
    <w:rsid w:val="00BA7C9F"/>
    <w:rsid w:val="00BC33BD"/>
    <w:rsid w:val="00BD2B5C"/>
    <w:rsid w:val="00BD66DA"/>
    <w:rsid w:val="00BE2187"/>
    <w:rsid w:val="00BE400A"/>
    <w:rsid w:val="00BE79DE"/>
    <w:rsid w:val="00BF41DE"/>
    <w:rsid w:val="00BF6A89"/>
    <w:rsid w:val="00C00208"/>
    <w:rsid w:val="00C02419"/>
    <w:rsid w:val="00C0372A"/>
    <w:rsid w:val="00C05199"/>
    <w:rsid w:val="00C05204"/>
    <w:rsid w:val="00C06BC0"/>
    <w:rsid w:val="00C122AD"/>
    <w:rsid w:val="00C2394D"/>
    <w:rsid w:val="00C24EE7"/>
    <w:rsid w:val="00C31020"/>
    <w:rsid w:val="00C329EF"/>
    <w:rsid w:val="00C425E2"/>
    <w:rsid w:val="00C54512"/>
    <w:rsid w:val="00C55812"/>
    <w:rsid w:val="00C57B0B"/>
    <w:rsid w:val="00C63E0E"/>
    <w:rsid w:val="00C67591"/>
    <w:rsid w:val="00C67FC5"/>
    <w:rsid w:val="00C71836"/>
    <w:rsid w:val="00C71BE5"/>
    <w:rsid w:val="00C728C7"/>
    <w:rsid w:val="00C75F94"/>
    <w:rsid w:val="00C770BB"/>
    <w:rsid w:val="00C80B33"/>
    <w:rsid w:val="00C81016"/>
    <w:rsid w:val="00C82C3D"/>
    <w:rsid w:val="00C859A1"/>
    <w:rsid w:val="00C8706C"/>
    <w:rsid w:val="00C876C4"/>
    <w:rsid w:val="00C90B30"/>
    <w:rsid w:val="00C92490"/>
    <w:rsid w:val="00C9393E"/>
    <w:rsid w:val="00C957BB"/>
    <w:rsid w:val="00CA0FBF"/>
    <w:rsid w:val="00CA232D"/>
    <w:rsid w:val="00CA641F"/>
    <w:rsid w:val="00CA67B5"/>
    <w:rsid w:val="00CB1BBF"/>
    <w:rsid w:val="00CB3B87"/>
    <w:rsid w:val="00CB577C"/>
    <w:rsid w:val="00CC2E5C"/>
    <w:rsid w:val="00CC3C68"/>
    <w:rsid w:val="00CC568E"/>
    <w:rsid w:val="00CD26A3"/>
    <w:rsid w:val="00CD2B91"/>
    <w:rsid w:val="00CD2C67"/>
    <w:rsid w:val="00CD402A"/>
    <w:rsid w:val="00CD48AD"/>
    <w:rsid w:val="00CD7220"/>
    <w:rsid w:val="00CE5F6E"/>
    <w:rsid w:val="00CE616D"/>
    <w:rsid w:val="00CF105B"/>
    <w:rsid w:val="00CF1EC9"/>
    <w:rsid w:val="00CF7CED"/>
    <w:rsid w:val="00D00090"/>
    <w:rsid w:val="00D062E2"/>
    <w:rsid w:val="00D06CF4"/>
    <w:rsid w:val="00D07429"/>
    <w:rsid w:val="00D07B9A"/>
    <w:rsid w:val="00D07F70"/>
    <w:rsid w:val="00D10FFE"/>
    <w:rsid w:val="00D205D8"/>
    <w:rsid w:val="00D21BB2"/>
    <w:rsid w:val="00D23E8E"/>
    <w:rsid w:val="00D279C4"/>
    <w:rsid w:val="00D31759"/>
    <w:rsid w:val="00D32057"/>
    <w:rsid w:val="00D42E91"/>
    <w:rsid w:val="00D61726"/>
    <w:rsid w:val="00D61D06"/>
    <w:rsid w:val="00D62444"/>
    <w:rsid w:val="00D63123"/>
    <w:rsid w:val="00D653A2"/>
    <w:rsid w:val="00D66F2A"/>
    <w:rsid w:val="00D7106F"/>
    <w:rsid w:val="00D74B17"/>
    <w:rsid w:val="00D765D9"/>
    <w:rsid w:val="00D83A7C"/>
    <w:rsid w:val="00D87ECE"/>
    <w:rsid w:val="00D905C2"/>
    <w:rsid w:val="00D96B04"/>
    <w:rsid w:val="00D96EF5"/>
    <w:rsid w:val="00D97065"/>
    <w:rsid w:val="00DA2681"/>
    <w:rsid w:val="00DA54AA"/>
    <w:rsid w:val="00DB489F"/>
    <w:rsid w:val="00DC2116"/>
    <w:rsid w:val="00DC5C81"/>
    <w:rsid w:val="00DC7747"/>
    <w:rsid w:val="00DD0707"/>
    <w:rsid w:val="00DD4F2C"/>
    <w:rsid w:val="00DE15DC"/>
    <w:rsid w:val="00DE256C"/>
    <w:rsid w:val="00DE2ABB"/>
    <w:rsid w:val="00DE4B03"/>
    <w:rsid w:val="00DE6705"/>
    <w:rsid w:val="00DF0F7F"/>
    <w:rsid w:val="00DF3783"/>
    <w:rsid w:val="00DF3DE7"/>
    <w:rsid w:val="00DF4B58"/>
    <w:rsid w:val="00DF4EE4"/>
    <w:rsid w:val="00DF601D"/>
    <w:rsid w:val="00DF6ED9"/>
    <w:rsid w:val="00E05D95"/>
    <w:rsid w:val="00E076E1"/>
    <w:rsid w:val="00E14363"/>
    <w:rsid w:val="00E15D8A"/>
    <w:rsid w:val="00E17D7A"/>
    <w:rsid w:val="00E26991"/>
    <w:rsid w:val="00E36302"/>
    <w:rsid w:val="00E45697"/>
    <w:rsid w:val="00E55A1A"/>
    <w:rsid w:val="00E62112"/>
    <w:rsid w:val="00E62B19"/>
    <w:rsid w:val="00E66B93"/>
    <w:rsid w:val="00E66EE8"/>
    <w:rsid w:val="00E7236A"/>
    <w:rsid w:val="00E77803"/>
    <w:rsid w:val="00E80A63"/>
    <w:rsid w:val="00E871BA"/>
    <w:rsid w:val="00EC4E8F"/>
    <w:rsid w:val="00EC560B"/>
    <w:rsid w:val="00EC726A"/>
    <w:rsid w:val="00ED2177"/>
    <w:rsid w:val="00ED6441"/>
    <w:rsid w:val="00EE36B6"/>
    <w:rsid w:val="00EF18E1"/>
    <w:rsid w:val="00EF1B39"/>
    <w:rsid w:val="00EF3ECB"/>
    <w:rsid w:val="00EF5B73"/>
    <w:rsid w:val="00F00BF4"/>
    <w:rsid w:val="00F04985"/>
    <w:rsid w:val="00F04C80"/>
    <w:rsid w:val="00F11C55"/>
    <w:rsid w:val="00F221BA"/>
    <w:rsid w:val="00F26572"/>
    <w:rsid w:val="00F2792D"/>
    <w:rsid w:val="00F304D2"/>
    <w:rsid w:val="00F33A61"/>
    <w:rsid w:val="00F33CD6"/>
    <w:rsid w:val="00F34951"/>
    <w:rsid w:val="00F36D81"/>
    <w:rsid w:val="00F3705D"/>
    <w:rsid w:val="00F413D3"/>
    <w:rsid w:val="00F446BE"/>
    <w:rsid w:val="00F50C2D"/>
    <w:rsid w:val="00F5231B"/>
    <w:rsid w:val="00F52683"/>
    <w:rsid w:val="00F62CB3"/>
    <w:rsid w:val="00F6459F"/>
    <w:rsid w:val="00F64FE4"/>
    <w:rsid w:val="00F718A8"/>
    <w:rsid w:val="00F753DA"/>
    <w:rsid w:val="00F76DF7"/>
    <w:rsid w:val="00F813A6"/>
    <w:rsid w:val="00F8480C"/>
    <w:rsid w:val="00F857FE"/>
    <w:rsid w:val="00F90A1E"/>
    <w:rsid w:val="00F92677"/>
    <w:rsid w:val="00F97554"/>
    <w:rsid w:val="00FA1165"/>
    <w:rsid w:val="00FA2039"/>
    <w:rsid w:val="00FA4388"/>
    <w:rsid w:val="00FB5571"/>
    <w:rsid w:val="00FC16EF"/>
    <w:rsid w:val="00FC689F"/>
    <w:rsid w:val="00FC7871"/>
    <w:rsid w:val="00FD2B4A"/>
    <w:rsid w:val="00FE42BB"/>
    <w:rsid w:val="00FF4EF7"/>
    <w:rsid w:val="00FF6D70"/>
    <w:rsid w:val="00FF6FAD"/>
    <w:rsid w:val="021E7A5B"/>
    <w:rsid w:val="033A4520"/>
    <w:rsid w:val="035019E2"/>
    <w:rsid w:val="041655CC"/>
    <w:rsid w:val="04912761"/>
    <w:rsid w:val="05614B95"/>
    <w:rsid w:val="07372309"/>
    <w:rsid w:val="077103B0"/>
    <w:rsid w:val="08636CCC"/>
    <w:rsid w:val="089A43F3"/>
    <w:rsid w:val="08A6123D"/>
    <w:rsid w:val="093D33D6"/>
    <w:rsid w:val="099572D0"/>
    <w:rsid w:val="0A3946AA"/>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92B53DD"/>
    <w:rsid w:val="1A8511D2"/>
    <w:rsid w:val="1ADC3382"/>
    <w:rsid w:val="1D406212"/>
    <w:rsid w:val="1F042155"/>
    <w:rsid w:val="1F221380"/>
    <w:rsid w:val="204E2A69"/>
    <w:rsid w:val="20B76227"/>
    <w:rsid w:val="218E382F"/>
    <w:rsid w:val="23F21382"/>
    <w:rsid w:val="24796D90"/>
    <w:rsid w:val="24AA1E4D"/>
    <w:rsid w:val="252E504E"/>
    <w:rsid w:val="25E70642"/>
    <w:rsid w:val="26B358B0"/>
    <w:rsid w:val="27102A95"/>
    <w:rsid w:val="2735777A"/>
    <w:rsid w:val="275E7989"/>
    <w:rsid w:val="278E2D00"/>
    <w:rsid w:val="296C1F21"/>
    <w:rsid w:val="29B50E6D"/>
    <w:rsid w:val="2A4C1CBD"/>
    <w:rsid w:val="2A7D6353"/>
    <w:rsid w:val="2A9770AA"/>
    <w:rsid w:val="2ACB217C"/>
    <w:rsid w:val="2C1B76F5"/>
    <w:rsid w:val="2CDB10A0"/>
    <w:rsid w:val="2D423640"/>
    <w:rsid w:val="2D9772CA"/>
    <w:rsid w:val="2D9900F8"/>
    <w:rsid w:val="2E280F69"/>
    <w:rsid w:val="2E3115D0"/>
    <w:rsid w:val="2F744F03"/>
    <w:rsid w:val="31910F29"/>
    <w:rsid w:val="324B3C83"/>
    <w:rsid w:val="33171535"/>
    <w:rsid w:val="33D60378"/>
    <w:rsid w:val="351C356D"/>
    <w:rsid w:val="355A312A"/>
    <w:rsid w:val="35FF5F9F"/>
    <w:rsid w:val="36372176"/>
    <w:rsid w:val="36EC7DA8"/>
    <w:rsid w:val="37294088"/>
    <w:rsid w:val="378E4AC6"/>
    <w:rsid w:val="38124714"/>
    <w:rsid w:val="389B3414"/>
    <w:rsid w:val="393A0A61"/>
    <w:rsid w:val="398563A5"/>
    <w:rsid w:val="3AF71A3E"/>
    <w:rsid w:val="3D1E069A"/>
    <w:rsid w:val="3EF25FA6"/>
    <w:rsid w:val="3F45740D"/>
    <w:rsid w:val="3F7660C9"/>
    <w:rsid w:val="3FA21EA1"/>
    <w:rsid w:val="3FB96709"/>
    <w:rsid w:val="40E546BB"/>
    <w:rsid w:val="413E667D"/>
    <w:rsid w:val="42F953C0"/>
    <w:rsid w:val="437A41A8"/>
    <w:rsid w:val="45734A8E"/>
    <w:rsid w:val="461D6B0D"/>
    <w:rsid w:val="46EE5321"/>
    <w:rsid w:val="47033762"/>
    <w:rsid w:val="47653796"/>
    <w:rsid w:val="49D91065"/>
    <w:rsid w:val="4A2D4690"/>
    <w:rsid w:val="4B247DB0"/>
    <w:rsid w:val="4B540E64"/>
    <w:rsid w:val="4BD31F7C"/>
    <w:rsid w:val="4CDB5BF8"/>
    <w:rsid w:val="4D15740A"/>
    <w:rsid w:val="4D5E41AC"/>
    <w:rsid w:val="4DCD67C2"/>
    <w:rsid w:val="4DD903E4"/>
    <w:rsid w:val="4E2F67AA"/>
    <w:rsid w:val="4EB07238"/>
    <w:rsid w:val="4FAB41C8"/>
    <w:rsid w:val="504814F6"/>
    <w:rsid w:val="506C0E8B"/>
    <w:rsid w:val="52CE7CA9"/>
    <w:rsid w:val="52D7511B"/>
    <w:rsid w:val="538540ED"/>
    <w:rsid w:val="54C853B7"/>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E5D6E1D"/>
    <w:rsid w:val="5E7C394C"/>
    <w:rsid w:val="5F1A2F60"/>
    <w:rsid w:val="61EC690B"/>
    <w:rsid w:val="633C20DB"/>
    <w:rsid w:val="63710FC9"/>
    <w:rsid w:val="63970E2A"/>
    <w:rsid w:val="64CF25B0"/>
    <w:rsid w:val="651909CF"/>
    <w:rsid w:val="659D4AD6"/>
    <w:rsid w:val="65D46BD8"/>
    <w:rsid w:val="69DD52B6"/>
    <w:rsid w:val="6BB45B9B"/>
    <w:rsid w:val="6BEC318D"/>
    <w:rsid w:val="6BF3491C"/>
    <w:rsid w:val="6C2D42F2"/>
    <w:rsid w:val="6C8210B1"/>
    <w:rsid w:val="6CC268D7"/>
    <w:rsid w:val="6DE505D2"/>
    <w:rsid w:val="6E2C2368"/>
    <w:rsid w:val="6FFE35CB"/>
    <w:rsid w:val="705F4E88"/>
    <w:rsid w:val="70E94AE0"/>
    <w:rsid w:val="70EC4A80"/>
    <w:rsid w:val="713E5B3E"/>
    <w:rsid w:val="7341298C"/>
    <w:rsid w:val="746E36DA"/>
    <w:rsid w:val="75284004"/>
    <w:rsid w:val="756D2197"/>
    <w:rsid w:val="75774425"/>
    <w:rsid w:val="759F78F2"/>
    <w:rsid w:val="75BC38E8"/>
    <w:rsid w:val="76041A24"/>
    <w:rsid w:val="76952E4B"/>
    <w:rsid w:val="77CA68E7"/>
    <w:rsid w:val="77E3783C"/>
    <w:rsid w:val="79473CCD"/>
    <w:rsid w:val="797E05BC"/>
    <w:rsid w:val="7A7818A0"/>
    <w:rsid w:val="7CDE4FAC"/>
    <w:rsid w:val="7D177B8B"/>
    <w:rsid w:val="7D214CBC"/>
    <w:rsid w:val="7D74059B"/>
    <w:rsid w:val="7DE05B78"/>
    <w:rsid w:val="7DE86920"/>
    <w:rsid w:val="7F7914B7"/>
    <w:rsid w:val="7FCF71C4"/>
    <w:rsid w:val="7FDE57BC"/>
  </w:rsids>
  <w:docVars>
    <w:docVar w:name="commondata" w:val="eyJoZGlkIjoiYjg1NDc1NjI2Yzg4ZWM0ZTAzYTIzNDhiMzkxMjcxN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qFormat="1"/>
    <w:lsdException w:name="annotation text" w:semiHidden="0" w:uiPriority="0" w:qFormat="1"/>
    <w:lsdException w:name="header" w:semiHidden="0" w:uiPriority="0" w:unhideWhenUsed="0" w:qFormat="1"/>
    <w:lsdException w:name="footer" w:semiHidden="0" w:uiPriority="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qFormat="1"/>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qFormat="1"/>
    <w:lsdException w:name="endnote text" w:semiHidden="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qFormat="1"/>
    <w:lsdException w:name="List Bullet" w:semiHidden="0" w:uiPriority="0" w:unhideWhenUsed="0"/>
    <w:lsdException w:name="List Number" w:semiHidden="0" w:uiPriority="0" w:unhideWhenUsed="0" w:qFormat="1"/>
    <w:lsdException w:name="List 2" w:semiHidden="0" w:uiPriority="0" w:unhideWhenUsed="0" w:qFormat="1"/>
    <w:lsdException w:name="List 3" w:semiHidden="0" w:uiPriority="0" w:unhideWhenUsed="0"/>
    <w:lsdException w:name="List 4" w:semiHidden="0" w:qFormat="1"/>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qFormat="1"/>
    <w:lsdException w:name="List Number 3" w:semiHidden="0" w:uiPriority="0" w:unhideWhenUsed="0" w:qFormat="1"/>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11"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Plain Text" w:semiHidden="0" w:uiPriority="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39" w:unhideWhenUsed="0" w:qFormat="1"/>
    <w:lsdException w:name="Table Theme" w:semiHidden="0" w:uiPriority="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5"/>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0"/>
    <w:unhideWhenUsed/>
    <w:qFormat/>
    <w:pPr>
      <w:keepNext/>
      <w:keepLines/>
      <w:spacing w:before="260" w:after="260" w:line="360" w:lineRule="auto"/>
      <w:jc w:val="left"/>
      <w:outlineLvl w:val="1"/>
    </w:pPr>
    <w:rPr>
      <w:rFonts w:ascii="Cambria" w:eastAsia="方正大标宋简体" w:hAnsi="Cambria"/>
      <w:bCs/>
      <w:sz w:val="36"/>
      <w:szCs w:val="32"/>
    </w:rPr>
  </w:style>
  <w:style w:type="paragraph" w:styleId="Heading3">
    <w:name w:val="heading 3"/>
    <w:basedOn w:val="Normal"/>
    <w:next w:val="Normal"/>
    <w:link w:val="3Char"/>
    <w:qFormat/>
    <w:pPr>
      <w:keepNext/>
      <w:keepLines/>
      <w:adjustRightInd w:val="0"/>
      <w:spacing w:before="260" w:after="260" w:line="360" w:lineRule="auto"/>
      <w:jc w:val="left"/>
      <w:outlineLvl w:val="2"/>
    </w:pPr>
    <w:rPr>
      <w:rFonts w:eastAsia="黑体"/>
      <w:bCs/>
      <w:sz w:val="32"/>
      <w:szCs w:val="32"/>
    </w:rPr>
  </w:style>
  <w:style w:type="paragraph" w:styleId="Heading4">
    <w:name w:val="heading 4"/>
    <w:basedOn w:val="Normal"/>
    <w:next w:val="Normal"/>
    <w:link w:val="4Char"/>
    <w:uiPriority w:val="99"/>
    <w:unhideWhenUsed/>
    <w:qFormat/>
    <w:pPr>
      <w:keepNext/>
      <w:keepLines/>
      <w:spacing w:before="280" w:after="290" w:line="376" w:lineRule="auto"/>
      <w:ind w:firstLine="10" w:firstLineChars="10"/>
      <w:jc w:val="left"/>
      <w:outlineLvl w:val="3"/>
    </w:pPr>
    <w:rPr>
      <w:rFonts w:ascii="Cambria" w:eastAsia="黑体" w:hAnsi="Cambria"/>
      <w:bCs/>
      <w:sz w:val="24"/>
      <w:szCs w:val="28"/>
    </w:rPr>
  </w:style>
  <w:style w:type="paragraph" w:styleId="Heading5">
    <w:name w:val="heading 5"/>
    <w:basedOn w:val="Normal"/>
    <w:next w:val="Normal"/>
    <w:link w:val="5Char"/>
    <w:unhideWhenUsed/>
    <w:qFormat/>
    <w:pPr>
      <w:keepNext/>
      <w:keepLines/>
      <w:spacing w:before="280" w:after="290" w:line="374" w:lineRule="auto"/>
      <w:outlineLvl w:val="4"/>
    </w:pPr>
    <w:rPr>
      <w:b/>
      <w:bCs/>
      <w:sz w:val="28"/>
      <w:szCs w:val="28"/>
    </w:rPr>
  </w:style>
  <w:style w:type="paragraph" w:styleId="Heading6">
    <w:name w:val="heading 6"/>
    <w:basedOn w:val="Normal"/>
    <w:next w:val="Normal"/>
    <w:link w:val="6Char"/>
    <w:unhideWhenUsed/>
    <w:qFormat/>
    <w:pPr>
      <w:keepNext/>
      <w:keepLines/>
      <w:spacing w:before="240" w:after="64" w:line="316" w:lineRule="auto"/>
      <w:ind w:firstLine="200" w:firstLineChars="200"/>
      <w:jc w:val="center"/>
      <w:outlineLvl w:val="5"/>
    </w:pPr>
    <w:rPr>
      <w:rFonts w:ascii="Cambria" w:hAnsi="Cambria"/>
      <w:b/>
      <w:bCs/>
      <w:sz w:val="24"/>
      <w:szCs w:val="24"/>
    </w:rPr>
  </w:style>
  <w:style w:type="paragraph" w:styleId="Heading7">
    <w:name w:val="heading 7"/>
    <w:basedOn w:val="Normal"/>
    <w:next w:val="Normal"/>
    <w:link w:val="7Char"/>
    <w:unhideWhenUsed/>
    <w:qFormat/>
    <w:pPr>
      <w:keepNext/>
      <w:keepLines/>
      <w:spacing w:before="240" w:after="64" w:line="316" w:lineRule="auto"/>
      <w:ind w:firstLine="200" w:firstLineChars="200"/>
      <w:jc w:val="center"/>
      <w:outlineLvl w:val="6"/>
    </w:pPr>
    <w:rPr>
      <w:b/>
      <w:bCs/>
      <w:sz w:val="24"/>
      <w:szCs w:val="24"/>
    </w:rPr>
  </w:style>
  <w:style w:type="paragraph" w:styleId="Heading8">
    <w:name w:val="heading 8"/>
    <w:basedOn w:val="Normal"/>
    <w:next w:val="Normal"/>
    <w:link w:val="8Char"/>
    <w:unhideWhenUsed/>
    <w:qFormat/>
    <w:pPr>
      <w:keepNext/>
      <w:keepLines/>
      <w:spacing w:before="240" w:after="64" w:line="316" w:lineRule="auto"/>
      <w:ind w:firstLine="200" w:firstLineChars="200"/>
      <w:jc w:val="left"/>
      <w:outlineLvl w:val="7"/>
    </w:pPr>
    <w:rPr>
      <w:rFonts w:ascii="Cambria" w:hAnsi="Cambria"/>
      <w:sz w:val="24"/>
      <w:szCs w:val="24"/>
    </w:rPr>
  </w:style>
  <w:style w:type="paragraph" w:styleId="Heading9">
    <w:name w:val="heading 9"/>
    <w:basedOn w:val="Normal"/>
    <w:next w:val="Normal"/>
    <w:link w:val="9Char"/>
    <w:qFormat/>
    <w:pPr>
      <w:keepNext/>
      <w:keepLines/>
      <w:spacing w:before="240" w:after="64" w:line="320" w:lineRule="auto"/>
      <w:outlineLvl w:val="8"/>
    </w:pPr>
    <w:rPr>
      <w:rFonts w:ascii="Cambria" w:hAnsi="Cambria"/>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ind w:left="2520" w:leftChars="1200"/>
    </w:pPr>
  </w:style>
  <w:style w:type="paragraph" w:styleId="ListNumber2">
    <w:name w:val="List Number 2"/>
    <w:basedOn w:val="Normal"/>
    <w:uiPriority w:val="99"/>
    <w:unhideWhenUsed/>
    <w:qFormat/>
    <w:pPr>
      <w:numPr>
        <w:ilvl w:val="0"/>
        <w:numId w:val="1"/>
      </w:numPr>
      <w:ind w:left="0" w:firstLine="0" w:leftChars="0" w:firstLineChars="0"/>
    </w:pPr>
  </w:style>
  <w:style w:type="paragraph" w:styleId="ListNumber">
    <w:name w:val="List Number"/>
    <w:basedOn w:val="Normal"/>
    <w:qFormat/>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NormalIndent">
    <w:name w:val="Normal Indent"/>
    <w:basedOn w:val="Normal"/>
    <w:qFormat/>
    <w:pPr>
      <w:ind w:firstLine="420"/>
    </w:pPr>
    <w:rPr>
      <w:rFonts w:ascii="Times New Roman" w:hAnsi="Times New Roman"/>
      <w:szCs w:val="20"/>
    </w:rPr>
  </w:style>
  <w:style w:type="paragraph" w:styleId="Caption">
    <w:name w:val="caption"/>
    <w:basedOn w:val="Normal"/>
    <w:next w:val="Normal"/>
    <w:qFormat/>
    <w:pPr>
      <w:suppressLineNumbers/>
      <w:suppressAutoHyphens/>
      <w:spacing w:before="120" w:after="120"/>
    </w:pPr>
    <w:rPr>
      <w:i/>
      <w:iCs/>
      <w:sz w:val="24"/>
      <w:szCs w:val="24"/>
    </w:rPr>
  </w:style>
  <w:style w:type="paragraph" w:styleId="DocumentMap">
    <w:name w:val="Document Map"/>
    <w:basedOn w:val="Normal"/>
    <w:link w:val="Char6"/>
    <w:uiPriority w:val="99"/>
    <w:unhideWhenUsed/>
    <w:qFormat/>
    <w:rPr>
      <w:rFonts w:ascii="宋体"/>
      <w:sz w:val="18"/>
      <w:szCs w:val="18"/>
    </w:rPr>
  </w:style>
  <w:style w:type="paragraph" w:styleId="CommentText">
    <w:name w:val="annotation text"/>
    <w:basedOn w:val="Normal"/>
    <w:link w:val="Char1"/>
    <w:unhideWhenUsed/>
    <w:qFormat/>
    <w:pPr>
      <w:jc w:val="left"/>
    </w:pPr>
  </w:style>
  <w:style w:type="paragraph" w:styleId="BodyText3">
    <w:name w:val="Body Text 3"/>
    <w:basedOn w:val="Normal"/>
    <w:link w:val="3Char10"/>
    <w:qFormat/>
    <w:pPr>
      <w:spacing w:line="500" w:lineRule="exact"/>
    </w:pPr>
    <w:rPr>
      <w:rFonts w:ascii="Times New Roman" w:hAnsi="Times New Roman"/>
      <w:b/>
      <w:bCs/>
      <w:kern w:val="0"/>
      <w:sz w:val="24"/>
      <w:szCs w:val="24"/>
    </w:rPr>
  </w:style>
  <w:style w:type="paragraph" w:styleId="BodyText">
    <w:name w:val="Body Text"/>
    <w:basedOn w:val="Normal"/>
    <w:next w:val="Normal"/>
    <w:link w:val="Char12"/>
    <w:qFormat/>
    <w:rPr>
      <w:b/>
      <w:szCs w:val="24"/>
    </w:rPr>
  </w:style>
  <w:style w:type="paragraph" w:styleId="BodyTextIndent">
    <w:name w:val="Body Text Indent"/>
    <w:basedOn w:val="Normal"/>
    <w:link w:val="Char4"/>
    <w:qFormat/>
    <w:pPr>
      <w:spacing w:after="120"/>
      <w:ind w:left="420" w:leftChars="200"/>
    </w:pPr>
  </w:style>
  <w:style w:type="paragraph" w:styleId="ListNumber3">
    <w:name w:val="List Number 3"/>
    <w:basedOn w:val="Normal"/>
    <w:qFormat/>
    <w:pPr>
      <w:numPr>
        <w:ilvl w:val="0"/>
        <w:numId w:val="2"/>
      </w:numPr>
      <w:tabs>
        <w:tab w:val="left" w:pos="1200"/>
        <w:tab w:val="left" w:pos="1537"/>
      </w:tabs>
    </w:pPr>
    <w:rPr>
      <w:rFonts w:ascii="Times New Roman" w:hAnsi="Times New Roman"/>
      <w:szCs w:val="24"/>
    </w:rPr>
  </w:style>
  <w:style w:type="paragraph" w:styleId="List2">
    <w:name w:val="List 2"/>
    <w:basedOn w:val="Normal"/>
    <w:qFormat/>
    <w:pPr>
      <w:ind w:left="100" w:hanging="200" w:leftChars="200" w:hangingChars="200"/>
    </w:pPr>
    <w:rPr>
      <w:rFonts w:ascii="Times New Roman" w:hAnsi="Times New Roman"/>
      <w:sz w:val="28"/>
      <w:szCs w:val="24"/>
    </w:rPr>
  </w:style>
  <w:style w:type="paragraph" w:styleId="TOC5">
    <w:name w:val="toc 5"/>
    <w:basedOn w:val="Normal"/>
    <w:next w:val="Normal"/>
    <w:uiPriority w:val="39"/>
    <w:unhideWhenUsed/>
    <w:qFormat/>
    <w:pPr>
      <w:ind w:left="1680" w:leftChars="800"/>
    </w:pPr>
  </w:style>
  <w:style w:type="paragraph" w:styleId="TOC3">
    <w:name w:val="toc 3"/>
    <w:basedOn w:val="Normal"/>
    <w:next w:val="Normal"/>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PlainText">
    <w:name w:val="Plain Text"/>
    <w:basedOn w:val="Normal"/>
    <w:next w:val="Normal"/>
    <w:link w:val="Char0"/>
    <w:unhideWhenUsed/>
    <w:qFormat/>
    <w:rPr>
      <w:rFonts w:ascii="宋体" w:hAnsi="Courier New" w:cs="Courier New"/>
      <w:szCs w:val="21"/>
    </w:rPr>
  </w:style>
  <w:style w:type="paragraph" w:styleId="TOC8">
    <w:name w:val="toc 8"/>
    <w:basedOn w:val="Normal"/>
    <w:next w:val="Normal"/>
    <w:uiPriority w:val="39"/>
    <w:unhideWhenUsed/>
    <w:qFormat/>
    <w:pPr>
      <w:ind w:left="2940" w:leftChars="1400"/>
    </w:pPr>
  </w:style>
  <w:style w:type="paragraph" w:styleId="Date">
    <w:name w:val="Date"/>
    <w:basedOn w:val="Normal"/>
    <w:next w:val="Normal"/>
    <w:link w:val="Char15"/>
    <w:qFormat/>
    <w:pPr>
      <w:ind w:left="100" w:leftChars="2500"/>
    </w:pPr>
    <w:rPr>
      <w:spacing w:val="30"/>
      <w:sz w:val="28"/>
      <w:szCs w:val="21"/>
    </w:rPr>
  </w:style>
  <w:style w:type="paragraph" w:styleId="BodyTextIndent2">
    <w:name w:val="Body Text Indent 2"/>
    <w:basedOn w:val="Normal"/>
    <w:link w:val="2Char10"/>
    <w:qFormat/>
    <w:pPr>
      <w:ind w:firstLine="630"/>
    </w:pPr>
    <w:rPr>
      <w:rFonts w:ascii="Times New Roman" w:hAnsi="Times New Roman"/>
      <w:kern w:val="0"/>
      <w:sz w:val="32"/>
      <w:szCs w:val="20"/>
    </w:rPr>
  </w:style>
  <w:style w:type="paragraph" w:styleId="EndnoteText">
    <w:name w:val="endnote text"/>
    <w:basedOn w:val="Normal"/>
    <w:link w:val="Char16"/>
    <w:uiPriority w:val="99"/>
    <w:unhideWhenUsed/>
    <w:qFormat/>
    <w:pPr>
      <w:snapToGrid w:val="0"/>
      <w:jc w:val="left"/>
    </w:pPr>
    <w:rPr>
      <w:rFonts w:ascii="Times New Roman" w:hAnsi="Times New Roman"/>
      <w:szCs w:val="24"/>
    </w:rPr>
  </w:style>
  <w:style w:type="paragraph" w:styleId="BalloonText">
    <w:name w:val="Balloon Text"/>
    <w:basedOn w:val="Normal"/>
    <w:link w:val="Char"/>
    <w:qFormat/>
    <w:rPr>
      <w:sz w:val="18"/>
      <w:szCs w:val="18"/>
    </w:rPr>
  </w:style>
  <w:style w:type="paragraph" w:styleId="Footer">
    <w:name w:val="footer"/>
    <w:basedOn w:val="Normal"/>
    <w:link w:val="Char5"/>
    <w:unhideWhenUsed/>
    <w:qFormat/>
    <w:pPr>
      <w:tabs>
        <w:tab w:val="center" w:pos="4153"/>
        <w:tab w:val="right" w:pos="8306"/>
      </w:tabs>
      <w:snapToGrid w:val="0"/>
      <w:jc w:val="left"/>
    </w:pPr>
    <w:rPr>
      <w:sz w:val="18"/>
      <w:szCs w:val="18"/>
    </w:rPr>
  </w:style>
  <w:style w:type="paragraph" w:styleId="Header">
    <w:name w:val="header"/>
    <w:basedOn w:val="Normal"/>
    <w:link w:val="Char3"/>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4">
    <w:name w:val="toc 4"/>
    <w:basedOn w:val="Normal"/>
    <w:next w:val="Normal"/>
    <w:uiPriority w:val="39"/>
    <w:unhideWhenUsed/>
    <w:qFormat/>
    <w:pPr>
      <w:ind w:left="1260" w:leftChars="600"/>
    </w:pPr>
  </w:style>
  <w:style w:type="paragraph" w:styleId="Subtitle">
    <w:name w:val="Subtitle"/>
    <w:basedOn w:val="Normal"/>
    <w:next w:val="Normal"/>
    <w:link w:val="Char9"/>
    <w:uiPriority w:val="11"/>
    <w:qFormat/>
    <w:pPr>
      <w:spacing w:before="240" w:after="60" w:line="312" w:lineRule="auto"/>
      <w:jc w:val="center"/>
      <w:outlineLvl w:val="1"/>
    </w:pPr>
    <w:rPr>
      <w:rFonts w:ascii="Calibri Light" w:hAnsi="Calibri Light"/>
      <w:b/>
      <w:bCs/>
      <w:kern w:val="28"/>
      <w:sz w:val="32"/>
      <w:szCs w:val="32"/>
    </w:rPr>
  </w:style>
  <w:style w:type="paragraph" w:styleId="List">
    <w:name w:val="List"/>
    <w:basedOn w:val="BodyText"/>
    <w:qFormat/>
    <w:pPr>
      <w:suppressAutoHyphens/>
      <w:spacing w:after="140" w:line="276" w:lineRule="auto"/>
    </w:pPr>
    <w:rPr>
      <w:b w:val="0"/>
    </w:rPr>
  </w:style>
  <w:style w:type="paragraph" w:styleId="FootnoteText">
    <w:name w:val="footnote text"/>
    <w:basedOn w:val="Normal"/>
    <w:link w:val="Char10"/>
    <w:uiPriority w:val="99"/>
    <w:unhideWhenUsed/>
    <w:qFormat/>
    <w:pPr>
      <w:snapToGrid w:val="0"/>
      <w:jc w:val="left"/>
    </w:pPr>
    <w:rPr>
      <w:sz w:val="18"/>
      <w:szCs w:val="18"/>
    </w:rPr>
  </w:style>
  <w:style w:type="paragraph" w:styleId="TOC6">
    <w:name w:val="toc 6"/>
    <w:basedOn w:val="Normal"/>
    <w:next w:val="Normal"/>
    <w:uiPriority w:val="39"/>
    <w:unhideWhenUsed/>
    <w:qFormat/>
    <w:pPr>
      <w:ind w:left="2100" w:leftChars="1000"/>
    </w:pPr>
  </w:style>
  <w:style w:type="paragraph" w:styleId="BodyTextIndent3">
    <w:name w:val="Body Text Indent 3"/>
    <w:basedOn w:val="Normal"/>
    <w:link w:val="3Char11"/>
    <w:qFormat/>
    <w:pPr>
      <w:spacing w:after="120"/>
      <w:ind w:left="420" w:leftChars="200"/>
    </w:pPr>
    <w:rPr>
      <w:rFonts w:ascii="Times New Roman" w:hAnsi="Times New Roman"/>
      <w:kern w:val="0"/>
      <w:sz w:val="16"/>
      <w:szCs w:val="16"/>
    </w:rPr>
  </w:style>
  <w:style w:type="paragraph" w:styleId="TOC2">
    <w:name w:val="toc 2"/>
    <w:basedOn w:val="Normal"/>
    <w:next w:val="Normal"/>
    <w:uiPriority w:val="39"/>
    <w:unhideWhenUsed/>
    <w:qFormat/>
    <w:pPr>
      <w:ind w:left="420" w:leftChars="200"/>
    </w:pPr>
  </w:style>
  <w:style w:type="paragraph" w:styleId="TOC9">
    <w:name w:val="toc 9"/>
    <w:basedOn w:val="Normal"/>
    <w:next w:val="Normal"/>
    <w:uiPriority w:val="39"/>
    <w:unhideWhenUsed/>
    <w:qFormat/>
    <w:pPr>
      <w:ind w:left="3360" w:leftChars="1600"/>
    </w:pPr>
  </w:style>
  <w:style w:type="paragraph" w:styleId="BodyText2">
    <w:name w:val="Body Text 2"/>
    <w:basedOn w:val="Normal"/>
    <w:link w:val="2Char11"/>
    <w:qFormat/>
    <w:pPr>
      <w:spacing w:after="120" w:line="480" w:lineRule="auto"/>
    </w:pPr>
    <w:rPr>
      <w:rFonts w:ascii="Times New Roman" w:hAnsi="Times New Roman"/>
      <w:kern w:val="0"/>
      <w:sz w:val="20"/>
      <w:szCs w:val="24"/>
    </w:rPr>
  </w:style>
  <w:style w:type="paragraph" w:styleId="List4">
    <w:name w:val="List 4"/>
    <w:basedOn w:val="Normal"/>
    <w:uiPriority w:val="99"/>
    <w:unhideWhenUsed/>
    <w:qFormat/>
    <w:pPr>
      <w:ind w:left="100" w:hanging="200" w:leftChars="600" w:hangingChars="200"/>
      <w:contextualSpacing/>
    </w:pPr>
  </w:style>
  <w:style w:type="paragraph" w:styleId="HTMLPreformatted">
    <w:name w:val="HTML Preformatted"/>
    <w:basedOn w:val="Normal"/>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paragraph" w:styleId="Index1">
    <w:name w:val="index 1"/>
    <w:basedOn w:val="Normal"/>
    <w:next w:val="Normal"/>
    <w:qFormat/>
    <w:pPr>
      <w:spacing w:line="400" w:lineRule="exact"/>
      <w:ind w:firstLine="420" w:firstLineChars="200"/>
    </w:pPr>
    <w:rPr>
      <w:rFonts w:ascii="宋体" w:hAnsi="Courier New"/>
      <w:b/>
      <w:szCs w:val="20"/>
    </w:rPr>
  </w:style>
  <w:style w:type="paragraph" w:styleId="Title">
    <w:name w:val="Title"/>
    <w:basedOn w:val="Normal"/>
    <w:next w:val="Normal"/>
    <w:link w:val="Char11"/>
    <w:uiPriority w:val="10"/>
    <w:qFormat/>
    <w:pPr>
      <w:spacing w:before="207"/>
      <w:ind w:left="1174" w:right="576"/>
      <w:jc w:val="center"/>
    </w:pPr>
    <w:rPr>
      <w:rFonts w:ascii="Arial Unicode MS" w:eastAsia="Arial Unicode MS" w:hAnsi="Arial Unicode MS" w:cs="Arial Unicode MS"/>
      <w:sz w:val="44"/>
      <w:szCs w:val="44"/>
    </w:rPr>
  </w:style>
  <w:style w:type="paragraph" w:styleId="CommentSubject">
    <w:name w:val="annotation subject"/>
    <w:basedOn w:val="CommentText"/>
    <w:next w:val="CommentText"/>
    <w:link w:val="Char2"/>
    <w:uiPriority w:val="99"/>
    <w:qFormat/>
    <w:rPr>
      <w:b/>
      <w:bCs/>
    </w:rPr>
  </w:style>
  <w:style w:type="paragraph" w:styleId="BodyTextFirstIndent">
    <w:name w:val="Body Text First Indent"/>
    <w:basedOn w:val="BodyText"/>
    <w:link w:val="Char13"/>
    <w:qFormat/>
    <w:pPr>
      <w:autoSpaceDE w:val="0"/>
      <w:autoSpaceDN w:val="0"/>
      <w:adjustRightInd w:val="0"/>
      <w:spacing w:after="120"/>
      <w:ind w:firstLine="420" w:firstLineChars="100"/>
      <w:jc w:val="left"/>
    </w:pPr>
    <w:rPr>
      <w:rFonts w:ascii="宋体" w:hAnsi="宋体" w:cs="宋体"/>
      <w:b w:val="0"/>
      <w:kern w:val="0"/>
      <w:sz w:val="34"/>
      <w:szCs w:val="20"/>
    </w:rPr>
  </w:style>
  <w:style w:type="paragraph" w:styleId="BodyTextFirstIndent2">
    <w:name w:val="Body Text First Indent 2"/>
    <w:basedOn w:val="BodyTextIndent"/>
    <w:link w:val="2Char"/>
    <w:uiPriority w:val="99"/>
    <w:qFormat/>
    <w:pPr>
      <w:ind w:firstLine="420" w:firstLineChars="200"/>
    </w:pPr>
  </w:style>
  <w:style w:type="table" w:styleId="TableGrid">
    <w:name w:val="Table Grid"/>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ndnoteReference">
    <w:name w:val="endnote reference"/>
    <w:uiPriority w:val="99"/>
    <w:unhideWhenUsed/>
    <w:qFormat/>
    <w:rPr>
      <w:vertAlign w:val="superscript"/>
    </w:rPr>
  </w:style>
  <w:style w:type="character" w:styleId="PageNumber">
    <w:name w:val="page number"/>
    <w:qFormat/>
  </w:style>
  <w:style w:type="character" w:styleId="FollowedHyperlink">
    <w:name w:val="FollowedHyperlink"/>
    <w:basedOn w:val="DefaultParagraphFont"/>
    <w:uiPriority w:val="99"/>
    <w:unhideWhenUsed/>
    <w:qFormat/>
    <w:rPr>
      <w:color w:val="954F72" w:themeColor="followedHyperlink"/>
      <w:u w:val="single"/>
      <w14:textFill>
        <w14:solidFill>
          <w14:schemeClr w14:val="folHlink"/>
        </w14:solidFill>
      </w14:textFill>
    </w:rPr>
  </w:style>
  <w:style w:type="character" w:styleId="Hyperlink">
    <w:name w:val="Hyperlink"/>
    <w:uiPriority w:val="99"/>
    <w:unhideWhenUsed/>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unhideWhenUsed/>
    <w:qFormat/>
    <w:rPr>
      <w:vertAlign w:val="superscript"/>
    </w:rPr>
  </w:style>
  <w:style w:type="paragraph" w:customStyle="1" w:styleId="5">
    <w:name w:val="标题 5（有编号）（绿盟科技）"/>
    <w:basedOn w:val="Normal"/>
    <w:next w:val="a"/>
    <w:qFormat/>
    <w:pPr>
      <w:keepNext/>
      <w:keepLines/>
      <w:numPr>
        <w:ilvl w:val="4"/>
        <w:numId w:val="3"/>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character" w:customStyle="1" w:styleId="3Char">
    <w:name w:val="标题 3 Char"/>
    <w:link w:val="Heading3"/>
    <w:qFormat/>
    <w:rPr>
      <w:rFonts w:eastAsia="黑体"/>
      <w:bCs/>
      <w:sz w:val="32"/>
      <w:szCs w:val="32"/>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uiPriority w:val="99"/>
    <w:qFormat/>
    <w:pPr>
      <w:jc w:val="center"/>
    </w:pPr>
    <w:rPr>
      <w:rFonts w:eastAsia="方正大标宋简体"/>
      <w:sz w:val="52"/>
    </w:rPr>
  </w:style>
  <w:style w:type="paragraph" w:customStyle="1" w:styleId="NormalIndent1">
    <w:name w:val="Normal Indent1"/>
    <w:uiPriority w:val="99"/>
    <w:qFormat/>
    <w:pPr>
      <w:spacing w:afterLines="50" w:line="360" w:lineRule="auto"/>
      <w:ind w:firstLine="420" w:firstLineChars="200"/>
    </w:pPr>
    <w:rPr>
      <w:rFonts w:ascii="Times New Roman" w:eastAsia="宋体" w:hAnsi="Times New Roman" w:cs="Times New Roman"/>
      <w:lang w:val="en-US" w:eastAsia="zh-CN" w:bidi="ar-SA"/>
    </w:rPr>
  </w:style>
  <w:style w:type="character" w:customStyle="1" w:styleId="Char">
    <w:name w:val="批注框文本 Char"/>
    <w:basedOn w:val="DefaultParagraphFont"/>
    <w:link w:val="BalloonText"/>
    <w:qFormat/>
    <w:rPr>
      <w:rFonts w:ascii="Calibri" w:eastAsia="宋体" w:hAnsi="Calibri" w:cs="Times New Roman"/>
      <w:kern w:val="2"/>
      <w:sz w:val="18"/>
      <w:szCs w:val="18"/>
    </w:rPr>
  </w:style>
  <w:style w:type="character" w:customStyle="1" w:styleId="Char0">
    <w:name w:val="纯文本 Char"/>
    <w:link w:val="PlainText"/>
    <w:uiPriority w:val="99"/>
    <w:qFormat/>
    <w:locked/>
    <w:rPr>
      <w:rFonts w:ascii="宋体" w:eastAsia="宋体" w:hAnsi="Courier New" w:cs="Courier New"/>
      <w:kern w:val="2"/>
      <w:sz w:val="21"/>
      <w:szCs w:val="21"/>
    </w:rPr>
  </w:style>
  <w:style w:type="character" w:customStyle="1" w:styleId="Char1">
    <w:name w:val="批注文字 Char"/>
    <w:basedOn w:val="DefaultParagraphFont"/>
    <w:link w:val="CommentText"/>
    <w:qFormat/>
    <w:rPr>
      <w:rFonts w:ascii="Calibri" w:eastAsia="宋体" w:hAnsi="Calibri" w:cs="Times New Roman"/>
      <w:kern w:val="2"/>
      <w:sz w:val="21"/>
      <w:szCs w:val="22"/>
    </w:rPr>
  </w:style>
  <w:style w:type="character" w:customStyle="1" w:styleId="Char2">
    <w:name w:val="批注主题 Char"/>
    <w:basedOn w:val="Char1"/>
    <w:link w:val="CommentSubject"/>
    <w:uiPriority w:val="99"/>
    <w:qFormat/>
    <w:rPr>
      <w:rFonts w:ascii="Calibri" w:eastAsia="宋体" w:hAnsi="Calibri" w:cs="Times New Roman"/>
      <w:b/>
      <w:bCs/>
      <w:kern w:val="2"/>
      <w:sz w:val="21"/>
      <w:szCs w:val="22"/>
    </w:rPr>
  </w:style>
  <w:style w:type="paragraph" w:customStyle="1" w:styleId="CharCharChar">
    <w:name w:val="默认段落字体 Char Char Char"/>
    <w:basedOn w:val="Normal"/>
    <w:semiHidden/>
    <w:qFormat/>
    <w:rPr>
      <w:rFonts w:ascii="Arial" w:hAnsi="Arial" w:cs="Arial"/>
      <w:sz w:val="22"/>
      <w:lang w:eastAsia="en-US"/>
    </w:rPr>
  </w:style>
  <w:style w:type="character" w:customStyle="1" w:styleId="Char3">
    <w:name w:val="页眉 Char"/>
    <w:basedOn w:val="DefaultParagraphFont"/>
    <w:link w:val="Header"/>
    <w:qFormat/>
    <w:rPr>
      <w:rFonts w:ascii="Calibri" w:eastAsia="宋体" w:hAnsi="Calibri" w:cs="Times New Roman"/>
      <w:kern w:val="2"/>
      <w:sz w:val="18"/>
      <w:szCs w:val="18"/>
    </w:rPr>
  </w:style>
  <w:style w:type="character" w:customStyle="1" w:styleId="Char4">
    <w:name w:val="正文文本缩进 Char"/>
    <w:basedOn w:val="DefaultParagraphFont"/>
    <w:link w:val="BodyTextIndent"/>
    <w:uiPriority w:val="99"/>
    <w:qFormat/>
    <w:rPr>
      <w:rFonts w:ascii="Calibri" w:eastAsia="宋体" w:hAnsi="Calibri" w:cs="Times New Roman"/>
      <w:kern w:val="2"/>
      <w:sz w:val="21"/>
      <w:szCs w:val="22"/>
    </w:rPr>
  </w:style>
  <w:style w:type="character" w:customStyle="1" w:styleId="2Char">
    <w:name w:val="正文首行缩进 2 Char"/>
    <w:basedOn w:val="Char4"/>
    <w:link w:val="BodyTextFirstIndent2"/>
    <w:uiPriority w:val="99"/>
    <w:qFormat/>
    <w:rPr>
      <w:rFonts w:ascii="Calibri" w:eastAsia="宋体" w:hAnsi="Calibri" w:cs="Times New Roman"/>
      <w:kern w:val="2"/>
      <w:sz w:val="21"/>
      <w:szCs w:val="22"/>
    </w:rPr>
  </w:style>
  <w:style w:type="character" w:customStyle="1" w:styleId="Char5">
    <w:name w:val="页脚 Char"/>
    <w:basedOn w:val="DefaultParagraphFont"/>
    <w:link w:val="Footer"/>
    <w:qFormat/>
    <w:rPr>
      <w:rFonts w:ascii="Calibri" w:eastAsia="宋体" w:hAnsi="Calibri" w:cs="Times New Roman"/>
      <w:kern w:val="2"/>
      <w:sz w:val="18"/>
      <w:szCs w:val="18"/>
    </w:rPr>
  </w:style>
  <w:style w:type="character" w:customStyle="1" w:styleId="1Char">
    <w:name w:val="标题 1 Char"/>
    <w:basedOn w:val="DefaultParagraphFont"/>
    <w:link w:val="Heading1"/>
    <w:qFormat/>
    <w:rPr>
      <w:rFonts w:ascii="Calibri" w:eastAsia="宋体" w:hAnsi="Calibri" w:cs="Times New Roman"/>
      <w:b/>
      <w:bCs/>
      <w:kern w:val="44"/>
      <w:sz w:val="44"/>
      <w:szCs w:val="44"/>
    </w:rPr>
  </w:style>
  <w:style w:type="paragraph" w:customStyle="1" w:styleId="TOC10">
    <w:name w:val="TOC 标题1"/>
    <w:basedOn w:val="Heading1"/>
    <w:next w:val="Normal"/>
    <w:uiPriority w:val="39"/>
    <w:unhideWhenUsed/>
    <w:qFormat/>
    <w:pPr>
      <w:widowControl/>
      <w:spacing w:before="480" w:after="0" w:line="276" w:lineRule="auto"/>
      <w:jc w:val="left"/>
      <w:outlineLvl w:val="9"/>
    </w:pPr>
    <w:rPr>
      <w:rFonts w:asciiTheme="majorHAnsi" w:eastAsiaTheme="majorEastAsia" w:hAnsiTheme="majorHAnsi" w:cstheme="majorBidi"/>
      <w:color w:val="2E75B6" w:themeColor="accent1" w:themeShade="BF"/>
      <w:kern w:val="0"/>
      <w:sz w:val="28"/>
      <w:szCs w:val="28"/>
    </w:rPr>
  </w:style>
  <w:style w:type="paragraph" w:customStyle="1" w:styleId="Default">
    <w:name w:val="Default"/>
    <w:uiPriority w:val="99"/>
    <w:unhideWhenUsed/>
    <w:qFormat/>
    <w:pPr>
      <w:widowControl w:val="0"/>
      <w:autoSpaceDE w:val="0"/>
      <w:autoSpaceDN w:val="0"/>
      <w:adjustRightInd w:val="0"/>
    </w:pPr>
    <w:rPr>
      <w:rFonts w:ascii="FZFangSong-Z02" w:eastAsia="FZFangSong-Z02" w:hAnsi="FZFangSong-Z02" w:cs="Times New Roman" w:hint="eastAsia"/>
      <w:color w:val="000000"/>
      <w:sz w:val="24"/>
      <w:lang w:val="en-US" w:eastAsia="zh-CN" w:bidi="ar-SA"/>
    </w:rPr>
  </w:style>
  <w:style w:type="character" w:customStyle="1" w:styleId="10">
    <w:name w:val="默认段落字体1"/>
    <w:qFormat/>
  </w:style>
  <w:style w:type="paragraph" w:customStyle="1" w:styleId="Heading">
    <w:name w:val="Heading"/>
    <w:basedOn w:val="Normal"/>
    <w:next w:val="BodyText"/>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Normal"/>
    <w:qFormat/>
    <w:pPr>
      <w:suppressLineNumbers/>
      <w:suppressAutoHyphens/>
    </w:pPr>
    <w:rPr>
      <w:szCs w:val="24"/>
    </w:rPr>
  </w:style>
  <w:style w:type="paragraph" w:customStyle="1" w:styleId="TableText">
    <w:name w:val="Table Text"/>
    <w:basedOn w:val="Normal"/>
    <w:semiHidden/>
    <w:qFormat/>
    <w:pPr>
      <w:suppressAutoHyphens/>
    </w:pPr>
    <w:rPr>
      <w:rFonts w:ascii="宋体" w:hAnsi="宋体" w:cs="宋体"/>
      <w:sz w:val="24"/>
      <w:szCs w:val="24"/>
      <w:lang w:eastAsia="en-US"/>
    </w:rPr>
  </w:style>
  <w:style w:type="character" w:customStyle="1" w:styleId="2Char0">
    <w:name w:val="标题 2 Char"/>
    <w:basedOn w:val="DefaultParagraphFont"/>
    <w:link w:val="Heading2"/>
    <w:qFormat/>
    <w:rPr>
      <w:rFonts w:ascii="Cambria" w:eastAsia="方正大标宋简体" w:hAnsi="Cambria" w:cs="Times New Roman"/>
      <w:bCs/>
      <w:kern w:val="2"/>
      <w:sz w:val="36"/>
      <w:szCs w:val="32"/>
    </w:rPr>
  </w:style>
  <w:style w:type="character" w:customStyle="1" w:styleId="4Char">
    <w:name w:val="标题 4 Char"/>
    <w:basedOn w:val="DefaultParagraphFont"/>
    <w:link w:val="Heading4"/>
    <w:uiPriority w:val="99"/>
    <w:qFormat/>
    <w:rPr>
      <w:rFonts w:ascii="Cambria" w:eastAsia="黑体" w:hAnsi="Cambria" w:cs="Times New Roman"/>
      <w:bCs/>
      <w:kern w:val="2"/>
      <w:sz w:val="24"/>
      <w:szCs w:val="28"/>
    </w:rPr>
  </w:style>
  <w:style w:type="character" w:customStyle="1" w:styleId="5Char">
    <w:name w:val="标题 5 Char"/>
    <w:basedOn w:val="DefaultParagraphFont"/>
    <w:link w:val="Heading5"/>
    <w:qFormat/>
    <w:rPr>
      <w:rFonts w:ascii="Calibri" w:eastAsia="宋体" w:hAnsi="Calibri" w:cs="Times New Roman"/>
      <w:b/>
      <w:bCs/>
      <w:kern w:val="2"/>
      <w:sz w:val="28"/>
      <w:szCs w:val="28"/>
    </w:rPr>
  </w:style>
  <w:style w:type="character" w:customStyle="1" w:styleId="6Char">
    <w:name w:val="标题 6 Char"/>
    <w:basedOn w:val="DefaultParagraphFont"/>
    <w:link w:val="Heading6"/>
    <w:qFormat/>
    <w:rPr>
      <w:rFonts w:ascii="Cambria" w:eastAsia="宋体" w:hAnsi="Cambria" w:cs="Times New Roman"/>
      <w:b/>
      <w:bCs/>
      <w:kern w:val="2"/>
      <w:sz w:val="24"/>
      <w:szCs w:val="24"/>
    </w:rPr>
  </w:style>
  <w:style w:type="character" w:customStyle="1" w:styleId="7Char">
    <w:name w:val="标题 7 Char"/>
    <w:basedOn w:val="DefaultParagraphFont"/>
    <w:link w:val="Heading7"/>
    <w:qFormat/>
    <w:rPr>
      <w:rFonts w:ascii="Calibri" w:eastAsia="宋体" w:hAnsi="Calibri" w:cs="Times New Roman"/>
      <w:b/>
      <w:bCs/>
      <w:kern w:val="2"/>
      <w:sz w:val="24"/>
      <w:szCs w:val="24"/>
    </w:rPr>
  </w:style>
  <w:style w:type="character" w:customStyle="1" w:styleId="8Char">
    <w:name w:val="标题 8 Char"/>
    <w:basedOn w:val="DefaultParagraphFont"/>
    <w:link w:val="Heading8"/>
    <w:qFormat/>
    <w:rPr>
      <w:rFonts w:ascii="Cambria" w:eastAsia="宋体" w:hAnsi="Cambria" w:cs="Times New Roman"/>
      <w:kern w:val="2"/>
      <w:sz w:val="24"/>
      <w:szCs w:val="24"/>
    </w:rPr>
  </w:style>
  <w:style w:type="character" w:customStyle="1" w:styleId="9Char">
    <w:name w:val="标题 9 Char"/>
    <w:basedOn w:val="DefaultParagraphFont"/>
    <w:link w:val="Heading9"/>
    <w:qFormat/>
    <w:rPr>
      <w:rFonts w:ascii="Cambria" w:eastAsia="宋体" w:hAnsi="Cambria" w:cs="Times New Roman"/>
      <w:kern w:val="2"/>
      <w:sz w:val="21"/>
      <w:szCs w:val="21"/>
    </w:rPr>
  </w:style>
  <w:style w:type="character" w:customStyle="1" w:styleId="Char6">
    <w:name w:val="文档结构图 Char"/>
    <w:basedOn w:val="DefaultParagraphFont"/>
    <w:link w:val="DocumentMap"/>
    <w:uiPriority w:val="99"/>
    <w:qFormat/>
    <w:rPr>
      <w:rFonts w:ascii="宋体" w:eastAsia="宋体" w:hAnsi="Calibri" w:cs="Times New Roman"/>
      <w:kern w:val="2"/>
      <w:sz w:val="18"/>
      <w:szCs w:val="18"/>
    </w:rPr>
  </w:style>
  <w:style w:type="character" w:customStyle="1" w:styleId="3Char0">
    <w:name w:val="正文文本 3 Char"/>
    <w:basedOn w:val="DefaultParagraphFont"/>
    <w:uiPriority w:val="99"/>
    <w:qFormat/>
    <w:rPr>
      <w:rFonts w:ascii="Calibri" w:eastAsia="宋体" w:hAnsi="Calibri" w:cs="Times New Roman"/>
      <w:kern w:val="2"/>
      <w:sz w:val="16"/>
      <w:szCs w:val="16"/>
    </w:rPr>
  </w:style>
  <w:style w:type="character" w:customStyle="1" w:styleId="Char7">
    <w:name w:val="日期 Char"/>
    <w:basedOn w:val="DefaultParagraphFont"/>
    <w:qFormat/>
    <w:rPr>
      <w:rFonts w:ascii="Calibri" w:eastAsia="宋体" w:hAnsi="Calibri" w:cs="Times New Roman"/>
      <w:kern w:val="2"/>
      <w:sz w:val="21"/>
      <w:szCs w:val="22"/>
    </w:rPr>
  </w:style>
  <w:style w:type="character" w:customStyle="1" w:styleId="2Char1">
    <w:name w:val="正文文本缩进 2 Char"/>
    <w:basedOn w:val="DefaultParagraphFont"/>
    <w:uiPriority w:val="99"/>
    <w:qFormat/>
    <w:rPr>
      <w:rFonts w:ascii="Calibri" w:eastAsia="宋体" w:hAnsi="Calibri" w:cs="Times New Roman"/>
      <w:kern w:val="2"/>
      <w:sz w:val="21"/>
      <w:szCs w:val="22"/>
    </w:rPr>
  </w:style>
  <w:style w:type="character" w:customStyle="1" w:styleId="Char8">
    <w:name w:val="尾注文本 Char"/>
    <w:basedOn w:val="DefaultParagraphFont"/>
    <w:uiPriority w:val="99"/>
    <w:qFormat/>
    <w:rPr>
      <w:rFonts w:ascii="Calibri" w:eastAsia="宋体" w:hAnsi="Calibri" w:cs="Times New Roman"/>
      <w:kern w:val="2"/>
      <w:sz w:val="21"/>
      <w:szCs w:val="22"/>
    </w:rPr>
  </w:style>
  <w:style w:type="character" w:customStyle="1" w:styleId="Char9">
    <w:name w:val="副标题 Char"/>
    <w:basedOn w:val="DefaultParagraphFont"/>
    <w:link w:val="Subtitle"/>
    <w:uiPriority w:val="11"/>
    <w:qFormat/>
    <w:rPr>
      <w:rFonts w:ascii="Calibri Light" w:eastAsia="宋体" w:hAnsi="Calibri Light" w:cs="Times New Roman"/>
      <w:b/>
      <w:bCs/>
      <w:kern w:val="28"/>
      <w:sz w:val="32"/>
      <w:szCs w:val="32"/>
    </w:rPr>
  </w:style>
  <w:style w:type="character" w:customStyle="1" w:styleId="Char10">
    <w:name w:val="脚注文本 Char"/>
    <w:basedOn w:val="DefaultParagraphFont"/>
    <w:link w:val="FootnoteText"/>
    <w:uiPriority w:val="99"/>
    <w:qFormat/>
    <w:rPr>
      <w:rFonts w:ascii="Calibri" w:eastAsia="宋体" w:hAnsi="Calibri" w:cs="Times New Roman"/>
      <w:kern w:val="2"/>
      <w:sz w:val="18"/>
      <w:szCs w:val="18"/>
    </w:rPr>
  </w:style>
  <w:style w:type="character" w:customStyle="1" w:styleId="3Char1">
    <w:name w:val="正文文本缩进 3 Char"/>
    <w:basedOn w:val="DefaultParagraphFont"/>
    <w:uiPriority w:val="99"/>
    <w:qFormat/>
    <w:rPr>
      <w:rFonts w:ascii="Calibri" w:eastAsia="宋体" w:hAnsi="Calibri" w:cs="Times New Roman"/>
      <w:kern w:val="2"/>
      <w:sz w:val="16"/>
      <w:szCs w:val="16"/>
    </w:rPr>
  </w:style>
  <w:style w:type="character" w:customStyle="1" w:styleId="2Char2">
    <w:name w:val="正文文本 2 Char"/>
    <w:basedOn w:val="DefaultParagraphFont"/>
    <w:uiPriority w:val="99"/>
    <w:qFormat/>
    <w:rPr>
      <w:rFonts w:ascii="Calibri" w:eastAsia="宋体" w:hAnsi="Calibri" w:cs="Times New Roman"/>
      <w:kern w:val="2"/>
      <w:sz w:val="21"/>
      <w:szCs w:val="22"/>
    </w:rPr>
  </w:style>
  <w:style w:type="character" w:customStyle="1" w:styleId="HTMLChar">
    <w:name w:val="HTML 预设格式 Char"/>
    <w:basedOn w:val="DefaultParagraphFont"/>
    <w:link w:val="HTMLPreformatted"/>
    <w:uiPriority w:val="99"/>
    <w:qFormat/>
    <w:rPr>
      <w:rFonts w:ascii="宋体" w:eastAsia="宋体" w:hAnsi="宋体" w:cs="Times New Roman"/>
      <w:sz w:val="24"/>
      <w:szCs w:val="24"/>
    </w:rPr>
  </w:style>
  <w:style w:type="character" w:customStyle="1" w:styleId="Char11">
    <w:name w:val="标题 Char"/>
    <w:basedOn w:val="DefaultParagraphFont"/>
    <w:link w:val="Title"/>
    <w:uiPriority w:val="10"/>
    <w:qFormat/>
    <w:rPr>
      <w:rFonts w:ascii="Arial Unicode MS" w:eastAsia="Arial Unicode MS" w:hAnsi="Arial Unicode MS" w:cs="Arial Unicode MS"/>
      <w:kern w:val="2"/>
      <w:sz w:val="44"/>
      <w:szCs w:val="44"/>
    </w:rPr>
  </w:style>
  <w:style w:type="character" w:customStyle="1" w:styleId="Char12">
    <w:name w:val="正文文本 Char"/>
    <w:basedOn w:val="DefaultParagraphFont"/>
    <w:link w:val="BodyText"/>
    <w:qFormat/>
    <w:rPr>
      <w:rFonts w:ascii="Calibri" w:eastAsia="宋体" w:hAnsi="Calibri" w:cs="Times New Roman"/>
      <w:b/>
      <w:kern w:val="2"/>
      <w:sz w:val="21"/>
      <w:szCs w:val="24"/>
    </w:rPr>
  </w:style>
  <w:style w:type="character" w:customStyle="1" w:styleId="Char13">
    <w:name w:val="正文首行缩进 Char"/>
    <w:basedOn w:val="Char12"/>
    <w:link w:val="BodyTextFirstIndent"/>
    <w:qFormat/>
    <w:rPr>
      <w:rFonts w:ascii="宋体" w:eastAsia="宋体" w:hAnsi="宋体" w:cs="宋体"/>
      <w:b w:val="0"/>
      <w:kern w:val="2"/>
      <w:sz w:val="34"/>
      <w:szCs w:val="24"/>
    </w:rPr>
  </w:style>
  <w:style w:type="table" w:customStyle="1" w:styleId="11">
    <w:name w:val="网格型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firstLine="420" w:firstLineChars="200"/>
    </w:pPr>
  </w:style>
  <w:style w:type="paragraph" w:customStyle="1" w:styleId="a0">
    <w:name w:val="表格文字 居中加粗"/>
    <w:basedOn w:val="Normal"/>
    <w:uiPriority w:val="99"/>
    <w:qFormat/>
    <w:pPr>
      <w:widowControl/>
      <w:overflowPunct w:val="0"/>
      <w:autoSpaceDE w:val="0"/>
      <w:autoSpaceDN w:val="0"/>
      <w:adjustRightInd w:val="0"/>
      <w:jc w:val="center"/>
    </w:pPr>
    <w:rPr>
      <w:rFonts w:ascii="Times New Roman" w:hAnsi="Times New Roman" w:cs="宋体"/>
      <w:b/>
      <w:bCs/>
      <w:kern w:val="0"/>
      <w:szCs w:val="20"/>
    </w:rPr>
  </w:style>
  <w:style w:type="paragraph" w:customStyle="1" w:styleId="a1">
    <w:name w:val="表格文字 居中"/>
    <w:basedOn w:val="Normal"/>
    <w:uiPriority w:val="99"/>
    <w:qFormat/>
    <w:pPr>
      <w:widowControl/>
      <w:overflowPunct w:val="0"/>
      <w:autoSpaceDE w:val="0"/>
      <w:autoSpaceDN w:val="0"/>
      <w:adjustRightInd w:val="0"/>
      <w:jc w:val="center"/>
    </w:pPr>
    <w:rPr>
      <w:rFonts w:ascii="Times New Roman" w:hAnsi="Times New Roman"/>
      <w:kern w:val="0"/>
      <w:szCs w:val="20"/>
    </w:rPr>
  </w:style>
  <w:style w:type="paragraph" w:customStyle="1" w:styleId="a2">
    <w:name w:val="表格文字 左对齐"/>
    <w:basedOn w:val="a1"/>
    <w:uiPriority w:val="99"/>
    <w:qFormat/>
    <w:pPr>
      <w:jc w:val="both"/>
    </w:pPr>
  </w:style>
  <w:style w:type="paragraph" w:customStyle="1" w:styleId="12">
    <w:name w:val="修订1"/>
    <w:uiPriority w:val="99"/>
    <w:qFormat/>
    <w:rPr>
      <w:rFonts w:ascii="Calibri" w:eastAsia="宋体" w:hAnsi="Calibri" w:cs="Times New Roman"/>
      <w:kern w:val="2"/>
      <w:sz w:val="21"/>
      <w:szCs w:val="22"/>
      <w:lang w:val="en-US" w:eastAsia="zh-CN" w:bidi="ar-SA"/>
    </w:rPr>
  </w:style>
  <w:style w:type="paragraph" w:customStyle="1" w:styleId="WPSOffice1">
    <w:name w:val="WPSOffice手动目录 1"/>
    <w:uiPriority w:val="99"/>
    <w:qFormat/>
    <w:rPr>
      <w:rFonts w:ascii="Calibri" w:eastAsia="宋体" w:hAnsi="Calibri" w:cs="Times New Roman"/>
      <w:sz w:val="24"/>
      <w:lang w:val="en-US" w:eastAsia="zh-CN" w:bidi="ar-SA"/>
    </w:rPr>
  </w:style>
  <w:style w:type="paragraph" w:customStyle="1" w:styleId="WPSOffice2">
    <w:name w:val="WPSOffice手动目录 2"/>
    <w:uiPriority w:val="99"/>
    <w:qFormat/>
    <w:pPr>
      <w:ind w:left="200" w:leftChars="200"/>
    </w:pPr>
    <w:rPr>
      <w:rFonts w:ascii="Calibri" w:eastAsia="宋体" w:hAnsi="Calibri" w:cs="Times New Roman"/>
      <w:sz w:val="24"/>
      <w:lang w:val="en-US" w:eastAsia="zh-CN" w:bidi="ar-SA"/>
    </w:rPr>
  </w:style>
  <w:style w:type="paragraph" w:customStyle="1" w:styleId="WPSOffice3">
    <w:name w:val="WPSOffice手动目录 3"/>
    <w:uiPriority w:val="99"/>
    <w:qFormat/>
    <w:pPr>
      <w:ind w:left="400" w:leftChars="400"/>
    </w:pPr>
    <w:rPr>
      <w:rFonts w:ascii="Calibri" w:eastAsia="宋体" w:hAnsi="Calibri" w:cs="Times New Roman"/>
      <w:sz w:val="24"/>
      <w:lang w:val="en-US" w:eastAsia="zh-CN" w:bidi="ar-SA"/>
    </w:rPr>
  </w:style>
  <w:style w:type="paragraph" w:customStyle="1" w:styleId="TableParagraph">
    <w:name w:val="Table Paragraph"/>
    <w:basedOn w:val="Normal"/>
    <w:uiPriority w:val="1"/>
    <w:qFormat/>
    <w:pPr>
      <w:jc w:val="left"/>
    </w:pPr>
    <w:rPr>
      <w:rFonts w:eastAsia="Calibri" w:cs="黑体"/>
      <w:kern w:val="0"/>
      <w:sz w:val="22"/>
      <w:lang w:eastAsia="en-US"/>
    </w:rPr>
  </w:style>
  <w:style w:type="paragraph" w:customStyle="1" w:styleId="MainTitle">
    <w:name w:val="Main Title"/>
    <w:next w:val="Normal"/>
    <w:uiPriority w:val="99"/>
    <w:qFormat/>
    <w:pPr>
      <w:adjustRightInd w:val="0"/>
      <w:snapToGrid w:val="0"/>
      <w:spacing w:afterLines="50" w:line="360" w:lineRule="auto"/>
      <w:jc w:val="center"/>
    </w:pPr>
    <w:rPr>
      <w:rFonts w:ascii="黑体" w:eastAsia="黑体" w:hAnsi="黑体" w:cs="Times New Roman"/>
      <w:b/>
      <w:kern w:val="2"/>
      <w:sz w:val="36"/>
      <w:szCs w:val="22"/>
      <w:lang w:val="zh-CN" w:eastAsia="zh-CN" w:bidi="ar-SA"/>
    </w:rPr>
  </w:style>
  <w:style w:type="paragraph" w:customStyle="1" w:styleId="table">
    <w:name w:val="table"/>
    <w:uiPriority w:val="99"/>
    <w:qFormat/>
    <w:pPr>
      <w:framePr w:hSpace="180" w:wrap="around" w:vAnchor="text" w:hAnchor="margin" w:y="1418"/>
      <w:adjustRightInd w:val="0"/>
      <w:snapToGrid w:val="0"/>
    </w:pPr>
    <w:rPr>
      <w:rFonts w:ascii="宋体" w:eastAsia="宋体" w:hAnsi="Calibri" w:cs="Times New Roman"/>
      <w:kern w:val="2"/>
      <w:sz w:val="24"/>
      <w:szCs w:val="22"/>
      <w:lang w:val="en-US" w:eastAsia="zh-CN" w:bidi="ar-SA"/>
    </w:rPr>
  </w:style>
  <w:style w:type="character" w:styleId="PlaceholderText">
    <w:name w:val="Placeholder Text"/>
    <w:uiPriority w:val="99"/>
    <w:semiHidden/>
    <w:qFormat/>
    <w:rPr>
      <w:color w:val="808080"/>
    </w:rPr>
  </w:style>
  <w:style w:type="character" w:customStyle="1" w:styleId="13">
    <w:name w:val="标题 1 字符"/>
    <w:uiPriority w:val="9"/>
    <w:qFormat/>
    <w:rPr>
      <w:rFonts w:ascii="黑体" w:eastAsia="黑体" w:hAnsi="黑体" w:hint="eastAsia"/>
      <w:bCs/>
      <w:kern w:val="44"/>
      <w:sz w:val="44"/>
      <w:szCs w:val="44"/>
    </w:rPr>
  </w:style>
  <w:style w:type="character" w:customStyle="1" w:styleId="3">
    <w:name w:val="标题 3 字符"/>
    <w:uiPriority w:val="9"/>
    <w:qFormat/>
    <w:rPr>
      <w:rFonts w:ascii="黑体" w:eastAsia="黑体" w:hAnsi="黑体" w:hint="eastAsia"/>
      <w:bCs/>
      <w:sz w:val="32"/>
      <w:szCs w:val="32"/>
    </w:rPr>
  </w:style>
  <w:style w:type="character" w:customStyle="1" w:styleId="bjh-p">
    <w:name w:val="bjh-p"/>
    <w:qFormat/>
  </w:style>
  <w:style w:type="character" w:customStyle="1" w:styleId="bjh-strong">
    <w:name w:val="bjh-strong"/>
    <w:qFormat/>
  </w:style>
  <w:style w:type="character" w:customStyle="1" w:styleId="3Char10">
    <w:name w:val="正文文本 3 Char1"/>
    <w:link w:val="BodyText3"/>
    <w:qFormat/>
    <w:rPr>
      <w:rFonts w:ascii="Times New Roman" w:eastAsia="宋体" w:hAnsi="Times New Roman" w:cs="Times New Roman"/>
      <w:b/>
      <w:bCs/>
      <w:sz w:val="24"/>
      <w:szCs w:val="24"/>
    </w:rPr>
  </w:style>
  <w:style w:type="character" w:customStyle="1" w:styleId="Char14">
    <w:name w:val="正文文本缩进 Char1"/>
    <w:qFormat/>
    <w:rPr>
      <w:rFonts w:ascii="仿宋_GB2312" w:eastAsia="仿宋_GB2312" w:hAnsi="Times New Roman" w:cs="Times New Roman"/>
      <w:kern w:val="0"/>
      <w:sz w:val="32"/>
      <w:szCs w:val="20"/>
    </w:rPr>
  </w:style>
  <w:style w:type="character" w:customStyle="1" w:styleId="Char15">
    <w:name w:val="日期 Char1"/>
    <w:link w:val="Date"/>
    <w:qFormat/>
    <w:rPr>
      <w:rFonts w:ascii="Calibri" w:eastAsia="宋体" w:hAnsi="Calibri" w:cs="Times New Roman"/>
      <w:spacing w:val="30"/>
      <w:kern w:val="2"/>
      <w:sz w:val="28"/>
      <w:szCs w:val="21"/>
    </w:rPr>
  </w:style>
  <w:style w:type="character" w:customStyle="1" w:styleId="2Char10">
    <w:name w:val="正文文本缩进 2 Char1"/>
    <w:link w:val="BodyTextIndent2"/>
    <w:qFormat/>
    <w:rPr>
      <w:rFonts w:ascii="Times New Roman" w:eastAsia="宋体" w:hAnsi="Times New Roman" w:cs="Times New Roman"/>
      <w:sz w:val="32"/>
    </w:rPr>
  </w:style>
  <w:style w:type="character" w:customStyle="1" w:styleId="Char16">
    <w:name w:val="尾注文本 Char1"/>
    <w:link w:val="EndnoteText"/>
    <w:uiPriority w:val="99"/>
    <w:qFormat/>
    <w:rPr>
      <w:rFonts w:ascii="Times New Roman" w:eastAsia="宋体" w:hAnsi="Times New Roman" w:cs="Times New Roman"/>
      <w:kern w:val="2"/>
      <w:sz w:val="21"/>
      <w:szCs w:val="24"/>
    </w:rPr>
  </w:style>
  <w:style w:type="character" w:customStyle="1" w:styleId="Char17">
    <w:name w:val="脚注文本 Char1"/>
    <w:uiPriority w:val="99"/>
    <w:qFormat/>
    <w:rPr>
      <w:kern w:val="2"/>
      <w:sz w:val="18"/>
      <w:szCs w:val="18"/>
    </w:rPr>
  </w:style>
  <w:style w:type="character" w:customStyle="1" w:styleId="3Char11">
    <w:name w:val="正文文本缩进 3 Char1"/>
    <w:link w:val="BodyTextIndent3"/>
    <w:qFormat/>
    <w:rPr>
      <w:rFonts w:ascii="Times New Roman" w:eastAsia="宋体" w:hAnsi="Times New Roman" w:cs="Times New Roman"/>
      <w:sz w:val="16"/>
      <w:szCs w:val="16"/>
    </w:rPr>
  </w:style>
  <w:style w:type="character" w:customStyle="1" w:styleId="2Char11">
    <w:name w:val="正文文本 2 Char1"/>
    <w:link w:val="BodyText2"/>
    <w:qFormat/>
    <w:rPr>
      <w:rFonts w:ascii="Times New Roman" w:eastAsia="宋体" w:hAnsi="Times New Roman" w:cs="Times New Roman"/>
      <w:szCs w:val="24"/>
    </w:rPr>
  </w:style>
  <w:style w:type="table" w:customStyle="1" w:styleId="110">
    <w:name w:val="网格型11"/>
    <w:basedOn w:val="TableNormal"/>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8">
    <w:name w:val="纯文本 Char1"/>
    <w:qFormat/>
    <w:rPr>
      <w:rFonts w:ascii="宋体" w:eastAsia="宋体" w:hAnsi="Courier New"/>
      <w:kern w:val="2"/>
      <w:sz w:val="21"/>
      <w:lang w:val="en-US" w:eastAsia="zh-CN" w:bidi="ar-SA"/>
    </w:rPr>
  </w:style>
  <w:style w:type="character" w:customStyle="1" w:styleId="Char20">
    <w:name w:val="纯文本 Char2"/>
    <w:qFormat/>
    <w:locked/>
    <w:rPr>
      <w:rFonts w:ascii="宋体" w:eastAsia="宋体" w:hAnsi="Courier New" w:cs="宋体"/>
      <w:kern w:val="2"/>
      <w:sz w:val="21"/>
      <w:szCs w:val="21"/>
      <w:lang w:val="en-US" w:eastAsia="zh-CN" w:bidi="ar-SA"/>
    </w:rPr>
  </w:style>
  <w:style w:type="character" w:customStyle="1" w:styleId="Char30">
    <w:name w:val="纯文本 Char3"/>
    <w:qFormat/>
    <w:locked/>
    <w:rPr>
      <w:rFonts w:ascii="宋体" w:eastAsia="宋体" w:hAnsi="Courier New" w:cs="宋体"/>
      <w:kern w:val="2"/>
      <w:sz w:val="21"/>
      <w:szCs w:val="21"/>
      <w:lang w:val="en-US" w:eastAsia="zh-CN" w:bidi="ar-SA"/>
    </w:rPr>
  </w:style>
  <w:style w:type="paragraph" w:customStyle="1" w:styleId="14">
    <w:name w:val="正文1"/>
    <w:basedOn w:val="Normal"/>
    <w:qFormat/>
    <w:pPr>
      <w:spacing w:line="318" w:lineRule="atLeast"/>
      <w:ind w:left="369" w:firstLine="369"/>
    </w:pPr>
    <w:rPr>
      <w:rFonts w:ascii="Times New Roman" w:hAnsi="Times New Roman" w:cs="Calibri"/>
      <w:szCs w:val="20"/>
    </w:rPr>
  </w:style>
  <w:style w:type="paragraph" w:customStyle="1" w:styleId="a3">
    <w:name w:val="表格文字"/>
    <w:basedOn w:val="Normal"/>
    <w:qFormat/>
    <w:pPr>
      <w:spacing w:before="25" w:after="25" w:line="300" w:lineRule="auto"/>
      <w:ind w:firstLine="200" w:firstLineChars="200"/>
    </w:pPr>
    <w:rPr>
      <w:rFonts w:ascii="Times New Roman" w:hAnsi="Times New Roman" w:cs="Calibri"/>
      <w:spacing w:val="10"/>
      <w:kern w:val="0"/>
      <w:sz w:val="24"/>
      <w:szCs w:val="21"/>
    </w:rPr>
  </w:style>
  <w:style w:type="paragraph" w:customStyle="1" w:styleId="a4">
    <w:name w:val="_正文"/>
    <w:basedOn w:val="Normal"/>
    <w:qFormat/>
    <w:pPr>
      <w:adjustRightInd w:val="0"/>
      <w:snapToGrid w:val="0"/>
      <w:spacing w:line="360" w:lineRule="auto"/>
      <w:ind w:firstLine="200" w:firstLineChars="200"/>
    </w:pPr>
    <w:rPr>
      <w:rFonts w:ascii="Times New Roman" w:hAnsi="Times New Roman" w:cs="Calibri"/>
      <w:sz w:val="24"/>
      <w:szCs w:val="21"/>
    </w:rPr>
  </w:style>
  <w:style w:type="paragraph" w:customStyle="1" w:styleId="15">
    <w:name w:val="列出段落1"/>
    <w:basedOn w:val="Normal"/>
    <w:qFormat/>
    <w:pPr>
      <w:ind w:firstLine="420" w:firstLineChars="200"/>
    </w:pPr>
    <w:rPr>
      <w:rFonts w:ascii="Times New Roman" w:hAnsi="Times New Roman" w:cs="Calibri"/>
      <w:szCs w:val="21"/>
    </w:rPr>
  </w:style>
  <w:style w:type="character" w:customStyle="1" w:styleId="16">
    <w:name w:val="纯文本 字符1"/>
    <w:qFormat/>
    <w:rPr>
      <w:rFonts w:ascii="宋体" w:hAnsi="Courier New"/>
      <w:szCs w:val="21"/>
    </w:rPr>
  </w:style>
  <w:style w:type="paragraph" w:customStyle="1" w:styleId="a5">
    <w:name w:val="首行缩进"/>
    <w:basedOn w:val="Normal"/>
    <w:qFormat/>
    <w:pPr>
      <w:ind w:firstLine="480" w:firstLineChars="200"/>
    </w:pPr>
    <w:rPr>
      <w:rFonts w:ascii="Times New Roman" w:hAnsi="Times New Roman"/>
      <w:szCs w:val="24"/>
    </w:rPr>
  </w:style>
  <w:style w:type="character" w:customStyle="1" w:styleId="1Char1">
    <w:name w:val="标题 1 Char1"/>
    <w:qFormat/>
    <w:rPr>
      <w:b/>
      <w:bCs/>
      <w:kern w:val="44"/>
      <w:sz w:val="44"/>
      <w:szCs w:val="44"/>
    </w:rPr>
  </w:style>
  <w:style w:type="character" w:customStyle="1" w:styleId="2Char12">
    <w:name w:val="标题 2 Char1"/>
    <w:qFormat/>
    <w:rPr>
      <w:rFonts w:ascii="Arial" w:eastAsia="黑体" w:hAnsi="Arial"/>
      <w:b/>
      <w:bCs/>
      <w:sz w:val="32"/>
      <w:szCs w:val="32"/>
    </w:rPr>
  </w:style>
  <w:style w:type="character" w:customStyle="1" w:styleId="3Char12">
    <w:name w:val="标题 3 Char1"/>
    <w:qFormat/>
    <w:rPr>
      <w:b/>
      <w:bCs/>
      <w:sz w:val="32"/>
      <w:szCs w:val="32"/>
    </w:rPr>
  </w:style>
  <w:style w:type="character" w:customStyle="1" w:styleId="5Char2">
    <w:name w:val="标题 5 Char2"/>
    <w:qFormat/>
    <w:rPr>
      <w:b/>
      <w:kern w:val="2"/>
      <w:sz w:val="28"/>
      <w:szCs w:val="24"/>
    </w:rPr>
  </w:style>
  <w:style w:type="character" w:customStyle="1" w:styleId="6Char1">
    <w:name w:val="标题 6 Char1"/>
    <w:qFormat/>
    <w:rPr>
      <w:rFonts w:ascii="Arial" w:eastAsia="黑体" w:hAnsi="Arial"/>
      <w:b/>
      <w:kern w:val="2"/>
      <w:sz w:val="24"/>
      <w:szCs w:val="24"/>
    </w:rPr>
  </w:style>
  <w:style w:type="character" w:customStyle="1" w:styleId="7Char1">
    <w:name w:val="标题 7 Char1"/>
    <w:qFormat/>
    <w:rPr>
      <w:b/>
      <w:kern w:val="2"/>
      <w:sz w:val="24"/>
      <w:szCs w:val="24"/>
    </w:rPr>
  </w:style>
  <w:style w:type="character" w:customStyle="1" w:styleId="8Char1">
    <w:name w:val="标题 8 Char1"/>
    <w:qFormat/>
    <w:rPr>
      <w:rFonts w:ascii="Arial" w:eastAsia="黑体" w:hAnsi="Arial"/>
      <w:kern w:val="2"/>
      <w:sz w:val="24"/>
      <w:szCs w:val="24"/>
    </w:rPr>
  </w:style>
  <w:style w:type="character" w:customStyle="1" w:styleId="9Char1">
    <w:name w:val="标题 9 Char1"/>
    <w:qFormat/>
    <w:rPr>
      <w:rFonts w:ascii="Arial" w:eastAsia="黑体" w:hAnsi="Arial"/>
      <w:kern w:val="2"/>
      <w:sz w:val="21"/>
      <w:szCs w:val="24"/>
    </w:rPr>
  </w:style>
  <w:style w:type="character" w:customStyle="1" w:styleId="Char21">
    <w:name w:val="批注文字 Char2"/>
    <w:qFormat/>
    <w:rPr>
      <w:kern w:val="2"/>
      <w:sz w:val="21"/>
      <w:szCs w:val="24"/>
    </w:rPr>
  </w:style>
  <w:style w:type="character" w:customStyle="1" w:styleId="Char19">
    <w:name w:val="正文文本 Char1"/>
    <w:uiPriority w:val="99"/>
    <w:qFormat/>
    <w:rPr>
      <w:sz w:val="24"/>
      <w:szCs w:val="24"/>
    </w:rPr>
  </w:style>
  <w:style w:type="character" w:customStyle="1" w:styleId="Char110">
    <w:name w:val="批注框文本 Char1"/>
    <w:semiHidden/>
    <w:qFormat/>
    <w:rPr>
      <w:sz w:val="18"/>
      <w:szCs w:val="18"/>
    </w:rPr>
  </w:style>
  <w:style w:type="character" w:customStyle="1" w:styleId="Char111">
    <w:name w:val="页脚 Char1"/>
    <w:qFormat/>
    <w:rPr>
      <w:sz w:val="18"/>
      <w:szCs w:val="18"/>
    </w:rPr>
  </w:style>
  <w:style w:type="character" w:customStyle="1" w:styleId="Char112">
    <w:name w:val="页眉 Char1"/>
    <w:qFormat/>
    <w:rPr>
      <w:kern w:val="2"/>
      <w:sz w:val="18"/>
      <w:szCs w:val="18"/>
    </w:rPr>
  </w:style>
  <w:style w:type="character" w:customStyle="1" w:styleId="Char113">
    <w:name w:val="标题 Char1"/>
    <w:uiPriority w:val="10"/>
    <w:qFormat/>
    <w:rPr>
      <w:rFonts w:ascii="Cambria" w:hAnsi="Cambria"/>
      <w:b/>
      <w:bCs/>
      <w:kern w:val="2"/>
      <w:sz w:val="32"/>
      <w:szCs w:val="32"/>
    </w:rPr>
  </w:style>
  <w:style w:type="character" w:customStyle="1" w:styleId="Char114">
    <w:name w:val="批注主题 Char1"/>
    <w:uiPriority w:val="99"/>
    <w:qFormat/>
    <w:rPr>
      <w:b/>
      <w:bCs/>
      <w:kern w:val="2"/>
      <w:sz w:val="21"/>
      <w:szCs w:val="24"/>
    </w:rPr>
  </w:style>
  <w:style w:type="character" w:customStyle="1" w:styleId="Char115">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6">
    <w:name w:val="批注文字 字符"/>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pple-style-span">
    <w:name w:val="apple-style-span"/>
    <w:qFormat/>
  </w:style>
  <w:style w:type="character" w:customStyle="1" w:styleId="a7">
    <w:name w:val="正文文本缩进 字符"/>
    <w:qFormat/>
    <w:rPr>
      <w:rFonts w:ascii="仿宋_GB2312" w:eastAsia="仿宋_GB2312" w:hAnsi="Times New Roman" w:cs="Times New Roman"/>
      <w:sz w:val="32"/>
      <w:szCs w:val="20"/>
    </w:rPr>
  </w:style>
  <w:style w:type="character" w:customStyle="1" w:styleId="case31">
    <w:name w:val="case31"/>
    <w:qFormat/>
    <w:rPr>
      <w:rFonts w:hint="default"/>
      <w:sz w:val="21"/>
      <w:szCs w:val="21"/>
    </w:rPr>
  </w:style>
  <w:style w:type="character" w:customStyle="1" w:styleId="a8">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9">
    <w:name w:val="正文段"/>
    <w:basedOn w:val="Normal"/>
    <w:qFormat/>
    <w:pPr>
      <w:widowControl/>
      <w:snapToGrid w:val="0"/>
      <w:spacing w:after="50" w:afterLines="50"/>
      <w:ind w:firstLine="200" w:firstLineChars="200"/>
    </w:pPr>
    <w:rPr>
      <w:rFonts w:ascii="Times New Roman" w:hAnsi="Times New Roman"/>
      <w:kern w:val="0"/>
      <w:sz w:val="24"/>
      <w:szCs w:val="20"/>
    </w:rPr>
  </w:style>
  <w:style w:type="paragraph" w:customStyle="1" w:styleId="a10">
    <w:name w:val="表内文字"/>
    <w:basedOn w:val="Normal"/>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Normal"/>
    <w:qFormat/>
    <w:rPr>
      <w:rFonts w:ascii="Tahoma" w:hAnsi="Tahoma"/>
      <w:sz w:val="24"/>
      <w:szCs w:val="20"/>
    </w:rPr>
  </w:style>
  <w:style w:type="paragraph" w:customStyle="1" w:styleId="xl22">
    <w:name w:val="xl22"/>
    <w:basedOn w:val="Normal"/>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11">
    <w:name w:val="样式"/>
    <w:qFormat/>
    <w:pPr>
      <w:widowControl w:val="0"/>
      <w:autoSpaceDE w:val="0"/>
      <w:autoSpaceDN w:val="0"/>
      <w:adjustRightInd w:val="0"/>
      <w:jc w:val="center"/>
    </w:pPr>
    <w:rPr>
      <w:rFonts w:ascii="宋体" w:eastAsia="宋体" w:hAnsi="宋体" w:cs="宋体"/>
      <w:sz w:val="24"/>
      <w:szCs w:val="24"/>
      <w:lang w:val="en-US" w:eastAsia="zh-CN" w:bidi="ar-SA"/>
    </w:rPr>
  </w:style>
  <w:style w:type="paragraph" w:customStyle="1" w:styleId="2TimesNewRoman5020">
    <w:name w:val="样式 标题 2 + Times New Roman 四号 非加粗 段前: 5 磅 段后: 0 磅 行距: 固定值 20..."/>
    <w:basedOn w:val="Heading2"/>
    <w:qFormat/>
    <w:pPr>
      <w:spacing w:before="100" w:after="0" w:line="400" w:lineRule="exact"/>
      <w:jc w:val="both"/>
    </w:pPr>
    <w:rPr>
      <w:rFonts w:ascii="Times New Roman" w:eastAsia="黑体" w:hAnsi="Times New Roman" w:cs="宋体"/>
      <w:bCs w:val="0"/>
      <w:kern w:val="0"/>
      <w:sz w:val="28"/>
      <w:szCs w:val="20"/>
    </w:rPr>
  </w:style>
  <w:style w:type="paragraph" w:customStyle="1" w:styleId="Char116">
    <w:name w:val="Char1"/>
    <w:basedOn w:val="Normal"/>
    <w:qFormat/>
    <w:rPr>
      <w:rFonts w:ascii="Times New Roman" w:hAnsi="Times New Roman"/>
      <w:szCs w:val="21"/>
    </w:rPr>
  </w:style>
  <w:style w:type="paragraph" w:customStyle="1" w:styleId="a12">
    <w:name w:val="正文首行缩进两字符"/>
    <w:basedOn w:val="Normal"/>
    <w:qFormat/>
    <w:pPr>
      <w:spacing w:line="360" w:lineRule="auto"/>
      <w:ind w:firstLine="200" w:firstLineChars="200"/>
    </w:pPr>
    <w:rPr>
      <w:rFonts w:ascii="Times New Roman" w:hAnsi="Times New Roman"/>
      <w:szCs w:val="24"/>
    </w:rPr>
  </w:style>
  <w:style w:type="paragraph" w:customStyle="1" w:styleId="a13">
    <w:name w:val="表格"/>
    <w:basedOn w:val="Normal"/>
    <w:qFormat/>
    <w:pPr>
      <w:spacing w:line="400" w:lineRule="exact"/>
    </w:pPr>
    <w:rPr>
      <w:rFonts w:ascii="Times New Roman" w:hAnsi="Times New Roman"/>
      <w:sz w:val="24"/>
      <w:szCs w:val="24"/>
    </w:rPr>
  </w:style>
  <w:style w:type="paragraph" w:customStyle="1" w:styleId="2">
    <w:name w:val="样式 首行缩进:  2 字符"/>
    <w:basedOn w:val="Normal"/>
    <w:qFormat/>
    <w:pPr>
      <w:spacing w:line="400" w:lineRule="exact"/>
      <w:ind w:firstLine="200" w:firstLineChars="200"/>
    </w:pPr>
    <w:rPr>
      <w:rFonts w:ascii="Times New Roman" w:hAnsi="Times New Roman" w:cs="宋体"/>
      <w:sz w:val="24"/>
      <w:szCs w:val="24"/>
    </w:rPr>
  </w:style>
  <w:style w:type="paragraph" w:customStyle="1" w:styleId="17">
    <w:name w:val="纯文本1"/>
    <w:basedOn w:val="Normal"/>
    <w:qFormat/>
    <w:rPr>
      <w:rFonts w:ascii="宋体" w:hAnsi="Courier New" w:cs="Century"/>
      <w:szCs w:val="21"/>
    </w:rPr>
  </w:style>
  <w:style w:type="paragraph" w:customStyle="1" w:styleId="378020">
    <w:name w:val="样式 标题 3 + (中文) 黑体 小四 非加粗 段前: 7.8 磅 段后: 0 磅 行距: 固定值 20 磅"/>
    <w:basedOn w:val="Heading3"/>
    <w:qFormat/>
    <w:pPr>
      <w:adjustRightInd/>
      <w:spacing w:before="0" w:after="0" w:line="400" w:lineRule="exact"/>
      <w:jc w:val="both"/>
    </w:pPr>
    <w:rPr>
      <w:rFonts w:ascii="Times New Roman" w:hAnsi="Times New Roman" w:cs="宋体"/>
      <w:bCs w:val="0"/>
      <w:kern w:val="0"/>
      <w:sz w:val="24"/>
      <w:szCs w:val="20"/>
    </w:rPr>
  </w:style>
  <w:style w:type="table" w:customStyle="1" w:styleId="TableNormal0">
    <w:name w:val="Table Normal_0"/>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character" w:customStyle="1" w:styleId="5Char1">
    <w:name w:val="标题 5 Char1"/>
    <w:qFormat/>
    <w:rPr>
      <w:b/>
      <w:kern w:val="2"/>
      <w:sz w:val="28"/>
      <w:szCs w:val="24"/>
    </w:rPr>
  </w:style>
  <w:style w:type="character" w:customStyle="1" w:styleId="20">
    <w:name w:val="批注文字 字符2"/>
    <w:qFormat/>
    <w:rPr>
      <w:rFonts w:ascii="Times New Roman" w:hAnsi="Times New Roman"/>
      <w:kern w:val="2"/>
      <w:sz w:val="21"/>
      <w:szCs w:val="24"/>
    </w:rPr>
  </w:style>
  <w:style w:type="paragraph" w:customStyle="1" w:styleId="21">
    <w:name w:val="正文2"/>
    <w:basedOn w:val="Normal"/>
    <w:qFormat/>
    <w:pPr>
      <w:adjustRightInd w:val="0"/>
      <w:spacing w:before="156" w:line="360" w:lineRule="auto"/>
      <w:ind w:firstLine="510" w:firstLineChars="200"/>
    </w:pPr>
    <w:rPr>
      <w:rFonts w:ascii="Times New Roman" w:hAnsi="Times New Roman"/>
      <w:sz w:val="24"/>
      <w:szCs w:val="20"/>
    </w:rPr>
  </w:style>
  <w:style w:type="character" w:customStyle="1" w:styleId="22">
    <w:name w:val="纯文本 字符2"/>
    <w:qFormat/>
    <w:rPr>
      <w:rFonts w:ascii="宋体" w:hAnsi="Courier New"/>
      <w:szCs w:val="21"/>
    </w:rPr>
  </w:style>
  <w:style w:type="table" w:customStyle="1" w:styleId="111">
    <w:name w:val="网格型111"/>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qFormat/>
    <w:pPr>
      <w:widowControl/>
      <w:spacing w:before="100" w:beforeAutospacing="1" w:after="100" w:afterAutospacing="1"/>
      <w:jc w:val="left"/>
    </w:pPr>
    <w:rPr>
      <w:rFonts w:ascii="宋体" w:hAnsi="宋体" w:cs="宋体"/>
      <w:b/>
      <w:bCs/>
      <w:color w:val="000000"/>
      <w:kern w:val="0"/>
      <w:sz w:val="22"/>
    </w:rPr>
  </w:style>
  <w:style w:type="paragraph" w:customStyle="1" w:styleId="font7">
    <w:name w:val="font7"/>
    <w:basedOn w:val="Normal"/>
    <w:qFormat/>
    <w:pPr>
      <w:widowControl/>
      <w:spacing w:before="100" w:beforeAutospacing="1" w:after="100" w:afterAutospacing="1"/>
      <w:jc w:val="left"/>
    </w:pPr>
    <w:rPr>
      <w:rFonts w:ascii="宋体" w:hAnsi="宋体" w:cs="宋体"/>
      <w:kern w:val="0"/>
      <w:sz w:val="22"/>
    </w:rPr>
  </w:style>
  <w:style w:type="paragraph" w:customStyle="1" w:styleId="xl65">
    <w:name w:val="xl65"/>
    <w:basedOn w:val="Normal"/>
    <w:qFormat/>
    <w:pPr>
      <w:widowControl/>
      <w:spacing w:before="100" w:beforeAutospacing="1" w:after="100" w:afterAutospacing="1"/>
      <w:jc w:val="center"/>
    </w:pPr>
    <w:rPr>
      <w:rFonts w:ascii="宋体" w:hAnsi="宋体" w:cs="宋体"/>
      <w:b/>
      <w:bCs/>
      <w:kern w:val="0"/>
      <w:sz w:val="24"/>
      <w:szCs w:val="24"/>
    </w:rPr>
  </w:style>
  <w:style w:type="paragraph" w:customStyle="1" w:styleId="xl66">
    <w:name w:val="xl66"/>
    <w:basedOn w:val="Normal"/>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8">
    <w:name w:val="xl68"/>
    <w:basedOn w:val="Normal"/>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9">
    <w:name w:val="xl69"/>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2">
    <w:name w:val="xl72"/>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4">
    <w:name w:val="xl74"/>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7">
    <w:name w:val="xl77"/>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Normal"/>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23">
    <w:name w:val="修订2"/>
    <w:uiPriority w:val="99"/>
    <w:unhideWhenUsed/>
    <w:qFormat/>
    <w:rPr>
      <w:rFonts w:ascii="Times New Roman" w:eastAsia="宋体" w:hAnsi="Times New Roman" w:cs="Times New Roman"/>
      <w:kern w:val="2"/>
      <w:sz w:val="21"/>
      <w:szCs w:val="24"/>
      <w:lang w:val="en-US" w:eastAsia="zh-CN" w:bidi="ar-SA"/>
    </w:rPr>
  </w:style>
  <w:style w:type="paragraph" w:customStyle="1" w:styleId="Style143">
    <w:name w:val="_Style 143"/>
    <w:basedOn w:val="Normal"/>
    <w:next w:val="ListParagraph"/>
    <w:uiPriority w:val="34"/>
    <w:qFormat/>
    <w:pPr>
      <w:ind w:firstLine="420" w:firstLineChars="200"/>
    </w:pPr>
    <w:rPr>
      <w:rFonts w:ascii="Times New Roman" w:hAnsi="Times New Roman"/>
      <w:szCs w:val="24"/>
    </w:rPr>
  </w:style>
  <w:style w:type="paragraph" w:customStyle="1" w:styleId="xl79">
    <w:name w:val="xl79"/>
    <w:basedOn w:val="Normal"/>
    <w:qFormat/>
    <w:pPr>
      <w:widowControl/>
      <w:spacing w:before="100" w:beforeAutospacing="1" w:after="100" w:afterAutospacing="1"/>
      <w:jc w:val="center"/>
    </w:pPr>
    <w:rPr>
      <w:rFonts w:ascii="宋体" w:hAnsi="宋体" w:cs="宋体"/>
      <w:kern w:val="0"/>
      <w:sz w:val="24"/>
      <w:szCs w:val="24"/>
    </w:rPr>
  </w:style>
  <w:style w:type="table" w:customStyle="1" w:styleId="24">
    <w:name w:val="网格型2"/>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列出段落11"/>
    <w:basedOn w:val="Normal"/>
    <w:uiPriority w:val="34"/>
    <w:qFormat/>
    <w:pPr>
      <w:ind w:firstLine="420" w:firstLineChars="200"/>
    </w:pPr>
    <w:rPr>
      <w:rFonts w:ascii="Times New Roman" w:hAnsi="Times New Roman"/>
      <w:szCs w:val="24"/>
    </w:rPr>
  </w:style>
  <w:style w:type="character" w:customStyle="1" w:styleId="font11">
    <w:name w:val="font11"/>
    <w:qFormat/>
    <w:rPr>
      <w:rFonts w:ascii="宋体" w:eastAsia="宋体" w:hAnsi="宋体" w:cs="宋体" w:hint="eastAsia"/>
      <w:color w:val="000000"/>
      <w:sz w:val="22"/>
      <w:szCs w:val="22"/>
      <w:u w:val="single"/>
    </w:rPr>
  </w:style>
  <w:style w:type="paragraph" w:customStyle="1" w:styleId="1101">
    <w:name w:val="1101"/>
    <w:basedOn w:val="Normal"/>
    <w:qFormat/>
    <w:pPr>
      <w:ind w:firstLine="560" w:firstLineChars="200"/>
      <w:jc w:val="left"/>
    </w:pPr>
    <w:rPr>
      <w:rFonts w:ascii="宋体" w:hAnsi="宋体"/>
      <w:kern w:val="0"/>
      <w:sz w:val="28"/>
      <w:szCs w:val="28"/>
    </w:rPr>
  </w:style>
  <w:style w:type="paragraph" w:customStyle="1" w:styleId="Style165">
    <w:name w:val="_Style 165"/>
    <w:basedOn w:val="Normal"/>
    <w:next w:val="ListParagraph"/>
    <w:uiPriority w:val="34"/>
    <w:qFormat/>
    <w:pPr>
      <w:ind w:firstLine="420" w:firstLineChars="200"/>
    </w:pPr>
    <w:rPr>
      <w:rFonts w:ascii="Times New Roman" w:hAnsi="Times New Roman"/>
      <w:szCs w:val="24"/>
    </w:rPr>
  </w:style>
  <w:style w:type="paragraph" w:customStyle="1" w:styleId="Style166">
    <w:name w:val="_Style 166"/>
    <w:basedOn w:val="Normal"/>
    <w:next w:val="ListParagraph"/>
    <w:uiPriority w:val="34"/>
    <w:qFormat/>
    <w:pPr>
      <w:ind w:firstLine="420" w:firstLineChars="200"/>
    </w:pPr>
    <w:rPr>
      <w:rFonts w:ascii="Times New Roman" w:hAnsi="Times New Roman"/>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2"/>
      <w:lang w:val="en-US" w:eastAsia="zh-CN" w:bidi="ar-SA"/>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font41">
    <w:name w:val="font41"/>
    <w:basedOn w:val="DefaultParagraphFont"/>
    <w:qFormat/>
    <w:rPr>
      <w:rFonts w:ascii="Times New Roman" w:hAnsi="Times New Roman" w:cs="Times New Roman" w:hint="default"/>
      <w:color w:val="000000"/>
      <w:sz w:val="21"/>
      <w:szCs w:val="21"/>
      <w:u w:val="none"/>
    </w:rPr>
  </w:style>
  <w:style w:type="character" w:customStyle="1" w:styleId="font31">
    <w:name w:val="font31"/>
    <w:basedOn w:val="DefaultParagraphFont"/>
    <w:qFormat/>
    <w:rPr>
      <w:rFonts w:ascii="宋体" w:eastAsia="宋体" w:hAnsi="宋体" w:cs="宋体" w:hint="eastAsia"/>
      <w:color w:val="000000"/>
      <w:sz w:val="21"/>
      <w:szCs w:val="21"/>
      <w:u w:val="none"/>
    </w:rPr>
  </w:style>
  <w:style w:type="character" w:customStyle="1" w:styleId="font51">
    <w:name w:val="font51"/>
    <w:basedOn w:val="DefaultParagraphFont"/>
    <w:qFormat/>
    <w:rPr>
      <w:rFonts w:ascii="宋体" w:eastAsia="宋体" w:hAnsi="宋体" w:cs="宋体" w:hint="eastAsia"/>
      <w:color w:val="FF0000"/>
      <w:sz w:val="21"/>
      <w:szCs w:val="21"/>
      <w:u w:val="none"/>
    </w:rPr>
  </w:style>
  <w:style w:type="character" w:customStyle="1" w:styleId="font122">
    <w:name w:val="font122"/>
    <w:basedOn w:val="DefaultParagraphFont"/>
    <w:qFormat/>
    <w:rPr>
      <w:rFonts w:ascii="Times New Roman" w:hAnsi="Times New Roman" w:cs="Times New Roman" w:hint="default"/>
      <w:color w:val="FF0000"/>
      <w:sz w:val="21"/>
      <w:szCs w:val="21"/>
      <w:u w:val="none"/>
    </w:r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Char22">
    <w:name w:val="正文文本 Char2"/>
    <w:basedOn w:val="DefaultParagraphFont"/>
    <w:qFormat/>
    <w:rPr>
      <w:rFonts w:ascii="Calibri" w:eastAsia="宋体" w:hAnsi="Calibri" w:cs="Times New Roman" w:hint="default"/>
      <w:kern w:val="2"/>
      <w:sz w:val="21"/>
      <w:szCs w:val="22"/>
    </w:rPr>
  </w:style>
  <w:style w:type="paragraph" w:customStyle="1" w:styleId="a14">
    <w:name w:val="正常"/>
    <w:basedOn w:val="a15"/>
    <w:qFormat/>
    <w:rPr>
      <w:sz w:val="24"/>
    </w:rPr>
  </w:style>
  <w:style w:type="paragraph" w:customStyle="1" w:styleId="a15">
    <w:name w:val="小正常"/>
    <w:basedOn w:val="Normal"/>
    <w:qFormat/>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96</Pages>
  <Words>8073</Words>
  <Characters>46018</Characters>
  <Application>Microsoft Office Word</Application>
  <DocSecurity>0</DocSecurity>
  <Lines>383</Lines>
  <Paragraphs>107</Paragraphs>
  <ScaleCrop>false</ScaleCrop>
  <Company/>
  <LinksUpToDate>false</LinksUpToDate>
  <CharactersWithSpaces>53984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宁冰</dc:creator>
  <cp:lastModifiedBy>覃燕倩</cp:lastModifiedBy>
  <cp:revision>597</cp:revision>
  <dcterms:created xsi:type="dcterms:W3CDTF">2024-04-16T18:04:00Z</dcterms:created>
  <dcterms:modified xsi:type="dcterms:W3CDTF">2024-06-07T11:04:15Z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9ED0EA1FD0644F708824432D43A936C5_12</vt:lpwstr>
  </property>
  <property fmtid="{D5CDD505-2E9C-101B-9397-08002B2CF9AE}" pid="3" name="KSOProductBuildVer">
    <vt:lpwstr>2052-11.8.2.10183</vt:lpwstr>
  </property>
</Properties>
</file>