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rPr>
      </w:pPr>
    </w:p>
    <w:p>
      <w:pPr>
        <w:topLinePunct/>
        <w:autoSpaceDE w:val="0"/>
        <w:autoSpaceDN w:val="0"/>
        <w:jc w:val="center"/>
        <w:rPr>
          <w:rFonts w:ascii="黑体" w:hAnsi="黑体" w:eastAsia="黑体" w:cs="黑体"/>
          <w:bCs/>
          <w:sz w:val="72"/>
          <w:szCs w:val="72"/>
        </w:rPr>
      </w:pPr>
      <w:r>
        <w:rPr>
          <w:rFonts w:hint="eastAsia" w:ascii="黑体" w:hAnsi="黑体" w:eastAsia="黑体" w:cs="黑体"/>
          <w:bCs/>
          <w:sz w:val="72"/>
          <w:szCs w:val="72"/>
        </w:rPr>
        <w:t>招 标 文 件</w:t>
      </w:r>
    </w:p>
    <w:p>
      <w:pPr>
        <w:topLinePunct/>
        <w:autoSpaceDE w:val="0"/>
        <w:autoSpaceDN w:val="0"/>
        <w:spacing w:line="60" w:lineRule="exact"/>
        <w:jc w:val="center"/>
        <w:rPr>
          <w:rFonts w:ascii="黑体" w:hAnsi="黑体" w:eastAsia="黑体" w:cs="黑体"/>
          <w:bCs/>
          <w:sz w:val="72"/>
          <w:szCs w:val="72"/>
        </w:rPr>
      </w:pPr>
    </w:p>
    <w:p>
      <w:pPr>
        <w:topLinePunct/>
        <w:autoSpaceDE w:val="0"/>
        <w:autoSpaceDN w:val="0"/>
        <w:snapToGrid w:val="0"/>
        <w:jc w:val="center"/>
        <w:rPr>
          <w:rFonts w:ascii="华文中宋" w:hAnsi="华文中宋" w:eastAsia="华文中宋" w:cs="华文中宋"/>
          <w:bCs/>
          <w:sz w:val="72"/>
          <w:szCs w:val="72"/>
        </w:rPr>
      </w:pPr>
      <w:r>
        <w:rPr>
          <w:rFonts w:hint="eastAsia" w:ascii="黑体" w:hAnsi="黑体" w:eastAsia="黑体" w:cs="黑体"/>
          <w:bCs/>
          <w:sz w:val="72"/>
          <w:szCs w:val="72"/>
        </w:rPr>
        <w:t>（商务部分）</w:t>
      </w:r>
    </w:p>
    <w:p>
      <w:pPr>
        <w:pStyle w:val="12"/>
      </w:pPr>
    </w:p>
    <w:p>
      <w:pPr>
        <w:topLinePunct/>
        <w:autoSpaceDE w:val="0"/>
        <w:autoSpaceDN w:val="0"/>
        <w:snapToGrid w:val="0"/>
        <w:rPr>
          <w:rFonts w:ascii="华文中宋" w:hAnsi="华文中宋" w:eastAsia="华文中宋" w:cs="华文中宋"/>
          <w:bCs/>
          <w:sz w:val="32"/>
          <w:szCs w:val="32"/>
        </w:rPr>
      </w:pPr>
    </w:p>
    <w:p>
      <w:pPr>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p>
    <w:p>
      <w:pPr>
        <w:spacing w:line="360" w:lineRule="auto"/>
        <w:jc w:val="center"/>
        <w:rPr>
          <w:rFonts w:asciiTheme="minorEastAsia" w:hAnsiTheme="minorEastAsia" w:eastAsiaTheme="minorEastAsia" w:cstheme="minorEastAsia"/>
          <w:b/>
          <w:bCs/>
          <w:sz w:val="30"/>
          <w:szCs w:val="30"/>
        </w:rPr>
      </w:pPr>
    </w:p>
    <w:p>
      <w:pPr>
        <w:spacing w:line="360" w:lineRule="auto"/>
        <w:jc w:val="center"/>
        <w:outlineLvl w:val="0"/>
        <w:rPr>
          <w:rFonts w:asciiTheme="minorEastAsia" w:hAnsiTheme="minorEastAsia" w:eastAsiaTheme="minorEastAsia" w:cstheme="minorEastAsia"/>
          <w:b/>
          <w:bCs/>
          <w:sz w:val="32"/>
          <w:szCs w:val="32"/>
        </w:rPr>
      </w:pPr>
      <w:bookmarkStart w:id="0" w:name="_Toc22378"/>
      <w:bookmarkStart w:id="1" w:name="_Toc8968"/>
      <w:bookmarkStart w:id="2" w:name="_Toc452"/>
      <w:r>
        <w:rPr>
          <w:rFonts w:hint="eastAsia" w:asciiTheme="minorEastAsia" w:hAnsiTheme="minorEastAsia" w:eastAsiaTheme="minorEastAsia" w:cstheme="minorEastAsia"/>
          <w:b/>
          <w:bCs/>
          <w:sz w:val="32"/>
          <w:szCs w:val="32"/>
        </w:rPr>
        <w:t xml:space="preserve">  项目名称：国家税务总局南宁市税务局职工食堂劳务外包</w:t>
      </w:r>
      <w:bookmarkEnd w:id="0"/>
      <w:bookmarkEnd w:id="1"/>
      <w:bookmarkEnd w:id="2"/>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321" w:firstLineChars="100"/>
        <w:outlineLvl w:val="0"/>
        <w:rPr>
          <w:rFonts w:asciiTheme="minorEastAsia" w:hAnsiTheme="minorEastAsia" w:eastAsiaTheme="minorEastAsia" w:cstheme="minorEastAsia"/>
          <w:b/>
          <w:bCs/>
          <w:sz w:val="32"/>
          <w:szCs w:val="32"/>
        </w:rPr>
      </w:pPr>
      <w:bookmarkStart w:id="3" w:name="_Toc30033"/>
      <w:bookmarkStart w:id="4" w:name="_Toc13600"/>
      <w:bookmarkStart w:id="5" w:name="_Toc22996"/>
      <w:r>
        <w:rPr>
          <w:rFonts w:hint="eastAsia" w:asciiTheme="minorEastAsia" w:hAnsiTheme="minorEastAsia" w:eastAsiaTheme="minorEastAsia" w:cstheme="minorEastAsia"/>
          <w:b/>
          <w:bCs/>
          <w:sz w:val="32"/>
          <w:szCs w:val="32"/>
        </w:rPr>
        <w:t>项目编号：ZB2024-127</w:t>
      </w:r>
      <w:bookmarkEnd w:id="3"/>
      <w:bookmarkEnd w:id="4"/>
      <w:bookmarkEnd w:id="5"/>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321" w:firstLineChars="100"/>
        <w:outlineLvl w:val="0"/>
        <w:rPr>
          <w:rFonts w:asciiTheme="minorEastAsia" w:hAnsiTheme="minorEastAsia" w:eastAsiaTheme="minorEastAsia" w:cstheme="minorEastAsia"/>
          <w:b/>
          <w:bCs/>
          <w:sz w:val="32"/>
          <w:szCs w:val="32"/>
        </w:rPr>
      </w:pPr>
      <w:bookmarkStart w:id="6" w:name="_Toc29427"/>
      <w:bookmarkStart w:id="7" w:name="_Toc7915"/>
      <w:bookmarkStart w:id="8" w:name="_Toc25284"/>
      <w:r>
        <w:rPr>
          <w:rFonts w:hint="eastAsia" w:asciiTheme="minorEastAsia" w:hAnsiTheme="minorEastAsia" w:eastAsiaTheme="minorEastAsia" w:cstheme="minorEastAsia"/>
          <w:b/>
          <w:bCs/>
          <w:sz w:val="32"/>
          <w:szCs w:val="32"/>
        </w:rPr>
        <w:t>采 购 人：国家税务总局南宁市税务局</w:t>
      </w:r>
      <w:bookmarkEnd w:id="6"/>
      <w:bookmarkEnd w:id="7"/>
      <w:bookmarkEnd w:id="8"/>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321"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采购代理机构：广西众联工程项目管理有限公司</w:t>
      </w:r>
    </w:p>
    <w:p>
      <w:pPr>
        <w:topLinePunct/>
        <w:autoSpaceDE w:val="0"/>
        <w:autoSpaceDN w:val="0"/>
        <w:spacing w:line="460" w:lineRule="exact"/>
        <w:rPr>
          <w:rFonts w:asciiTheme="minorEastAsia" w:hAnsiTheme="minorEastAsia" w:eastAsiaTheme="minorEastAsia" w:cstheme="minorEastAsia"/>
          <w:b/>
          <w:bCs/>
          <w:sz w:val="32"/>
          <w:szCs w:val="32"/>
        </w:rPr>
      </w:pPr>
    </w:p>
    <w:p>
      <w:pPr>
        <w:topLinePunct/>
        <w:autoSpaceDE w:val="0"/>
        <w:autoSpaceDN w:val="0"/>
        <w:spacing w:line="460" w:lineRule="exact"/>
        <w:jc w:val="center"/>
        <w:rPr>
          <w:rFonts w:asciiTheme="minorEastAsia" w:hAnsiTheme="minorEastAsia" w:eastAsiaTheme="minorEastAsia" w:cstheme="minorEastAsia"/>
          <w:b/>
          <w:bCs/>
          <w:sz w:val="32"/>
          <w:szCs w:val="32"/>
        </w:rPr>
      </w:pPr>
    </w:p>
    <w:p>
      <w:pPr>
        <w:topLinePunct/>
        <w:autoSpaceDE w:val="0"/>
        <w:autoSpaceDN w:val="0"/>
        <w:spacing w:line="460" w:lineRule="exact"/>
        <w:jc w:val="center"/>
        <w:rPr>
          <w:rFonts w:asciiTheme="minorEastAsia" w:hAnsiTheme="minorEastAsia" w:eastAsiaTheme="minorEastAsia" w:cstheme="minorEastAsia"/>
          <w:b/>
          <w:bCs/>
          <w:sz w:val="32"/>
          <w:szCs w:val="32"/>
        </w:rPr>
      </w:pPr>
    </w:p>
    <w:p>
      <w:pPr>
        <w:topLinePunct/>
        <w:autoSpaceDE w:val="0"/>
        <w:autoSpaceDN w:val="0"/>
        <w:spacing w:line="460" w:lineRule="exact"/>
        <w:jc w:val="center"/>
        <w:outlineLvl w:val="0"/>
        <w:rPr>
          <w:rFonts w:asciiTheme="minorEastAsia" w:hAnsiTheme="minorEastAsia" w:eastAsiaTheme="minorEastAsia" w:cstheme="minorEastAsia"/>
          <w:b/>
          <w:bCs/>
          <w:sz w:val="32"/>
          <w:szCs w:val="32"/>
        </w:rPr>
      </w:pPr>
      <w:bookmarkStart w:id="9" w:name="_Toc20916"/>
      <w:bookmarkStart w:id="10" w:name="_Toc32427"/>
      <w:bookmarkStart w:id="11" w:name="_Toc31705"/>
      <w:r>
        <w:rPr>
          <w:rFonts w:hint="eastAsia" w:asciiTheme="minorEastAsia" w:hAnsiTheme="minorEastAsia" w:eastAsiaTheme="minorEastAsia" w:cstheme="minorEastAsia"/>
          <w:b/>
          <w:bCs/>
          <w:sz w:val="32"/>
          <w:szCs w:val="32"/>
        </w:rPr>
        <w:t>国家税务总局南宁市税务局</w:t>
      </w:r>
      <w:bookmarkEnd w:id="9"/>
      <w:bookmarkEnd w:id="10"/>
      <w:bookmarkEnd w:id="11"/>
    </w:p>
    <w:p>
      <w:pPr>
        <w:topLinePunct/>
        <w:autoSpaceDE w:val="0"/>
        <w:autoSpaceDN w:val="0"/>
        <w:spacing w:line="160" w:lineRule="exact"/>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2024年5月</w:t>
      </w:r>
      <w:r>
        <w:rPr>
          <w:rFonts w:hint="eastAsia" w:asciiTheme="minorEastAsia" w:hAnsiTheme="minorEastAsia" w:eastAsiaTheme="minorEastAsia" w:cstheme="minorEastAsia"/>
          <w:b/>
          <w:bCs/>
          <w:sz w:val="32"/>
          <w:szCs w:val="32"/>
          <w:lang w:val="en-US" w:eastAsia="zh-CN"/>
        </w:rPr>
        <w:t>14</w:t>
      </w:r>
      <w:r>
        <w:rPr>
          <w:rFonts w:hint="eastAsia" w:asciiTheme="minorEastAsia" w:hAnsiTheme="minorEastAsia" w:eastAsiaTheme="minorEastAsia" w:cstheme="minorEastAsia"/>
          <w:b/>
          <w:bCs/>
          <w:sz w:val="32"/>
          <w:szCs w:val="32"/>
        </w:rPr>
        <w:t>日</w:t>
      </w:r>
    </w:p>
    <w:p>
      <w:pPr>
        <w:rPr>
          <w:sz w:val="32"/>
          <w:szCs w:val="32"/>
        </w:rPr>
      </w:pPr>
    </w:p>
    <w:p>
      <w:pPr>
        <w:rPr>
          <w:sz w:val="32"/>
          <w:szCs w:val="32"/>
        </w:rPr>
      </w:pPr>
    </w:p>
    <w:p>
      <w:pPr>
        <w:rPr>
          <w:sz w:val="32"/>
          <w:szCs w:val="32"/>
        </w:rPr>
        <w:sectPr>
          <w:footerReference r:id="rId3" w:type="default"/>
          <w:pgSz w:w="11906" w:h="16838"/>
          <w:pgMar w:top="1440" w:right="1752" w:bottom="1440" w:left="1752" w:header="851" w:footer="992" w:gutter="0"/>
          <w:cols w:space="720" w:num="1"/>
          <w:docGrid w:type="lines" w:linePitch="312" w:charSpace="0"/>
        </w:sectPr>
      </w:pPr>
    </w:p>
    <w:p>
      <w:pPr>
        <w:jc w:val="center"/>
        <w:rPr>
          <w:rFonts w:ascii="华文中宋" w:hAnsi="华文中宋" w:eastAsia="华文中宋" w:cs="华文中宋"/>
          <w:sz w:val="44"/>
          <w:szCs w:val="44"/>
        </w:rPr>
      </w:pPr>
      <w:r>
        <w:rPr>
          <w:rFonts w:hint="eastAsia" w:ascii="华文中宋" w:hAnsi="华文中宋" w:eastAsia="华文中宋" w:cs="华文中宋"/>
          <w:sz w:val="44"/>
          <w:szCs w:val="44"/>
          <w:lang w:val="zh-CN"/>
        </w:rPr>
        <w:t>目  录</w:t>
      </w:r>
    </w:p>
    <w:sdt>
      <w:sdtPr>
        <w:rPr>
          <w:rFonts w:ascii="宋体" w:hAnsi="宋体"/>
        </w:rPr>
        <w:id w:val="147459934"/>
        <w:docPartObj>
          <w:docPartGallery w:val="Table of Contents"/>
          <w:docPartUnique/>
        </w:docPartObj>
      </w:sdtPr>
      <w:sdtEndPr>
        <w:rPr>
          <w:rFonts w:hint="eastAsia" w:asciiTheme="minorEastAsia" w:hAnsiTheme="minorEastAsia" w:eastAsiaTheme="minorEastAsia" w:cstheme="minorEastAsia"/>
          <w:sz w:val="24"/>
          <w:szCs w:val="24"/>
        </w:rPr>
      </w:sdtEndPr>
      <w:sdtContent>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fldChar w:fldCharType="begin"/>
          </w:r>
          <w:r>
            <w:rPr>
              <w:rFonts w:hint="eastAsia" w:asciiTheme="minorEastAsia" w:hAnsiTheme="minorEastAsia" w:eastAsiaTheme="minorEastAsia" w:cstheme="minorEastAsia"/>
              <w:b/>
              <w:sz w:val="24"/>
              <w:szCs w:val="24"/>
            </w:rPr>
            <w:instrText xml:space="preserve">TOC \o "1-3" \h \u </w:instrText>
          </w:r>
          <w:r>
            <w:rPr>
              <w:rFonts w:hint="eastAsia" w:asciiTheme="minorEastAsia" w:hAnsiTheme="minorEastAsia" w:eastAsiaTheme="minorEastAsia" w:cstheme="minorEastAsia"/>
              <w:b/>
              <w:sz w:val="24"/>
              <w:szCs w:val="24"/>
            </w:rPr>
            <w:fldChar w:fldCharType="separate"/>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"_Toc20471" </w:instrText>
          </w:r>
          <w:r>
            <w:fldChar w:fldCharType="separate"/>
          </w:r>
          <w:r>
            <w:rPr>
              <w:rFonts w:hint="eastAsia" w:asciiTheme="minorEastAsia" w:hAnsiTheme="minorEastAsia" w:eastAsiaTheme="minorEastAsia" w:cstheme="minorEastAsia"/>
              <w:sz w:val="24"/>
              <w:szCs w:val="24"/>
            </w:rPr>
            <w:t>第一章  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_Toc20471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"_Toc2076" </w:instrText>
          </w:r>
          <w:r>
            <w:fldChar w:fldCharType="separate"/>
          </w:r>
          <w:r>
            <w:rPr>
              <w:rFonts w:hint="eastAsia" w:asciiTheme="minorEastAsia" w:hAnsiTheme="minorEastAsia" w:eastAsiaTheme="minorEastAsia" w:cstheme="minorEastAsia"/>
              <w:sz w:val="24"/>
              <w:szCs w:val="24"/>
            </w:rPr>
            <w:t>第二章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"_Toc2475" </w:instrText>
          </w:r>
          <w:r>
            <w:fldChar w:fldCharType="separate"/>
          </w:r>
          <w:r>
            <w:rPr>
              <w:rFonts w:hint="eastAsia" w:asciiTheme="minorEastAsia" w:hAnsiTheme="minorEastAsia" w:eastAsiaTheme="minorEastAsia" w:cstheme="minorEastAsia"/>
              <w:sz w:val="24"/>
              <w:szCs w:val="24"/>
            </w:rPr>
            <w:t>投标人须知前附表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"_Toc32474" </w:instrText>
          </w:r>
          <w:r>
            <w:fldChar w:fldCharType="separate"/>
          </w:r>
          <w:r>
            <w:rPr>
              <w:rFonts w:hint="eastAsia" w:asciiTheme="minorEastAsia" w:hAnsiTheme="minorEastAsia" w:eastAsiaTheme="minorEastAsia" w:cstheme="minorEastAsia"/>
              <w:sz w:val="24"/>
              <w:szCs w:val="24"/>
            </w:rPr>
            <w:t>一、总则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_Toc32474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"_Toc20650" </w:instrText>
          </w:r>
          <w:r>
            <w:fldChar w:fldCharType="separate"/>
          </w:r>
          <w:r>
            <w:rPr>
              <w:rFonts w:hint="eastAsia" w:asciiTheme="minorEastAsia" w:hAnsiTheme="minorEastAsia" w:eastAsiaTheme="minorEastAsia" w:cstheme="minorEastAsia"/>
              <w:sz w:val="24"/>
              <w:szCs w:val="24"/>
            </w:rPr>
            <w:t>二、招标文件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"_Toc10830" </w:instrText>
          </w:r>
          <w:r>
            <w:fldChar w:fldCharType="separate"/>
          </w:r>
          <w:r>
            <w:rPr>
              <w:rFonts w:hint="eastAsia" w:asciiTheme="minorEastAsia" w:hAnsiTheme="minorEastAsia" w:eastAsiaTheme="minorEastAsia" w:cstheme="minorEastAsia"/>
              <w:sz w:val="24"/>
              <w:szCs w:val="24"/>
            </w:rPr>
            <w:t>三、投标文件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"_Toc18073" </w:instrText>
          </w:r>
          <w:r>
            <w:fldChar w:fldCharType="separate"/>
          </w:r>
          <w:r>
            <w:rPr>
              <w:rFonts w:hint="eastAsia" w:asciiTheme="minorEastAsia" w:hAnsiTheme="minorEastAsia" w:eastAsiaTheme="minorEastAsia" w:cstheme="minorEastAsia"/>
              <w:sz w:val="24"/>
              <w:szCs w:val="24"/>
            </w:rPr>
            <w:t>四、投标文件递交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"_Toc29378" </w:instrText>
          </w:r>
          <w:r>
            <w:fldChar w:fldCharType="separate"/>
          </w:r>
          <w:r>
            <w:rPr>
              <w:rFonts w:hint="eastAsia" w:asciiTheme="minorEastAsia" w:hAnsiTheme="minorEastAsia" w:eastAsiaTheme="minorEastAsia" w:cstheme="minorEastAsia"/>
              <w:sz w:val="24"/>
              <w:szCs w:val="24"/>
            </w:rPr>
            <w:t>五、开标与评标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_Toc29378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"_Toc13594" </w:instrText>
          </w:r>
          <w:r>
            <w:fldChar w:fldCharType="separate"/>
          </w:r>
          <w:r>
            <w:rPr>
              <w:rFonts w:hint="eastAsia" w:asciiTheme="minorEastAsia" w:hAnsiTheme="minorEastAsia" w:eastAsiaTheme="minorEastAsia" w:cstheme="minorEastAsia"/>
              <w:sz w:val="24"/>
              <w:szCs w:val="24"/>
            </w:rPr>
            <w:t>六、中标和合同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_Toc13594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"_Toc31691" </w:instrText>
          </w:r>
          <w:r>
            <w:fldChar w:fldCharType="separate"/>
          </w:r>
          <w:r>
            <w:rPr>
              <w:rFonts w:hint="eastAsia" w:asciiTheme="minorEastAsia" w:hAnsiTheme="minorEastAsia" w:eastAsiaTheme="minorEastAsia" w:cstheme="minorEastAsia"/>
              <w:sz w:val="24"/>
              <w:szCs w:val="24"/>
            </w:rPr>
            <w:t>七、询问和质疑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_Toc31691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"_Toc6144" </w:instrText>
          </w:r>
          <w:r>
            <w:fldChar w:fldCharType="separate"/>
          </w:r>
          <w:r>
            <w:rPr>
              <w:rFonts w:hint="eastAsia" w:asciiTheme="minorEastAsia" w:hAnsiTheme="minorEastAsia" w:eastAsiaTheme="minorEastAsia" w:cstheme="minorEastAsia"/>
              <w:sz w:val="24"/>
              <w:szCs w:val="24"/>
            </w:rPr>
            <w:t>八、其他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_Toc6144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"_Toc26165" </w:instrText>
          </w:r>
          <w:r>
            <w:fldChar w:fldCharType="separate"/>
          </w:r>
          <w:r>
            <w:rPr>
              <w:rFonts w:hint="eastAsia" w:asciiTheme="minorEastAsia" w:hAnsiTheme="minorEastAsia" w:eastAsiaTheme="minorEastAsia" w:cstheme="minorEastAsia"/>
              <w:sz w:val="24"/>
              <w:szCs w:val="24"/>
            </w:rPr>
            <w:t>第三章  评标方法及标准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_Toc26165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"_Toc18784" </w:instrText>
          </w:r>
          <w:r>
            <w:fldChar w:fldCharType="separate"/>
          </w:r>
          <w:r>
            <w:rPr>
              <w:rFonts w:hint="eastAsia" w:asciiTheme="minorEastAsia" w:hAnsiTheme="minorEastAsia" w:eastAsiaTheme="minorEastAsia" w:cstheme="minorEastAsia"/>
              <w:sz w:val="24"/>
              <w:szCs w:val="24"/>
            </w:rPr>
            <w:t>第四章  政府采购合同文本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"_Toc3278" </w:instrText>
          </w:r>
          <w:r>
            <w:fldChar w:fldCharType="separate"/>
          </w:r>
          <w:r>
            <w:rPr>
              <w:rFonts w:hint="eastAsia" w:asciiTheme="minorEastAsia" w:hAnsiTheme="minorEastAsia" w:eastAsiaTheme="minorEastAsia" w:cstheme="minorEastAsia"/>
              <w:sz w:val="24"/>
              <w:szCs w:val="24"/>
            </w:rPr>
            <w:t>第五章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_Toc3278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7"/>
            <w:tabs>
              <w:tab w:val="right" w:leader="dot" w:pos="8402"/>
            </w:tabs>
            <w:spacing w:line="480" w:lineRule="exact"/>
            <w:rPr>
              <w:rFonts w:asciiTheme="minorEastAsia" w:hAnsiTheme="minorEastAsia" w:eastAsiaTheme="minorEastAsia" w:cstheme="minorEastAsia"/>
              <w:sz w:val="24"/>
              <w:szCs w:val="24"/>
            </w:rPr>
          </w:pPr>
          <w:r>
            <w:fldChar w:fldCharType="begin"/>
          </w:r>
          <w:r>
            <w:instrText xml:space="preserve"> HYPERLINK \l "_Toc20930" </w:instrText>
          </w:r>
          <w:r>
            <w:fldChar w:fldCharType="separate"/>
          </w:r>
          <w:r>
            <w:rPr>
              <w:rFonts w:hint="eastAsia" w:asciiTheme="minorEastAsia" w:hAnsiTheme="minorEastAsia" w:eastAsiaTheme="minorEastAsia" w:cstheme="minorEastAsia"/>
              <w:sz w:val="24"/>
              <w:szCs w:val="24"/>
            </w:rPr>
            <w:t>第六章项目采购需求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_Toc20930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"_Toc1560" </w:instrText>
          </w:r>
          <w:r>
            <w:fldChar w:fldCharType="separate"/>
          </w:r>
          <w:r>
            <w:rPr>
              <w:rFonts w:hint="eastAsia" w:asciiTheme="minorEastAsia" w:hAnsiTheme="minorEastAsia" w:eastAsiaTheme="minorEastAsia" w:cstheme="minorEastAsia"/>
              <w:sz w:val="24"/>
              <w:szCs w:val="24"/>
            </w:rPr>
            <w:t>一、项目概况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"_Toc6007" </w:instrText>
          </w:r>
          <w:r>
            <w:fldChar w:fldCharType="separate"/>
          </w:r>
          <w:r>
            <w:rPr>
              <w:rFonts w:hint="eastAsia" w:asciiTheme="minorEastAsia" w:hAnsiTheme="minorEastAsia" w:eastAsiaTheme="minorEastAsia" w:cstheme="minorEastAsia"/>
              <w:sz w:val="24"/>
              <w:szCs w:val="24"/>
            </w:rPr>
            <w:t>二、技术要求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_Toc6007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8"/>
            <w:tabs>
              <w:tab w:val="right" w:leader="dot" w:pos="8402"/>
            </w:tabs>
            <w:spacing w:line="480" w:lineRule="exact"/>
            <w:ind w:left="0" w:leftChars="0" w:firstLine="420" w:firstLineChars="200"/>
            <w:rPr>
              <w:rFonts w:asciiTheme="minorEastAsia" w:hAnsiTheme="minorEastAsia" w:eastAsiaTheme="minorEastAsia" w:cstheme="minorEastAsia"/>
              <w:sz w:val="24"/>
              <w:szCs w:val="24"/>
            </w:rPr>
          </w:pPr>
          <w:r>
            <w:fldChar w:fldCharType="begin"/>
          </w:r>
          <w:r>
            <w:instrText xml:space="preserve"> HYPERLINK \l "_Toc17117" </w:instrText>
          </w:r>
          <w:r>
            <w:fldChar w:fldCharType="separate"/>
          </w:r>
          <w:r>
            <w:rPr>
              <w:rFonts w:hint="eastAsia" w:asciiTheme="minorEastAsia" w:hAnsiTheme="minorEastAsia" w:eastAsiaTheme="minorEastAsia" w:cstheme="minorEastAsia"/>
              <w:sz w:val="24"/>
              <w:szCs w:val="24"/>
            </w:rPr>
            <w:t>三、商务要求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_Toc17117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spacing w:line="6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fldChar w:fldCharType="end"/>
          </w:r>
        </w:p>
      </w:sdtContent>
    </w:sdt>
    <w:p/>
    <w:p>
      <w:pPr>
        <w:sectPr>
          <w:footerReference r:id="rId7" w:type="first"/>
          <w:footerReference r:id="rId5" w:type="default"/>
          <w:headerReference r:id="rId4" w:type="even"/>
          <w:footerReference r:id="rId6" w:type="even"/>
          <w:pgSz w:w="11906" w:h="16838"/>
          <w:pgMar w:top="1440" w:right="1752" w:bottom="1440" w:left="1752" w:header="851" w:footer="992" w:gutter="0"/>
          <w:cols w:space="720" w:num="1"/>
          <w:titlePg/>
          <w:docGrid w:type="lines" w:linePitch="312" w:charSpace="0"/>
        </w:sectPr>
      </w:pPr>
    </w:p>
    <w:p>
      <w:pPr>
        <w:pStyle w:val="4"/>
        <w:jc w:val="center"/>
      </w:pPr>
      <w:bookmarkStart w:id="12" w:name="_Toc132880271"/>
      <w:bookmarkStart w:id="13" w:name="_Toc20471"/>
      <w:r>
        <w:rPr>
          <w:rFonts w:hint="eastAsia"/>
        </w:rPr>
        <w:t>第一章  投标邀请</w:t>
      </w:r>
      <w:bookmarkEnd w:id="12"/>
      <w:bookmarkEnd w:id="1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国家税务总局南宁市税务局职工食堂劳务外包招标项目的潜在投标人应在广西众联工程项目管理有限公司财务部（南宁市江南区白沙大道53号松宇时代14A层）获取招标文件，并于2024年</w:t>
      </w:r>
      <w:bookmarkStart w:id="168" w:name="_GoBack"/>
      <w:bookmarkEnd w:id="168"/>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日9</w:t>
      </w:r>
      <w:r>
        <w:rPr>
          <w:rFonts w:hint="eastAsia" w:asciiTheme="minorEastAsia" w:hAnsiTheme="minorEastAsia" w:eastAsiaTheme="minorEastAsia" w:cstheme="minorEastAsia"/>
          <w:szCs w:val="21"/>
          <w:lang w:eastAsia="zh-CN"/>
        </w:rPr>
        <w:t>时</w:t>
      </w:r>
      <w:r>
        <w:rPr>
          <w:rFonts w:hint="eastAsia" w:asciiTheme="minorEastAsia" w:hAnsiTheme="minorEastAsia" w:eastAsiaTheme="minorEastAsia" w:cstheme="minorEastAsia"/>
          <w:szCs w:val="21"/>
        </w:rPr>
        <w:t>30分（北京时间）前递交投标文件。</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14" w:name="_Toc14301"/>
      <w:bookmarkStart w:id="15" w:name="_Toc18241"/>
      <w:bookmarkStart w:id="16" w:name="_Toc13344"/>
      <w:r>
        <w:rPr>
          <w:rFonts w:hint="eastAsia" w:asciiTheme="minorEastAsia" w:hAnsiTheme="minorEastAsia" w:eastAsiaTheme="minorEastAsia" w:cstheme="minorEastAsia"/>
          <w:szCs w:val="21"/>
        </w:rPr>
        <w:t>一、项目基本情况</w:t>
      </w:r>
      <w:bookmarkEnd w:id="14"/>
      <w:bookmarkEnd w:id="15"/>
      <w:bookmarkEnd w:id="16"/>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项目编号：ZB2024-127</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项目名称：国家税务总局南宁市税务局职工食堂劳务外包</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预算金额：人民币（大写）贰佰肆拾伍万柒仟元整（¥2,457,0</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0.00元）</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最高限价：人民币（大写）贰佰肆拾伍万柒仟元整（¥2,457,0</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0.00元）</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采购需求：国家税务总局南宁市税务局金湖路40号</w:t>
      </w:r>
      <w:r>
        <w:rPr>
          <w:rFonts w:hint="eastAsia" w:asciiTheme="minorEastAsia" w:hAnsiTheme="minorEastAsia" w:eastAsiaTheme="minorEastAsia" w:cstheme="minorEastAsia"/>
          <w:szCs w:val="21"/>
          <w:highlight w:val="none"/>
        </w:rPr>
        <w:t>职工食堂</w:t>
      </w:r>
      <w:r>
        <w:rPr>
          <w:rFonts w:hint="eastAsia" w:asciiTheme="minorEastAsia" w:hAnsiTheme="minorEastAsia" w:eastAsiaTheme="minorEastAsia" w:cstheme="minorEastAsia"/>
          <w:szCs w:val="21"/>
        </w:rPr>
        <w:t>、第三稽查局职工食堂、民族大道89号金禄大厦职工食堂的食堂劳务和管理服务，包括食堂菜品加工及销售、餐厅服务、公务用餐服务以及其他涉及食堂管理等服务。采购人负责提供食堂场地、设备及食材采购，承担水电、燃气费用。供应商提供专业的服务人员负责出品和服务，自行规范内部服务人员管理、食品安全、环境卫生等管理要求及各项操作流程。具体要求详见本项目招标文件。</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合同履行期限：1年。</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本项目不接受联合体投标。</w:t>
      </w:r>
    </w:p>
    <w:p>
      <w:pPr>
        <w:keepNext w:val="0"/>
        <w:keepLines w:val="0"/>
        <w:pageBreakBefore w:val="0"/>
        <w:numPr>
          <w:ilvl w:val="0"/>
          <w:numId w:val="3"/>
        </w:numPr>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17" w:name="_Toc10172"/>
      <w:bookmarkStart w:id="18" w:name="_Toc21893"/>
      <w:bookmarkStart w:id="19" w:name="_Toc9341"/>
      <w:r>
        <w:rPr>
          <w:rFonts w:hint="eastAsia" w:asciiTheme="minorEastAsia" w:hAnsiTheme="minorEastAsia" w:eastAsiaTheme="minorEastAsia" w:cstheme="minorEastAsia"/>
          <w:szCs w:val="21"/>
        </w:rPr>
        <w:t>申请人的资格要求</w:t>
      </w:r>
      <w:bookmarkEnd w:id="17"/>
      <w:bookmarkEnd w:id="18"/>
      <w:bookmarkEnd w:id="19"/>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szCs w:val="21"/>
          <w:highlight w:val="cya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符合国家</w:t>
      </w:r>
      <w:r>
        <w:rPr>
          <w:rFonts w:hint="eastAsia" w:asciiTheme="minorEastAsia" w:hAnsiTheme="minorEastAsia" w:eastAsiaTheme="minorEastAsia" w:cstheme="minorEastAsia"/>
          <w:szCs w:val="21"/>
        </w:rPr>
        <w:t>有关</w:t>
      </w:r>
      <w:r>
        <w:rPr>
          <w:rFonts w:hint="eastAsia" w:asciiTheme="minorEastAsia" w:hAnsiTheme="minorEastAsia" w:eastAsiaTheme="minorEastAsia" w:cstheme="minorEastAsia"/>
          <w:szCs w:val="21"/>
          <w:lang w:val="zh-CN"/>
        </w:rPr>
        <w:t>法律规定，在中国境内（指关境内）注册</w:t>
      </w:r>
      <w:r>
        <w:rPr>
          <w:rFonts w:hint="eastAsia" w:asciiTheme="minorEastAsia" w:hAnsiTheme="minorEastAsia" w:eastAsiaTheme="minorEastAsia" w:cstheme="minorEastAsia"/>
          <w:szCs w:val="21"/>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2.满足《中华人民共和国政府采购法》第二十二条规定</w:t>
      </w:r>
      <w:r>
        <w:rPr>
          <w:rFonts w:hint="eastAsia" w:asciiTheme="minorEastAsia" w:hAnsiTheme="minorEastAsia" w:eastAsiaTheme="minorEastAsia" w:cstheme="minorEastAsia"/>
          <w:szCs w:val="21"/>
          <w:lang w:eastAsia="zh-CN"/>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3.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Theme="minorEastAsia" w:hAnsiTheme="minorEastAsia" w:eastAsiaTheme="minorEastAsia" w:cstheme="minorEastAsia"/>
          <w:color w:val="000000" w:themeColor="text1"/>
          <w:szCs w:val="21"/>
        </w:rPr>
        <w:t>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Style w:val="12"/>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本项目采购标的对应的中小企业划分标准所属行业为餐饮业。</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i/>
          <w:iCs/>
          <w:szCs w:val="21"/>
          <w:highlight w:val="cyan"/>
          <w:u w:val="single"/>
        </w:rPr>
      </w:pPr>
      <w:r>
        <w:rPr>
          <w:rFonts w:hint="eastAsia" w:asciiTheme="minorEastAsia" w:hAnsiTheme="minorEastAsia" w:eastAsiaTheme="minorEastAsia" w:cstheme="minorEastAsia"/>
          <w:szCs w:val="21"/>
        </w:rPr>
        <w:t>4.本项目的特定资格要求：</w:t>
      </w:r>
      <w:r>
        <w:rPr>
          <w:rFonts w:hint="eastAsia" w:asciiTheme="minorEastAsia" w:hAnsiTheme="minorEastAsia" w:eastAsiaTheme="minorEastAsia" w:cstheme="minorEastAsia"/>
          <w:color w:val="000000"/>
          <w:szCs w:val="21"/>
          <w:highlight w:val="none"/>
        </w:rPr>
        <w:t>投标人具有有效的《食品经营许可证》</w:t>
      </w:r>
      <w:r>
        <w:rPr>
          <w:rFonts w:hint="eastAsia" w:asciiTheme="minorEastAsia" w:hAnsiTheme="minorEastAsia" w:eastAsiaTheme="minorEastAsia" w:cstheme="minorEastAsia"/>
          <w:szCs w:val="21"/>
          <w:highlight w:val="none"/>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7.为本项目提供整体设计、规范编制或者项目管理、监理、检测等服务的供应商，不得再参加本次政府采购活动。</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20" w:name="_Toc3961"/>
      <w:bookmarkStart w:id="21" w:name="_Toc1928"/>
      <w:bookmarkStart w:id="22" w:name="_Toc2710"/>
      <w:r>
        <w:rPr>
          <w:rFonts w:hint="eastAsia" w:asciiTheme="minorEastAsia" w:hAnsiTheme="minorEastAsia" w:eastAsiaTheme="minorEastAsia" w:cstheme="minorEastAsia"/>
          <w:szCs w:val="21"/>
        </w:rPr>
        <w:t>三、获取招标文件</w:t>
      </w:r>
      <w:bookmarkEnd w:id="20"/>
      <w:bookmarkEnd w:id="21"/>
      <w:bookmarkEnd w:id="22"/>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1.时间：2024年</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14</w:t>
      </w:r>
      <w:r>
        <w:rPr>
          <w:rFonts w:hint="eastAsia" w:asciiTheme="minorEastAsia" w:hAnsiTheme="minorEastAsia" w:eastAsiaTheme="minorEastAsia" w:cstheme="minorEastAsia"/>
          <w:color w:val="000000"/>
          <w:szCs w:val="21"/>
        </w:rPr>
        <w:t>日至2024年</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lang w:val="en-US" w:eastAsia="zh-CN"/>
        </w:rPr>
        <w:t>21</w:t>
      </w:r>
      <w:r>
        <w:rPr>
          <w:rFonts w:hint="eastAsia" w:asciiTheme="minorEastAsia" w:hAnsiTheme="minorEastAsia" w:eastAsiaTheme="minorEastAsia" w:cstheme="minorEastAsia"/>
          <w:color w:val="000000"/>
          <w:szCs w:val="21"/>
        </w:rPr>
        <w:t>日</w:t>
      </w:r>
      <w:r>
        <w:rPr>
          <w:rFonts w:hint="eastAsia" w:asciiTheme="minorEastAsia" w:hAnsiTheme="minorEastAsia" w:eastAsiaTheme="minorEastAsia" w:cstheme="minorEastAsia"/>
          <w:iCs/>
          <w:color w:val="000000"/>
          <w:szCs w:val="21"/>
        </w:rPr>
        <w:t>（提供期限自本公告发布之日起不得少于5个工作日），</w:t>
      </w:r>
      <w:r>
        <w:rPr>
          <w:rFonts w:hint="eastAsia" w:asciiTheme="minorEastAsia" w:hAnsiTheme="minorEastAsia" w:eastAsiaTheme="minorEastAsia" w:cstheme="minorEastAsia"/>
          <w:color w:val="000000"/>
          <w:szCs w:val="21"/>
        </w:rPr>
        <w:t>每天上午8:30至12:00，下午14:30至17:30（北京时间，法定节假日除外）。</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2.地点：广西众联工程项目管理有限公司财务部（南宁市江南区白沙大道53号松宇时代14A层）。</w:t>
      </w:r>
    </w:p>
    <w:p>
      <w:pPr>
        <w:keepNext w:val="0"/>
        <w:keepLines w:val="0"/>
        <w:pageBreakBefore w:val="0"/>
        <w:kinsoku/>
        <w:wordWrap/>
        <w:overflowPunct/>
        <w:topLinePunct w:val="0"/>
        <w:autoSpaceDE/>
        <w:autoSpaceDN/>
        <w:bidi w:val="0"/>
        <w:spacing w:line="440" w:lineRule="exact"/>
        <w:ind w:firstLine="424" w:firstLineChars="202"/>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3.方式：现场获取。供应商无需携带报名资料，到广西众联工程项目管理有限公司财务部获取招标文件。招标文件工本费付款方式只接受银行转账、现金付款或者微信付款、支付宝付款，不接受银行卡刷卡支付。</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收款人户名：广西众联工程项目管理有限公司</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开户银行：中国光大银行股份有限公司南宁民主支行</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银行账号：78900188000167866</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4.售价：¥300.00元，本公告包含的招标文件售价总和。</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23" w:name="_Toc9830"/>
      <w:bookmarkStart w:id="24" w:name="_Toc18825"/>
      <w:bookmarkStart w:id="25" w:name="_Toc7704"/>
      <w:r>
        <w:rPr>
          <w:rFonts w:hint="eastAsia" w:asciiTheme="minorEastAsia" w:hAnsiTheme="minorEastAsia" w:eastAsiaTheme="minorEastAsia" w:cstheme="minorEastAsia"/>
          <w:szCs w:val="21"/>
        </w:rPr>
        <w:t>四、提交投标文件截止时间、开标时间和地点</w:t>
      </w:r>
      <w:bookmarkEnd w:id="23"/>
      <w:bookmarkEnd w:id="24"/>
      <w:bookmarkEnd w:id="25"/>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1.投标文件递交截止时间及开标时间：2024年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日9时30分00秒（北京时间）。（注：投标文件递交起止时间：2024年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日8时30分00秒至9时30分00秒）（自招标文件开始发出之日起至投标人提交投标文件截止之日止，不得少于20日）</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2.地点：</w:t>
      </w:r>
      <w:r>
        <w:rPr>
          <w:rFonts w:hint="eastAsia" w:asciiTheme="minorEastAsia" w:hAnsiTheme="minorEastAsia" w:eastAsiaTheme="minorEastAsia" w:cstheme="minorEastAsia"/>
          <w:color w:val="000000"/>
          <w:szCs w:val="21"/>
        </w:rPr>
        <w:t>广西众联工程项目管理有限公司开标厅（南宁市江南区白沙大道53号松宇时代14层）；</w:t>
      </w:r>
      <w:r>
        <w:rPr>
          <w:rFonts w:hint="eastAsia" w:asciiTheme="minorEastAsia" w:hAnsiTheme="minorEastAsia" w:eastAsiaTheme="minorEastAsia" w:cstheme="minorEastAsia"/>
          <w:szCs w:val="21"/>
        </w:rPr>
        <w:t>投标人应在投标文件递交截止时间前，将投标文件密封送达投标地点，未在规定时间内送达或未按照招标文件要求密封的投标文件，将予以拒收。</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26" w:name="_Toc6506"/>
      <w:bookmarkStart w:id="27" w:name="_Toc18187"/>
      <w:bookmarkStart w:id="28" w:name="_Toc31266"/>
      <w:r>
        <w:rPr>
          <w:rFonts w:hint="eastAsia" w:asciiTheme="minorEastAsia" w:hAnsiTheme="minorEastAsia" w:eastAsiaTheme="minorEastAsia" w:cstheme="minorEastAsia"/>
          <w:szCs w:val="21"/>
        </w:rPr>
        <w:t>五、公告期限</w:t>
      </w:r>
      <w:bookmarkEnd w:id="26"/>
      <w:bookmarkEnd w:id="27"/>
      <w:bookmarkEnd w:id="28"/>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自本公告发布之日起5个工作日。</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29" w:name="_Toc8781"/>
      <w:bookmarkStart w:id="30" w:name="_Toc28413"/>
      <w:bookmarkStart w:id="31" w:name="_Toc27794"/>
      <w:r>
        <w:rPr>
          <w:rFonts w:hint="eastAsia" w:asciiTheme="minorEastAsia" w:hAnsiTheme="minorEastAsia" w:eastAsiaTheme="minorEastAsia" w:cstheme="minorEastAsia"/>
          <w:szCs w:val="21"/>
        </w:rPr>
        <w:t>六、其他补充事宜</w:t>
      </w:r>
      <w:bookmarkEnd w:id="29"/>
      <w:bookmarkEnd w:id="30"/>
      <w:bookmarkEnd w:id="31"/>
    </w:p>
    <w:p>
      <w:pPr>
        <w:keepNext w:val="0"/>
        <w:keepLines w:val="0"/>
        <w:pageBreakBefore w:val="0"/>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1.公告媒体：本招标公告在中国政府采购网（www.ccgp.gov.cn）、国家税务总局广西壮族自治区税务局南宁市频道（http://guangxi.chinatax.gov.cn/nanning/）、</w:t>
      </w:r>
      <w:r>
        <w:rPr>
          <w:rFonts w:hint="eastAsia" w:asciiTheme="minorEastAsia" w:hAnsiTheme="minorEastAsia" w:eastAsiaTheme="minorEastAsia" w:cstheme="minorEastAsia"/>
          <w:color w:val="000000"/>
          <w:szCs w:val="21"/>
        </w:rPr>
        <w:t>广西众联工程项目管理有限公司网站（www.gxzhonglian.cn/）</w:t>
      </w:r>
      <w:r>
        <w:rPr>
          <w:rFonts w:hint="eastAsia" w:asciiTheme="minorEastAsia" w:hAnsiTheme="minorEastAsia" w:eastAsiaTheme="minorEastAsia" w:cstheme="minorEastAsia"/>
          <w:szCs w:val="21"/>
        </w:rPr>
        <w:t>上发布。</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color w:val="000000"/>
          <w:szCs w:val="21"/>
        </w:rPr>
        <w:t>本项目需要落实的政府采购政策：</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（1）政府采购促进中小企业发展。</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（2）政府采购促进残疾人就业政策。</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（3）政府采购支持监狱企业发展。</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3.</w:t>
      </w:r>
      <w:r>
        <w:rPr>
          <w:rFonts w:hint="eastAsia" w:asciiTheme="minorEastAsia" w:hAnsiTheme="minorEastAsia" w:eastAsiaTheme="minorEastAsia" w:cstheme="minorEastAsia"/>
          <w:szCs w:val="21"/>
        </w:rPr>
        <w:t>本项目预算金额（服务类）：</w:t>
      </w:r>
      <w:r>
        <w:rPr>
          <w:rFonts w:hint="eastAsia" w:asciiTheme="minorEastAsia" w:hAnsiTheme="minorEastAsia" w:eastAsiaTheme="minorEastAsia" w:cstheme="minorEastAsia"/>
          <w:szCs w:val="21"/>
          <w:highlight w:val="none"/>
        </w:rPr>
        <w:t>¥2,457,0</w:t>
      </w:r>
      <w:r>
        <w:rPr>
          <w:rFonts w:hint="eastAsia" w:asciiTheme="minorEastAsia" w:hAnsiTheme="minorEastAsia" w:eastAsiaTheme="minorEastAsia" w:cstheme="minorEastAsia"/>
          <w:szCs w:val="21"/>
          <w:highlight w:val="none"/>
          <w:lang w:val="en-US" w:eastAsia="zh-CN"/>
        </w:rPr>
        <w:t>0</w:t>
      </w:r>
      <w:r>
        <w:rPr>
          <w:rFonts w:hint="eastAsia" w:asciiTheme="minorEastAsia" w:hAnsiTheme="minorEastAsia" w:eastAsiaTheme="minorEastAsia" w:cstheme="minorEastAsia"/>
          <w:szCs w:val="21"/>
          <w:highlight w:val="none"/>
        </w:rPr>
        <w:t>0.00元/年，</w:t>
      </w:r>
      <w:r>
        <w:rPr>
          <w:rFonts w:hint="eastAsia" w:asciiTheme="minorEastAsia" w:hAnsiTheme="minorEastAsia" w:eastAsiaTheme="minorEastAsia" w:cstheme="minorEastAsia"/>
          <w:szCs w:val="21"/>
        </w:rPr>
        <w:t>服务期1年。</w:t>
      </w:r>
    </w:p>
    <w:p>
      <w:pPr>
        <w:keepNext w:val="0"/>
        <w:keepLines w:val="0"/>
        <w:pageBreakBefore w:val="0"/>
        <w:kinsoku/>
        <w:wordWrap/>
        <w:overflowPunct/>
        <w:topLinePunct w:val="0"/>
        <w:autoSpaceDE/>
        <w:autoSpaceDN/>
        <w:bidi w:val="0"/>
        <w:spacing w:line="440" w:lineRule="exact"/>
        <w:textAlignment w:val="auto"/>
        <w:outlineLvl w:val="1"/>
        <w:rPr>
          <w:rFonts w:hint="eastAsia" w:asciiTheme="minorEastAsia" w:hAnsiTheme="minorEastAsia" w:eastAsiaTheme="minorEastAsia" w:cstheme="minorEastAsia"/>
          <w:szCs w:val="21"/>
        </w:rPr>
      </w:pPr>
      <w:bookmarkStart w:id="32" w:name="_Toc507"/>
      <w:bookmarkStart w:id="33" w:name="_Toc26311"/>
      <w:bookmarkStart w:id="34" w:name="_Toc5309"/>
      <w:r>
        <w:rPr>
          <w:rFonts w:hint="eastAsia" w:asciiTheme="minorEastAsia" w:hAnsiTheme="minorEastAsia" w:eastAsiaTheme="minorEastAsia" w:cstheme="minorEastAsia"/>
          <w:szCs w:val="21"/>
        </w:rPr>
        <w:t>七、对本次招标提出询问，请按以下方式联系。</w:t>
      </w:r>
      <w:bookmarkEnd w:id="32"/>
      <w:bookmarkEnd w:id="33"/>
      <w:bookmarkEnd w:id="34"/>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 称：国家税务总局南宁市税务局</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地址：南宁市金湖路40号　　</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联系方式：宁冰 0771-5562212，梁峰瑜 0771-5562132　　</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称：广西众联工程项目管理有限公司　</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址：南宁市江南区白沙大道53号松宇时代14A层　</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联系方式：姚茜0771-4308370　</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3.项目联系方式</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项目联系人：姚茜</w:t>
      </w:r>
    </w:p>
    <w:p>
      <w:pPr>
        <w:keepNext w:val="0"/>
        <w:keepLines w:val="0"/>
        <w:pageBreakBefore w:val="0"/>
        <w:widowControl/>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　 话：0771-4308370</w:t>
      </w:r>
    </w:p>
    <w:p>
      <w:pPr>
        <w:keepNext w:val="0"/>
        <w:keepLines w:val="0"/>
        <w:pageBreakBefore w:val="0"/>
        <w:kinsoku/>
        <w:wordWrap/>
        <w:overflowPunct/>
        <w:topLinePunct w:val="0"/>
        <w:autoSpaceDE/>
        <w:autoSpaceDN/>
        <w:bidi w:val="0"/>
        <w:spacing w:line="440" w:lineRule="exact"/>
        <w:textAlignment w:val="auto"/>
        <w:rPr>
          <w:rFonts w:hint="eastAsia" w:asciiTheme="minorEastAsia" w:hAnsiTheme="minorEastAsia" w:eastAsiaTheme="minorEastAsia" w:cstheme="minorEastAsia"/>
          <w:szCs w:val="21"/>
        </w:rPr>
      </w:pPr>
    </w:p>
    <w:p>
      <w:pPr>
        <w:spacing w:line="440" w:lineRule="exact"/>
        <w:rPr>
          <w:rFonts w:asciiTheme="minorEastAsia" w:hAnsiTheme="minorEastAsia" w:eastAsiaTheme="minorEastAsia" w:cstheme="minorEastAsia"/>
          <w:szCs w:val="21"/>
        </w:rPr>
        <w:sectPr>
          <w:pgSz w:w="11906" w:h="16838"/>
          <w:pgMar w:top="1440" w:right="1752" w:bottom="1440" w:left="1752" w:header="851" w:footer="992" w:gutter="0"/>
          <w:cols w:space="720" w:num="1"/>
          <w:titlePg/>
          <w:docGrid w:type="lines" w:linePitch="312" w:charSpace="0"/>
        </w:sectPr>
      </w:pP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800" w:lineRule="exact"/>
        <w:jc w:val="center"/>
        <w:textAlignment w:val="auto"/>
        <w:rPr>
          <w:rFonts w:hint="eastAsia"/>
        </w:rPr>
      </w:pPr>
      <w:bookmarkStart w:id="35" w:name="_Toc2076"/>
      <w:bookmarkStart w:id="36" w:name="_Toc132880272"/>
      <w:r>
        <w:rPr>
          <w:rFonts w:hint="eastAsia"/>
        </w:rPr>
        <w:t>投标人须知</w:t>
      </w:r>
      <w:bookmarkEnd w:id="35"/>
      <w:bookmarkEnd w:id="36"/>
    </w:p>
    <w:p>
      <w:pPr>
        <w:numPr>
          <w:ilvl w:val="0"/>
          <w:numId w:val="0"/>
        </w:numPr>
        <w:jc w:val="center"/>
        <w:rPr>
          <w:b/>
          <w:bCs/>
          <w:sz w:val="32"/>
          <w:szCs w:val="32"/>
        </w:rPr>
      </w:pPr>
      <w:r>
        <w:rPr>
          <w:rFonts w:hint="eastAsia"/>
          <w:b/>
          <w:bCs/>
          <w:sz w:val="32"/>
          <w:szCs w:val="32"/>
        </w:rPr>
        <w:t>投标人须知前附表</w:t>
      </w:r>
    </w:p>
    <w:tbl>
      <w:tblPr>
        <w:tblStyle w:val="2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bookmarkStart w:id="37" w:name="_Toc2475"/>
            <w:bookmarkStart w:id="38" w:name="_Toc132880273"/>
            <w:r>
              <w:rPr>
                <w:rFonts w:hint="eastAsia" w:asciiTheme="minorEastAsia" w:hAnsiTheme="minorEastAsia" w:eastAsiaTheme="minorEastAsia" w:cstheme="minorEastAsia"/>
                <w:b/>
                <w:sz w:val="21"/>
                <w:szCs w:val="21"/>
              </w:rPr>
              <w:t>序 号</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类  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5" w:type="dxa"/>
            <w:vMerge w:val="restart"/>
            <w:tcBorders>
              <w:top w:val="single" w:color="auto" w:sz="4" w:space="0"/>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84" w:type="dxa"/>
            <w:vMerge w:val="restart"/>
            <w:tcBorders>
              <w:top w:val="single" w:color="auto" w:sz="4" w:space="0"/>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项目名称：国家税务总局南宁市税务局职工食堂劳务外包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tcBorders>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tcBorders>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项目编号：ZB2024-127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tcBorders>
              <w:left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项目预算：贰佰肆拾伍万柒仟元整（¥2,457,0</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tcBorders>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最高限价：贰佰肆拾伍万柒仟元整（¥2,457,0</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项目属性、类别等</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项目属性：</w:t>
            </w: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 xml:space="preserve">货物           </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服务</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项目类别：</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信息化项目     </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非信息化项目</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线上采购项目：</w:t>
            </w: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名称：国家税务总局南宁市税务局</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color w:val="000000"/>
                <w:sz w:val="21"/>
                <w:szCs w:val="21"/>
              </w:rPr>
              <w:t>南宁市金湖路40号</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联系</w:t>
            </w:r>
            <w:r>
              <w:rPr>
                <w:rFonts w:hint="eastAsia" w:asciiTheme="minorEastAsia" w:hAnsiTheme="minorEastAsia" w:eastAsiaTheme="minorEastAsia" w:cstheme="minorEastAsia"/>
                <w:bCs/>
                <w:sz w:val="21"/>
                <w:szCs w:val="21"/>
              </w:rPr>
              <w:t xml:space="preserve">电话：宁冰          梁峰瑜 </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联系方式：0771-5562212    0771-5562132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名称：广西众联工程项目管理有限公司</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地址：南宁市江南区白沙大道53号松宇时代14A层</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联系</w:t>
            </w:r>
            <w:r>
              <w:rPr>
                <w:rFonts w:hint="eastAsia" w:asciiTheme="minorEastAsia" w:hAnsiTheme="minorEastAsia" w:eastAsiaTheme="minorEastAsia" w:cstheme="minorEastAsia"/>
                <w:bCs/>
                <w:sz w:val="21"/>
                <w:szCs w:val="21"/>
              </w:rPr>
              <w:t>电话：</w:t>
            </w:r>
            <w:r>
              <w:rPr>
                <w:rFonts w:hint="eastAsia" w:asciiTheme="minorEastAsia" w:hAnsiTheme="minorEastAsia" w:eastAsiaTheme="minorEastAsia" w:cstheme="minorEastAsia"/>
                <w:sz w:val="21"/>
                <w:szCs w:val="21"/>
              </w:rPr>
              <w:t>0771-4308370</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联系方式：姚茜</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邮箱：419042723@qq.com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1.符合国家</w:t>
            </w:r>
            <w:r>
              <w:rPr>
                <w:rFonts w:hint="eastAsia" w:asciiTheme="minorEastAsia" w:hAnsiTheme="minorEastAsia" w:eastAsiaTheme="minorEastAsia" w:cstheme="minorEastAsia"/>
                <w:sz w:val="21"/>
                <w:szCs w:val="21"/>
              </w:rPr>
              <w:t>有关</w:t>
            </w:r>
            <w:r>
              <w:rPr>
                <w:rFonts w:hint="eastAsia" w:asciiTheme="minorEastAsia" w:hAnsiTheme="minorEastAsia" w:eastAsiaTheme="minorEastAsia" w:cstheme="minorEastAsia"/>
                <w:sz w:val="21"/>
                <w:szCs w:val="21"/>
                <w:lang w:val="zh-CN"/>
              </w:rPr>
              <w:t>法律规定，在中国境内（指关境内）注册。</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2.具备</w:t>
            </w:r>
            <w:r>
              <w:rPr>
                <w:rFonts w:hint="eastAsia" w:asciiTheme="minorEastAsia" w:hAnsiTheme="minorEastAsia" w:eastAsiaTheme="minorEastAsia" w:cstheme="minorEastAsia"/>
                <w:sz w:val="21"/>
                <w:szCs w:val="21"/>
              </w:rPr>
              <w:t>《政府采购法》</w:t>
            </w:r>
            <w:r>
              <w:rPr>
                <w:rFonts w:hint="eastAsia" w:asciiTheme="minorEastAsia" w:hAnsiTheme="minorEastAsia" w:eastAsiaTheme="minorEastAsia" w:cstheme="minorEastAsia"/>
                <w:sz w:val="21"/>
                <w:szCs w:val="21"/>
                <w:lang w:val="zh-CN"/>
              </w:rPr>
              <w:t>第二十二条的规定：</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（1）具有独立</w:t>
            </w:r>
            <w:r>
              <w:rPr>
                <w:rFonts w:hint="eastAsia" w:asciiTheme="minorEastAsia" w:hAnsiTheme="minorEastAsia" w:eastAsiaTheme="minorEastAsia" w:cstheme="minorEastAsia"/>
                <w:sz w:val="21"/>
                <w:szCs w:val="21"/>
              </w:rPr>
              <w:t>承担</w:t>
            </w:r>
            <w:r>
              <w:rPr>
                <w:rFonts w:hint="eastAsia" w:asciiTheme="minorEastAsia" w:hAnsiTheme="minorEastAsia" w:eastAsiaTheme="minorEastAsia" w:cstheme="minorEastAsia"/>
                <w:sz w:val="21"/>
                <w:szCs w:val="21"/>
                <w:lang w:val="zh-CN"/>
              </w:rPr>
              <w:t>民事责任的能力；</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（2）具有良好的商业信誉和健全的财务会计制度；</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w:t>
            </w:r>
            <w:r>
              <w:rPr>
                <w:rFonts w:hint="eastAsia" w:asciiTheme="minorEastAsia" w:hAnsiTheme="minorEastAsia" w:eastAsiaTheme="minorEastAsia" w:cstheme="minorEastAsia"/>
                <w:sz w:val="21"/>
                <w:szCs w:val="21"/>
              </w:rPr>
              <w:t>合同</w:t>
            </w:r>
            <w:r>
              <w:rPr>
                <w:rFonts w:hint="eastAsia" w:asciiTheme="minorEastAsia" w:hAnsiTheme="minorEastAsia" w:eastAsiaTheme="minorEastAsia" w:cstheme="minorEastAsia"/>
                <w:sz w:val="21"/>
                <w:szCs w:val="21"/>
                <w:lang w:val="zh-CN"/>
              </w:rPr>
              <w:t>所必需的设备和专业技术能力；</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（4）有依法</w:t>
            </w:r>
            <w:r>
              <w:rPr>
                <w:rFonts w:hint="eastAsia" w:asciiTheme="minorEastAsia" w:hAnsiTheme="minorEastAsia" w:eastAsiaTheme="minorEastAsia" w:cstheme="minorEastAsia"/>
                <w:sz w:val="21"/>
                <w:szCs w:val="21"/>
              </w:rPr>
              <w:t>缴纳</w:t>
            </w:r>
            <w:r>
              <w:rPr>
                <w:rFonts w:hint="eastAsia" w:asciiTheme="minorEastAsia" w:hAnsiTheme="minorEastAsia" w:eastAsiaTheme="minorEastAsia" w:cstheme="minorEastAsia"/>
                <w:sz w:val="21"/>
                <w:szCs w:val="21"/>
                <w:lang w:val="zh-CN"/>
              </w:rPr>
              <w:t>税收和社会保障资金的良好记录；</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（5）参加政府</w:t>
            </w: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val="zh-CN"/>
              </w:rPr>
              <w:t>活动前三年内，在经营活动中没有重大违法记录；</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（6）法律、行政法规规定的其他条件。</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本项目采购标的对应的中小企业划分标准所属行业为餐饮业。</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4.本项目的特定资格要求：</w:t>
            </w:r>
            <w:r>
              <w:rPr>
                <w:rFonts w:hint="eastAsia" w:asciiTheme="minorEastAsia" w:hAnsiTheme="minorEastAsia" w:eastAsiaTheme="minorEastAsia" w:cstheme="minorEastAsia"/>
                <w:color w:val="000000"/>
                <w:sz w:val="21"/>
                <w:szCs w:val="21"/>
              </w:rPr>
              <w:t>投标人具有有效的《食品经营许可证》。</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6.单位负责人为同一人或者存在直接控股、管理关系的不同供应商，不得参加同一合同项下的政府采购活动。</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不接受</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Style w:val="11"/>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98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是否允许中标人将本项目的非主体、非关键性工作进行分包：</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不允许</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i/>
                <w:sz w:val="21"/>
                <w:szCs w:val="21"/>
                <w:u w:val="single"/>
              </w:rPr>
            </w:pPr>
            <w:r>
              <w:rPr>
                <w:rFonts w:hint="eastAsia" w:asciiTheme="minorEastAsia" w:hAnsiTheme="minorEastAsia" w:eastAsiaTheme="minorEastAsia" w:cstheme="minorEastAsia"/>
                <w:sz w:val="21"/>
                <w:szCs w:val="21"/>
              </w:rPr>
              <w:t>□允许，（写明可以分包履行的具体内容、金额或者比例）</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984"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货物类项目填写此栏</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无</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有</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产品名称：</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
                <w:bCs/>
                <w:sz w:val="21"/>
                <w:szCs w:val="21"/>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Theme="minorEastAsia" w:hAnsiTheme="minorEastAsia" w:eastAsiaTheme="minorEastAsia" w:cstheme="minorEastAsia"/>
                <w:b/>
                <w:sz w:val="21"/>
                <w:szCs w:val="21"/>
              </w:rPr>
              <w:t>评审得分相同的，由采购人或者采购人委托评标委员会按照的方式确定一个投标人获得中标人推荐资格，招标文件未规定的采取随机抽取方式确定</w:t>
            </w:r>
            <w:r>
              <w:rPr>
                <w:rFonts w:hint="eastAsia" w:asciiTheme="minorEastAsia" w:hAnsiTheme="minorEastAsia" w:eastAsiaTheme="minorEastAsia" w:cstheme="minorEastAsia"/>
                <w:b/>
                <w:bCs/>
                <w:sz w:val="21"/>
                <w:szCs w:val="21"/>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984"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采购进口产品</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本采购项目拒绝进口产品参加投标</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□本采购项目已经财政部审核同意购买进口产品</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984"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信息发布媒体</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（1）中国政府采购网（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"http://www.ccgp.gov.cn"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www.ccgp.gov.cn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（2）国家税务总局广西壮族自治区税务局南宁市频道（http://guangxi.chinatax.gov.cn/nanning/）</w:t>
            </w:r>
          </w:p>
          <w:p>
            <w:pPr>
              <w:pStyle w:val="32"/>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（3）广西众联工程项目管理有限公司网站（www.gxzhonglian.cn/）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获取招标文件</w:t>
            </w:r>
          </w:p>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时间、地点和</w:t>
            </w:r>
          </w:p>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方式等</w:t>
            </w: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时间：2024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14</w:t>
            </w:r>
            <w:r>
              <w:rPr>
                <w:rFonts w:hint="eastAsia" w:asciiTheme="minorEastAsia" w:hAnsiTheme="minorEastAsia" w:eastAsiaTheme="minorEastAsia" w:cstheme="minorEastAsia"/>
                <w:bCs/>
                <w:sz w:val="21"/>
                <w:szCs w:val="21"/>
              </w:rPr>
              <w:t>日至</w:t>
            </w:r>
            <w:r>
              <w:rPr>
                <w:rFonts w:hint="eastAsia" w:asciiTheme="minorEastAsia" w:hAnsiTheme="minorEastAsia" w:eastAsiaTheme="minorEastAsia" w:cstheme="minorEastAsia"/>
                <w:sz w:val="21"/>
                <w:szCs w:val="21"/>
              </w:rPr>
              <w:t>2024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color w:val="000000"/>
                <w:sz w:val="21"/>
                <w:szCs w:val="21"/>
              </w:rPr>
              <w:t>每天上午8:30至12:00，下午14:30至17:30（北京时间，法定节假日除外）</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地点：广西众联工程项目管理有限公司财务部（南宁市江南区白沙大道53号松宇时代14A层）。</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方式：</w:t>
            </w:r>
            <w:r>
              <w:rPr>
                <w:rFonts w:hint="eastAsia" w:asciiTheme="minorEastAsia" w:hAnsiTheme="minorEastAsia" w:eastAsiaTheme="minorEastAsia" w:cstheme="minorEastAsia"/>
                <w:color w:val="000000"/>
                <w:sz w:val="21"/>
                <w:szCs w:val="21"/>
              </w:rPr>
              <w:t>现场获取。供应商无需携带报名资料，到广西众联工程项目管理有限公司财务部获取招标文件。招标文件工本费付款方式只接受银行转账、现金付款或者微信付款、支付宝付款，不接受银行卡刷卡支付。</w:t>
            </w:r>
          </w:p>
          <w:p>
            <w:pPr>
              <w:pageBreakBefore w:val="0"/>
              <w:kinsoku/>
              <w:wordWrap/>
              <w:overflowPunct/>
              <w:bidi w:val="0"/>
              <w:spacing w:line="440" w:lineRule="exact"/>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收款人户名：广西众联工程项目管理有限公司</w:t>
            </w:r>
          </w:p>
          <w:p>
            <w:pPr>
              <w:pageBreakBefore w:val="0"/>
              <w:kinsoku/>
              <w:wordWrap/>
              <w:overflowPunct/>
              <w:bidi w:val="0"/>
              <w:spacing w:line="440" w:lineRule="exact"/>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开户银行：中国光大银行股份有限公司南宁民主支行</w:t>
            </w:r>
          </w:p>
          <w:p>
            <w:pPr>
              <w:pageBreakBefore w:val="0"/>
              <w:kinsoku/>
              <w:wordWrap/>
              <w:overflowPunct/>
              <w:bidi w:val="0"/>
              <w:spacing w:line="440" w:lineRule="exact"/>
              <w:ind w:left="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银行账号：78900188000167866</w:t>
            </w:r>
          </w:p>
          <w:p>
            <w:pPr>
              <w:pStyle w:val="32"/>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售价：¥300.00元，本公告包含的招标文件售价总和。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现场考察</w:t>
            </w:r>
          </w:p>
        </w:tc>
        <w:tc>
          <w:tcPr>
            <w:tcW w:w="6058" w:type="dxa"/>
            <w:gridSpan w:val="2"/>
            <w:noWrap/>
            <w:vAlign w:val="center"/>
          </w:tcPr>
          <w:p>
            <w:pPr>
              <w:pageBreakBefore w:val="0"/>
              <w:tabs>
                <w:tab w:val="left" w:pos="0"/>
                <w:tab w:val="left" w:pos="420"/>
              </w:tabs>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不组织现场考察</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bCs/>
                <w:sz w:val="21"/>
                <w:szCs w:val="21"/>
              </w:rPr>
              <w:t>组织现场考察：</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时间：年月日午（北京时间）</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地点：</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联系电话：</w:t>
            </w:r>
          </w:p>
          <w:p>
            <w:pPr>
              <w:pageBreakBefore w:val="0"/>
              <w:tabs>
                <w:tab w:val="left" w:pos="0"/>
                <w:tab w:val="left" w:pos="420"/>
              </w:tabs>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样品</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不要求提供</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bCs/>
                <w:sz w:val="21"/>
                <w:szCs w:val="21"/>
              </w:rPr>
              <w:t>要求提供：</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1.样品制作的标准和要求：____________________</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2.样品检测报告：(□否；□是，检测机构的要求、检测内容详见第六章项目采购需求)</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984" w:type="dxa"/>
            <w:vMerge w:val="restart"/>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投标文件组成</w:t>
            </w:r>
          </w:p>
        </w:tc>
        <w:tc>
          <w:tcPr>
            <w:tcW w:w="851" w:type="dxa"/>
            <w:vMerge w:val="restart"/>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商务部</w:t>
            </w:r>
            <w:r>
              <w:rPr>
                <w:rFonts w:hint="eastAsia" w:asciiTheme="minorEastAsia" w:hAnsiTheme="minorEastAsia" w:eastAsiaTheme="minorEastAsia" w:cstheme="minorEastAsia"/>
                <w:bCs/>
                <w:sz w:val="21"/>
                <w:szCs w:val="21"/>
              </w:rPr>
              <w:t>分</w:t>
            </w:r>
          </w:p>
        </w:tc>
        <w:tc>
          <w:tcPr>
            <w:tcW w:w="5207" w:type="dxa"/>
            <w:noWrap/>
            <w:vAlign w:val="center"/>
          </w:tcPr>
          <w:p>
            <w:pPr>
              <w:pageBreakBefore w:val="0"/>
              <w:widowControl/>
              <w:tabs>
                <w:tab w:val="left" w:pos="0"/>
                <w:tab w:val="left" w:pos="420"/>
              </w:tabs>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一、资格证明文件：</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1.★投标人基本情况（附法人或者其他组织的营业执照等证明文件复印件；投标人如为自然人，提供自然人的身份证明复印件）（线上采购项目提供扫描件，下同）；</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2.★财务状况报告：上一年度的经会计师事务所审计的财务报告（须</w:t>
            </w:r>
            <w:r>
              <w:rPr>
                <w:rFonts w:hint="eastAsia" w:asciiTheme="minorEastAsia" w:hAnsiTheme="minorEastAsia" w:eastAsiaTheme="minorEastAsia" w:cstheme="minorEastAsia"/>
                <w:sz w:val="21"/>
                <w:szCs w:val="21"/>
                <w:highlight w:val="none"/>
                <w:lang w:eastAsia="zh-CN"/>
              </w:rPr>
              <w:t>附</w:t>
            </w:r>
            <w:r>
              <w:rPr>
                <w:rFonts w:hint="eastAsia" w:asciiTheme="minorEastAsia" w:hAnsiTheme="minorEastAsia" w:eastAsiaTheme="minorEastAsia" w:cstheme="minorEastAsia"/>
                <w:sz w:val="21"/>
                <w:szCs w:val="21"/>
                <w:highlight w:val="none"/>
              </w:rPr>
              <w:t>加盖会计师事务所公章及注册会计师签章的</w:t>
            </w:r>
            <w:r>
              <w:rPr>
                <w:rFonts w:hint="eastAsia" w:asciiTheme="minorEastAsia" w:hAnsiTheme="minorEastAsia" w:eastAsiaTheme="minorEastAsia" w:cstheme="minorEastAsia"/>
                <w:sz w:val="21"/>
                <w:szCs w:val="21"/>
                <w:highlight w:val="none"/>
                <w:lang w:eastAsia="zh-CN"/>
              </w:rPr>
              <w:t>复印件</w:t>
            </w:r>
            <w:r>
              <w:rPr>
                <w:rFonts w:hint="eastAsia" w:asciiTheme="minorEastAsia" w:hAnsiTheme="minorEastAsia" w:eastAsiaTheme="minorEastAsia" w:cstheme="minorEastAsia"/>
                <w:sz w:val="21"/>
                <w:szCs w:val="21"/>
                <w:highlight w:val="none"/>
              </w:rPr>
              <w:t>）；没有经审计的财务报告的，可以提供基本开户银行出具的资信证明复印件；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13"/>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依法缴纳税收：投标截止之日前半年内投标人连续三个月的依法缴纳税收（不包括个人所得税）的相关材料，如依法免税或不需要纳税的，应提供相应证明材料复印件；投标人无纳税记录或为新成立公司，应提供由投标人所在地主管税务部门出具的《依法纳税或依法免税证明》（复印件）。</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社会保障资金：投标截止之日前半年内投标人连续三个月的依法缴纳社会保障资金的相关材料，如依法不需要缴纳社会保障资金的，则应提供相应证明材料复印件；投标人无缴费记录或为新成立公司，应提供由投标人所在地社保部门出具的《依法缴纳或依法免缴社保费证明》（复印件）。</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5.具备履行合同所必需的设备和专业技术能力的证明材料。</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6.★参加政府采购活动前3年内在经营活动中没有重大违法记录的书面声明。</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7.★具备法律、行政法规规定的其他条件的证明材料。</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z w:val="21"/>
                <w:szCs w:val="21"/>
                <w:highlight w:val="none"/>
              </w:rPr>
              <w:t>8.★中小企业声明函（中小企业投标的，应按照《政府采购促进中小企业发展管理办法》（财</w:t>
            </w:r>
            <w:r>
              <w:rPr>
                <w:rFonts w:hint="eastAsia" w:asciiTheme="minorEastAsia" w:hAnsiTheme="minorEastAsia" w:eastAsiaTheme="minorEastAsia" w:cstheme="minorEastAsia"/>
                <w:sz w:val="21"/>
                <w:szCs w:val="21"/>
              </w:rPr>
              <w:t>库﹝2020﹞46 号印发）《关于印发中小企业划型标准规定的通知》 （工信部联企业〔2011〕300号）如实填写并提交此函）；监狱企业证明文件[监狱企业投标的，应提交省级以上监狱管理局、戒毒管理局（含新疆生产建设兵团）出具的证明文件]；残疾人福利性单位声明函（残疾人福利性单位投标的，应提交此函）；</w:t>
            </w:r>
          </w:p>
          <w:p>
            <w:pPr>
              <w:pageBreakBefore w:val="0"/>
              <w:widowControl/>
              <w:tabs>
                <w:tab w:val="left" w:pos="0"/>
                <w:tab w:val="left" w:pos="220"/>
              </w:tabs>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9.投标人认为需提供的其他资格证明资料。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851" w:type="dxa"/>
            <w:vMerge w:val="continue"/>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bCs/>
                <w:sz w:val="21"/>
                <w:szCs w:val="21"/>
              </w:rPr>
            </w:pPr>
          </w:p>
        </w:tc>
        <w:tc>
          <w:tcPr>
            <w:tcW w:w="5207" w:type="dxa"/>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二、开标一览表：</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1.★投标报价表（线上采购项目，投标人应按照投标工具的流程和提示编制并上传）；</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851" w:type="dxa"/>
            <w:vMerge w:val="continue"/>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bCs/>
                <w:sz w:val="21"/>
                <w:szCs w:val="21"/>
              </w:rPr>
            </w:pPr>
          </w:p>
        </w:tc>
        <w:tc>
          <w:tcPr>
            <w:tcW w:w="5207" w:type="dxa"/>
            <w:noWrap/>
            <w:vAlign w:val="center"/>
          </w:tcPr>
          <w:p>
            <w:pPr>
              <w:pageBreakBefore w:val="0"/>
              <w:widowControl/>
              <w:shd w:val="clear" w:color="auto" w:fill="FFFFFF"/>
              <w:tabs>
                <w:tab w:val="left" w:pos="475"/>
                <w:tab w:val="left" w:pos="617"/>
              </w:tabs>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三、其他文件及资料：</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1.★授权委托书（参考投标文件格式1）；</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2.★投标函（参考投标文件格式2）；</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3.★商务条款偏离表；</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4.投标人认为需要提供的其它说明和资料；</w:t>
            </w:r>
          </w:p>
          <w:p>
            <w:pPr>
              <w:pageBreakBefore w:val="0"/>
              <w:widowControl/>
              <w:tabs>
                <w:tab w:val="left" w:pos="0"/>
                <w:tab w:val="left" w:pos="220"/>
              </w:tabs>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5.★投标保证金提交凭证（如要求提交投标保证金的则必须提供，否则按无效投标处理）。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851"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技术部分</w:t>
            </w:r>
          </w:p>
        </w:tc>
        <w:tc>
          <w:tcPr>
            <w:tcW w:w="5207"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1.★技术条款偏离表；</w:t>
            </w:r>
          </w:p>
          <w:p>
            <w:pPr>
              <w:keepNext w:val="0"/>
              <w:keepLines w:val="0"/>
              <w:pageBreakBefore w:val="0"/>
              <w:widowControl w:val="0"/>
              <w:kinsoku/>
              <w:wordWrap/>
              <w:overflowPunct/>
              <w:topLinePunct w:val="0"/>
              <w:autoSpaceDE/>
              <w:autoSpaceDN/>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2.服务方案；</w:t>
            </w:r>
          </w:p>
          <w:p>
            <w:pPr>
              <w:keepNext w:val="0"/>
              <w:keepLines w:val="0"/>
              <w:pageBreakBefore w:val="0"/>
              <w:widowControl w:val="0"/>
              <w:kinsoku/>
              <w:wordWrap/>
              <w:overflowPunct/>
              <w:topLinePunct w:val="0"/>
              <w:autoSpaceDE/>
              <w:autoSpaceDN/>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3.★投标人对《机关食堂管理考核细则》的承诺函；</w:t>
            </w:r>
          </w:p>
          <w:p>
            <w:pPr>
              <w:pStyle w:val="12"/>
              <w:keepNext w:val="0"/>
              <w:keepLines w:val="0"/>
              <w:pageBreakBefore w:val="0"/>
              <w:widowControl w:val="0"/>
              <w:kinsoku/>
              <w:wordWrap/>
              <w:overflowPunct/>
              <w:topLinePunct w:val="0"/>
              <w:autoSpaceDE/>
              <w:autoSpaceDN/>
              <w:bidi w:val="0"/>
              <w:spacing w:line="440" w:lineRule="exact"/>
              <w:ind w:left="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lang w:val="en-US" w:eastAsia="zh-CN"/>
              </w:rPr>
              <w:t>4</w:t>
            </w:r>
            <w:r>
              <w:rPr>
                <w:rFonts w:hint="eastAsia" w:asciiTheme="minorEastAsia" w:hAnsiTheme="minorEastAsia" w:eastAsiaTheme="minorEastAsia" w:cstheme="minorEastAsia"/>
                <w:b w:val="0"/>
                <w:sz w:val="21"/>
                <w:szCs w:val="21"/>
                <w:highlight w:val="none"/>
              </w:rPr>
              <w:t>.拟投入项目技术力量一览表。</w:t>
            </w:r>
          </w:p>
          <w:p>
            <w:pPr>
              <w:pageBreakBefore w:val="0"/>
              <w:widowControl/>
              <w:tabs>
                <w:tab w:val="left" w:pos="0"/>
                <w:tab w:val="left" w:pos="220"/>
              </w:tabs>
              <w:kinsoku/>
              <w:wordWrap/>
              <w:overflowPunct/>
              <w:topLinePunct w:val="0"/>
              <w:autoSpaceDE/>
              <w:autoSpaceDN/>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sz w:val="21"/>
                <w:szCs w:val="21"/>
              </w:rPr>
              <w:t>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1.以上带★的文件及资料未提供或提供的无效，则投标无效。</w:t>
            </w:r>
          </w:p>
          <w:p>
            <w:pPr>
              <w:pStyle w:val="11"/>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2以上带★的文件，必须加盖投标人公章，否则按无效投标处理。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从提交投标文件的截止之日起计算</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提交投标文件方式、截止时间、开标时间、地点</w:t>
            </w: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提交方式：</w:t>
            </w:r>
            <w:r>
              <w:rPr>
                <w:rFonts w:hint="eastAsia" w:asciiTheme="minorEastAsia" w:hAnsiTheme="minorEastAsia" w:eastAsiaTheme="minorEastAsia" w:cstheme="minorEastAsia"/>
                <w:sz w:val="21"/>
                <w:szCs w:val="21"/>
              </w:rPr>
              <w:t>纸质文件提交</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投标截止时间和开标时间：</w:t>
            </w:r>
            <w:r>
              <w:rPr>
                <w:rFonts w:hint="eastAsia" w:asciiTheme="minorEastAsia" w:hAnsiTheme="minorEastAsia" w:eastAsiaTheme="minorEastAsia" w:cstheme="minorEastAsia"/>
                <w:sz w:val="21"/>
                <w:szCs w:val="21"/>
              </w:rPr>
              <w:t>2024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sz w:val="21"/>
                <w:szCs w:val="21"/>
              </w:rPr>
              <w:t>上</w:t>
            </w:r>
            <w:r>
              <w:rPr>
                <w:rFonts w:hint="eastAsia" w:asciiTheme="minorEastAsia" w:hAnsiTheme="minorEastAsia" w:eastAsiaTheme="minorEastAsia" w:cstheme="minorEastAsia"/>
                <w:bCs/>
                <w:sz w:val="21"/>
                <w:szCs w:val="21"/>
              </w:rPr>
              <w:t>午</w:t>
            </w:r>
            <w:r>
              <w:rPr>
                <w:rFonts w:hint="eastAsia" w:asciiTheme="minorEastAsia" w:hAnsiTheme="minorEastAsia" w:eastAsiaTheme="minorEastAsia" w:cstheme="minorEastAsia"/>
                <w:bCs/>
                <w:sz w:val="21"/>
                <w:szCs w:val="21"/>
                <w:lang w:val="en-US" w:eastAsia="zh-CN"/>
              </w:rPr>
              <w:t>9</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分00秒 （北京时间）</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开标方式：</w:t>
            </w:r>
            <w:r>
              <w:rPr>
                <w:rFonts w:hint="eastAsia" w:asciiTheme="minorEastAsia" w:hAnsiTheme="minorEastAsia" w:eastAsiaTheme="minorEastAsia" w:cstheme="minorEastAsia"/>
                <w:sz w:val="21"/>
                <w:szCs w:val="21"/>
              </w:rPr>
              <w:t>线下开标</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提交投标文件地点：</w:t>
            </w:r>
            <w:r>
              <w:rPr>
                <w:rFonts w:hint="eastAsia" w:asciiTheme="minorEastAsia" w:hAnsiTheme="minorEastAsia" w:eastAsiaTheme="minorEastAsia" w:cstheme="minorEastAsia"/>
                <w:bCs/>
                <w:sz w:val="21"/>
                <w:szCs w:val="21"/>
              </w:rPr>
              <w:t>广西众联工程项目管理有限公司开标厅（南宁市江南区白沙大道53号松宇时代14层）</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开标地点：</w:t>
            </w:r>
            <w:r>
              <w:rPr>
                <w:rFonts w:hint="eastAsia" w:asciiTheme="minorEastAsia" w:hAnsiTheme="minorEastAsia" w:eastAsiaTheme="minorEastAsia" w:cstheme="minorEastAsia"/>
                <w:bCs/>
                <w:sz w:val="21"/>
                <w:szCs w:val="21"/>
              </w:rPr>
              <w:t>广西众联工程项目管理有限公司开标厅（南宁市江南区白沙大道53号松宇时代14层）</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联系电话：</w:t>
            </w:r>
            <w:r>
              <w:rPr>
                <w:rFonts w:hint="eastAsia" w:asciiTheme="minorEastAsia" w:hAnsiTheme="minorEastAsia" w:eastAsiaTheme="minorEastAsia" w:cstheme="minorEastAsia"/>
                <w:sz w:val="21"/>
                <w:szCs w:val="21"/>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984" w:type="dxa"/>
            <w:noWrap/>
            <w:vAlign w:val="center"/>
          </w:tcPr>
          <w:p>
            <w:pPr>
              <w:pageBreakBefore w:val="0"/>
              <w:tabs>
                <w:tab w:val="left" w:pos="1875"/>
              </w:tabs>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投标保证金</w:t>
            </w: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不要求提供</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要求提供：</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（1）金额：</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采购包1：人民币(大写)贰万元整（¥</w:t>
            </w:r>
            <w:r>
              <w:rPr>
                <w:rFonts w:hint="eastAsia" w:asciiTheme="minorEastAsia" w:hAnsiTheme="minorEastAsia" w:eastAsiaTheme="minorEastAsia" w:cstheme="minorEastAsia"/>
                <w:sz w:val="21"/>
                <w:szCs w:val="21"/>
                <w:u w:val="none"/>
              </w:rPr>
              <w:t>20,000.00</w:t>
            </w:r>
            <w:r>
              <w:rPr>
                <w:rFonts w:hint="eastAsia" w:asciiTheme="minorEastAsia" w:hAnsiTheme="minorEastAsia" w:eastAsiaTheme="minorEastAsia" w:cstheme="minorEastAsia"/>
                <w:sz w:val="21"/>
                <w:szCs w:val="21"/>
              </w:rPr>
              <w:t>元）。</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交方式：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收款人户名：广西众联工程项目管理有限公司</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开户银行：中国光大银行股份有限公司南宁民主支行</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银行账号：78900188000167866</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注：以电汇方式递交投标保证金须在电汇凭据附言栏中写明采购编号、包号及用途（投标保证金）。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984" w:type="dxa"/>
            <w:vMerge w:val="restart"/>
            <w:noWrap/>
            <w:vAlign w:val="center"/>
          </w:tcPr>
          <w:p>
            <w:pPr>
              <w:pageBreakBefore w:val="0"/>
              <w:tabs>
                <w:tab w:val="left" w:pos="1875"/>
              </w:tabs>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不予退还投标保证金的情形</w:t>
            </w: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有下列情形之一的，投标保证金将不予退还：</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（1）投标人串通投标或有视为串通投标情形之一的；</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（2）投标人提供虚假材料；</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（3）投标人采取不正当手段诋毁、排挤其他投标人；</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（4）投标截止时间后，投标人在投标有效期内撤销投标文件；</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（5）中标人有下列情形之一的：</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a.除不可抗力外，因中标人自身原因未在中标通知书要求的期限内与采购人签订政府采购合同；</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b.未按照招标文件、投标文件的约定签订政府采购合同或提交履约保证金。</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noWrap/>
            <w:vAlign w:val="center"/>
          </w:tcPr>
          <w:p>
            <w:pPr>
              <w:pageBreakBefore w:val="0"/>
              <w:kinsoku/>
              <w:wordWrap/>
              <w:overflowPunct/>
              <w:topLinePunct/>
              <w:autoSpaceDE w:val="0"/>
              <w:autoSpaceDN w:val="0"/>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其他不予退还投标保证金的情形：无。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984"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信用记录审查</w:t>
            </w:r>
          </w:p>
        </w:tc>
        <w:tc>
          <w:tcPr>
            <w:tcW w:w="6058" w:type="dxa"/>
            <w:gridSpan w:val="2"/>
            <w:noWrap/>
            <w:vAlign w:val="center"/>
          </w:tcPr>
          <w:p>
            <w:pPr>
              <w:pageBreakBefore w:val="0"/>
              <w:kinsoku/>
              <w:wordWrap/>
              <w:overflowPunct/>
              <w:topLinePunct/>
              <w:autoSpaceDE w:val="0"/>
              <w:autoSpaceDN w:val="0"/>
              <w:bidi w:val="0"/>
              <w:spacing w:line="440" w:lineRule="exact"/>
              <w:ind w:left="0"/>
              <w:textAlignment w:val="auto"/>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z w:val="21"/>
                <w:szCs w:val="21"/>
              </w:rPr>
              <w:t>根据《财政部关于在政府采购活动中查询及使用信用记录有关问题的通知》（财库〔2016〕125号）规定，开标结束后，采购人、采购代理机构将通过“信用中国”网站（www.creditchina.gov.cn）、中国政府采购网（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"http://www.ccgp.gov.cn"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www.ccgp.gov.cn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本次查询的信用记录仅限于本项目使用，查询结果将留存在采购档案中。</w:t>
            </w:r>
          </w:p>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支持中小型</w:t>
            </w:r>
          </w:p>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企业发展</w:t>
            </w:r>
          </w:p>
        </w:tc>
        <w:tc>
          <w:tcPr>
            <w:tcW w:w="6058" w:type="dxa"/>
            <w:gridSpan w:val="2"/>
            <w:noWrap/>
            <w:vAlign w:val="center"/>
          </w:tcPr>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根据《政府采购促进中小型企业发展管理办法》（财库〔2020〕46号），鼓励中小企业参加本项目采购活动。</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在货物采购项目中，满足所有标的均由中小企业制造，即所有标的均由中小企业生产且使用该中小企业商号或者注册商标的，可享受中小企业扶持政策。</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在服务采购项目中，满足服务由中小企业承接，即提供服务的人员为中小企业依照《中华人民共和国劳动合同法》订立劳动合同的从业人员的，可享受中小企业扶持政策。</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☑专门面向中小企业采购项目。</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□预留份额面向中小企业采购项目（说明：）。</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非专门面向中小企业采购项目。对小型和微型企业的投标价格给予%的扣除，用扣除后的价格参与评审。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支持监狱企业发展</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根据《关于政府采购支持监狱企业发展有关问题的通知》（财库〔2014〕68号），监狱企业视同小型、微型企业，按照</w:t>
            </w:r>
            <w:r>
              <w:rPr>
                <w:rFonts w:hint="eastAsia" w:asciiTheme="minorEastAsia" w:hAnsiTheme="minorEastAsia" w:eastAsiaTheme="minorEastAsia" w:cstheme="minorEastAsia"/>
                <w:b/>
                <w:bCs/>
                <w:sz w:val="21"/>
                <w:szCs w:val="21"/>
              </w:rPr>
              <w:t>投标人须知前附表第22项</w:t>
            </w:r>
            <w:r>
              <w:rPr>
                <w:rFonts w:hint="eastAsia" w:asciiTheme="minorEastAsia" w:hAnsiTheme="minorEastAsia" w:eastAsiaTheme="minorEastAsia" w:cstheme="minorEastAsia"/>
                <w:sz w:val="21"/>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促进残疾人</w:t>
            </w:r>
          </w:p>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就业</w:t>
            </w:r>
          </w:p>
        </w:tc>
        <w:tc>
          <w:tcPr>
            <w:tcW w:w="6058" w:type="dxa"/>
            <w:gridSpan w:val="2"/>
            <w:noWrap/>
            <w:vAlign w:val="center"/>
          </w:tcPr>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根据《关于促进残疾人就业政府采购政策的通知》（财库〔2017〕141号），残疾人福利性单位视同小型、微型企业，按照</w:t>
            </w:r>
            <w:r>
              <w:rPr>
                <w:rFonts w:hint="eastAsia" w:asciiTheme="minorEastAsia" w:hAnsiTheme="minorEastAsia" w:eastAsiaTheme="minorEastAsia" w:cstheme="minorEastAsia"/>
                <w:b/>
                <w:bCs/>
                <w:sz w:val="21"/>
                <w:szCs w:val="21"/>
              </w:rPr>
              <w:t>投标人须知前附表第22项</w:t>
            </w:r>
            <w:r>
              <w:rPr>
                <w:rFonts w:hint="eastAsia" w:asciiTheme="minorEastAsia" w:hAnsiTheme="minorEastAsia" w:eastAsiaTheme="minorEastAsia" w:cstheme="minorEastAsia"/>
                <w:sz w:val="21"/>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984" w:type="dxa"/>
            <w:vMerge w:val="restart"/>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其他法律法规强制性规定或扶持政策</w:t>
            </w:r>
          </w:p>
        </w:tc>
        <w:tc>
          <w:tcPr>
            <w:tcW w:w="6058" w:type="dxa"/>
            <w:gridSpan w:val="2"/>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本项目中强制采购节能产品的货物名称：</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本项目中采购信息安全认证或安全检测的货物名称：</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1984" w:type="dxa"/>
            <w:vMerge w:val="continue"/>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p>
        </w:tc>
        <w:tc>
          <w:tcPr>
            <w:tcW w:w="6058" w:type="dxa"/>
            <w:gridSpan w:val="2"/>
            <w:noWrap/>
            <w:vAlign w:val="center"/>
          </w:tcPr>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其他法律法规强制性规定或扶持政策：</w:t>
            </w:r>
          </w:p>
          <w:p>
            <w:pPr>
              <w:pageBreakBefore w:val="0"/>
              <w:kinsoku/>
              <w:wordWrap/>
              <w:overflowPunct/>
              <w:topLinePunct/>
              <w:autoSpaceDE w:val="0"/>
              <w:autoSpaceDN w:val="0"/>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984" w:type="dxa"/>
            <w:noWrap/>
            <w:vAlign w:val="center"/>
          </w:tcPr>
          <w:p>
            <w:pPr>
              <w:pageBreakBefore w:val="0"/>
              <w:tabs>
                <w:tab w:val="left" w:pos="1875"/>
              </w:tabs>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p>
            <w:pPr>
              <w:pageBreakBefore w:val="0"/>
              <w:tabs>
                <w:tab w:val="left" w:pos="1875"/>
              </w:tabs>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及分值</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rPr>
              <w:t>本项目采用最低评标价法，详见招标文件商务部分第三章。</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本项目采用综合评分法，其中价格分值为20分，其他因素分值为80分，详见招标文件（商务部分）第三章。（注：定标原则：</w:t>
            </w:r>
            <w:r>
              <w:rPr>
                <w:rFonts w:hint="eastAsia" w:asciiTheme="minorEastAsia" w:hAnsiTheme="minorEastAsia" w:eastAsiaTheme="minorEastAsia" w:cstheme="minorEastAsia"/>
                <w:sz w:val="21"/>
                <w:szCs w:val="21"/>
                <w:u w:val="single"/>
              </w:rPr>
              <w:t>得分相同时，以投标报价由低到高顺序排列；得分相同且投标报价相同的，按技术指标优劣顺序排列）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履约保证金</w:t>
            </w:r>
          </w:p>
        </w:tc>
        <w:tc>
          <w:tcPr>
            <w:tcW w:w="6058" w:type="dxa"/>
            <w:gridSpan w:val="2"/>
            <w:noWrap/>
            <w:vAlign w:val="center"/>
          </w:tcPr>
          <w:p>
            <w:pPr>
              <w:pageBreakBefore w:val="0"/>
              <w:kinsoku/>
              <w:wordWrap/>
              <w:overflowPunct/>
              <w:bidi w:val="0"/>
              <w:adjustRightInd w:val="0"/>
              <w:snapToGrid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不要求提供</w:t>
            </w:r>
          </w:p>
          <w:p>
            <w:pPr>
              <w:pStyle w:val="13"/>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highlight w:val="none"/>
              </w:rPr>
              <w:t>要求提供，履约保证金的数额不得超过采购合同</w:t>
            </w:r>
            <w:r>
              <w:rPr>
                <w:rFonts w:hint="eastAsia" w:asciiTheme="minorEastAsia" w:hAnsiTheme="minorEastAsia" w:eastAsiaTheme="minorEastAsia" w:cstheme="minorEastAsia"/>
                <w:sz w:val="21"/>
                <w:szCs w:val="21"/>
                <w:highlight w:val="none"/>
                <w:lang w:eastAsia="zh-CN"/>
              </w:rPr>
              <w:t>总</w:t>
            </w:r>
            <w:r>
              <w:rPr>
                <w:rFonts w:hint="eastAsia" w:asciiTheme="minorEastAsia" w:hAnsiTheme="minorEastAsia" w:eastAsiaTheme="minorEastAsia" w:cstheme="minorEastAsia"/>
                <w:sz w:val="21"/>
                <w:szCs w:val="21"/>
                <w:highlight w:val="none"/>
              </w:rPr>
              <w:t>金额的10%，本项目履约保证金为合同总金额的</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取整到元），提交方式为支票、汇票、本票或者金融机构、担保机构出具的保函等非现金形式，中标人在签订合同前应提交履约保证金，否则，不予签订合同。采用转账、电汇方式的，由中标人在签订合同前按规定的金额从中标人银行账户直接缴入采购人账户。</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项目验收合格的，采购人在收到中标人提出申请的30日内无息返还履约保证金；采购人如逾期退还履约保证金，每逾期一天，可按应退款项的</w:t>
            </w:r>
            <w:r>
              <w:rPr>
                <w:rFonts w:hint="eastAsia" w:asciiTheme="minorEastAsia" w:hAnsiTheme="minorEastAsia" w:eastAsiaTheme="minorEastAsia" w:cstheme="minorEastAsia"/>
                <w:sz w:val="21"/>
                <w:szCs w:val="21"/>
                <w:highlight w:val="none"/>
                <w:shd w:val="clear" w:color="auto" w:fill="FFFFFF"/>
              </w:rPr>
              <w:t>银行同期存款利息</w:t>
            </w:r>
            <w:r>
              <w:rPr>
                <w:rFonts w:hint="eastAsia" w:asciiTheme="minorEastAsia" w:hAnsiTheme="minorEastAsia" w:eastAsiaTheme="minorEastAsia" w:cstheme="minorEastAsia"/>
                <w:sz w:val="21"/>
                <w:szCs w:val="21"/>
                <w:highlight w:val="none"/>
              </w:rPr>
              <w:t>计算违约金；项目验收不合格的，履约保证金不予退还。</w:t>
            </w:r>
          </w:p>
          <w:p>
            <w:pPr>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收款人户名：国家税务总局南宁市税务局</w:t>
            </w:r>
          </w:p>
          <w:p>
            <w:pPr>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开户银行：</w:t>
            </w:r>
            <w:r>
              <w:rPr>
                <w:rFonts w:hint="eastAsia" w:asciiTheme="minorEastAsia" w:hAnsiTheme="minorEastAsia" w:eastAsiaTheme="minorEastAsia" w:cstheme="minorEastAsia"/>
                <w:sz w:val="21"/>
                <w:szCs w:val="21"/>
                <w:highlight w:val="none"/>
                <w:lang w:eastAsia="zh-CN"/>
              </w:rPr>
              <w:t>中国银行南宁市东葛东支行</w:t>
            </w:r>
          </w:p>
          <w:p>
            <w:pPr>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银行账号：626257485214</w:t>
            </w:r>
          </w:p>
          <w:p>
            <w:pPr>
              <w:pStyle w:val="12"/>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接收质疑的方式、部门、电话和通讯地址</w:t>
            </w:r>
          </w:p>
        </w:tc>
        <w:tc>
          <w:tcPr>
            <w:tcW w:w="6058" w:type="dxa"/>
            <w:gridSpan w:val="2"/>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质疑联系方式：</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（1）接收质疑函的方式：纸质方式</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（2）联系部门：广西众联工程项目管理有限公司招标代理部</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（3）联系电话：0771-4308370</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（4）通讯地址：南宁市江南区白沙大道53号松宇时代14A层</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（5）电子邮箱：419042723@qq.com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需提交的投标文件份数</w:t>
            </w:r>
          </w:p>
        </w:tc>
        <w:tc>
          <w:tcPr>
            <w:tcW w:w="6058" w:type="dxa"/>
            <w:gridSpan w:val="2"/>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需提交的投标文件份数：</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（1）正本</w:t>
            </w:r>
            <w:r>
              <w:rPr>
                <w:rFonts w:hint="eastAsia" w:asciiTheme="minorEastAsia" w:hAnsiTheme="minorEastAsia" w:eastAsiaTheme="minorEastAsia" w:cstheme="minorEastAsia"/>
                <w:sz w:val="21"/>
                <w:szCs w:val="21"/>
                <w:u w:val="single"/>
              </w:rPr>
              <w:t>1</w:t>
            </w:r>
            <w:r>
              <w:rPr>
                <w:rFonts w:hint="eastAsia" w:asciiTheme="minorEastAsia" w:hAnsiTheme="minorEastAsia" w:eastAsiaTheme="minorEastAsia" w:cstheme="minorEastAsia"/>
                <w:sz w:val="21"/>
                <w:szCs w:val="21"/>
              </w:rPr>
              <w:t>份、副本</w:t>
            </w:r>
            <w:r>
              <w:rPr>
                <w:rFonts w:hint="eastAsia" w:asciiTheme="minorEastAsia" w:hAnsiTheme="minorEastAsia" w:eastAsiaTheme="minorEastAsia" w:cstheme="minorEastAsia"/>
                <w:sz w:val="21"/>
                <w:szCs w:val="21"/>
                <w:u w:val="single"/>
              </w:rPr>
              <w:t>6</w:t>
            </w:r>
            <w:r>
              <w:rPr>
                <w:rFonts w:hint="eastAsia" w:asciiTheme="minorEastAsia" w:hAnsiTheme="minorEastAsia" w:eastAsiaTheme="minorEastAsia" w:cstheme="minorEastAsia"/>
                <w:sz w:val="21"/>
                <w:szCs w:val="21"/>
              </w:rPr>
              <w:t>份。</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（2）电子文件</w:t>
            </w:r>
            <w:r>
              <w:rPr>
                <w:rFonts w:hint="eastAsia" w:asciiTheme="minorEastAsia" w:hAnsiTheme="minorEastAsia" w:eastAsiaTheme="minorEastAsia" w:cstheme="minorEastAsia"/>
                <w:sz w:val="21"/>
                <w:szCs w:val="21"/>
                <w:u w:val="single"/>
              </w:rPr>
              <w:t>1</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 xml:space="preserve">扫描件 </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Word），采用U盘方式提交。</w:t>
            </w:r>
          </w:p>
          <w:p>
            <w:pPr>
              <w:pStyle w:val="2"/>
              <w:pageBreakBefore w:val="0"/>
              <w:numPr>
                <w:ilvl w:val="0"/>
                <w:numId w:val="0"/>
              </w:numPr>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注：投标文件每册装订厚度不能超过55mm，如超出需分册装订。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984"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代理费用</w:t>
            </w:r>
          </w:p>
        </w:tc>
        <w:tc>
          <w:tcPr>
            <w:tcW w:w="6058" w:type="dxa"/>
            <w:gridSpan w:val="2"/>
            <w:noWrap/>
            <w:vAlign w:val="center"/>
          </w:tcPr>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代理费用：</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（1）本项目代理费用由</w:t>
            </w:r>
            <w:r>
              <w:rPr>
                <w:rFonts w:hint="eastAsia" w:asciiTheme="minorEastAsia" w:hAnsiTheme="minorEastAsia" w:eastAsiaTheme="minorEastAsia" w:cstheme="minorEastAsia"/>
                <w:sz w:val="21"/>
                <w:szCs w:val="21"/>
                <w:u w:val="single"/>
              </w:rPr>
              <w:t>中标人</w:t>
            </w:r>
            <w:r>
              <w:rPr>
                <w:rFonts w:hint="eastAsia" w:asciiTheme="minorEastAsia" w:hAnsiTheme="minorEastAsia" w:eastAsiaTheme="minorEastAsia" w:cstheme="minorEastAsia"/>
                <w:sz w:val="21"/>
                <w:szCs w:val="21"/>
              </w:rPr>
              <w:t>支付。</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（2）代理费用收取方式及标准：</w:t>
            </w:r>
          </w:p>
          <w:p>
            <w:pPr>
              <w:pageBreakBefore w:val="0"/>
              <w:kinsoku/>
              <w:wordWrap/>
              <w:overflowPunct/>
              <w:bidi w:val="0"/>
              <w:spacing w:line="440" w:lineRule="exact"/>
              <w:ind w:left="0" w:firstLine="315" w:firstLineChars="15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Theme="minorEastAsia" w:hAnsiTheme="minorEastAsia" w:eastAsiaTheme="minorEastAsia" w:cstheme="minorEastAsia"/>
                <w:sz w:val="21"/>
                <w:szCs w:val="21"/>
                <w:lang w:val="zh-CN"/>
              </w:rPr>
              <w:t>下浮</w:t>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lang w:val="zh-CN"/>
              </w:rPr>
              <w:t>%执行。即：</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全区税务系统代理费用=采购代理标准费用×（1-30%）。</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采购代理服务费标准费率（未下浮30%）：</w:t>
            </w:r>
          </w:p>
          <w:tbl>
            <w:tblPr>
              <w:tblStyle w:val="22"/>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055"/>
              <w:gridCol w:w="112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68" w:type="dxa"/>
                  <w:tcBorders>
                    <w:tl2br w:val="single" w:color="auto" w:sz="4" w:space="0"/>
                  </w:tcBorders>
                  <w:noWrap/>
                </w:tcPr>
                <w:p>
                  <w:pPr>
                    <w:pageBreakBefore w:val="0"/>
                    <w:kinsoku/>
                    <w:wordWrap/>
                    <w:overflowPunct/>
                    <w:bidi w:val="0"/>
                    <w:spacing w:line="440" w:lineRule="exact"/>
                    <w:ind w:left="0" w:hanging="1365" w:hangingChars="6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费率</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w:t>
                  </w:r>
                </w:p>
              </w:tc>
              <w:tc>
                <w:tcPr>
                  <w:tcW w:w="1055" w:type="dxa"/>
                  <w:noWrap/>
                  <w:vAlign w:val="center"/>
                </w:tcPr>
                <w:p>
                  <w:pPr>
                    <w:pageBreakBefore w:val="0"/>
                    <w:kinsoku/>
                    <w:wordWrap/>
                    <w:overflowPunct/>
                    <w:bidi w:val="0"/>
                    <w:spacing w:line="440" w:lineRule="exact"/>
                    <w:ind w:left="0" w:firstLine="105" w:firstLineChars="5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货物招标</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服务招标</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100万元以下</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100～500万元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500～1000万元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0.45%</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1000～5000万元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0.25%</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5000万元～1亿元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0.25%</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1～5亿元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0.05%</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0.05%</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68"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5～10亿元</w:t>
                  </w:r>
                </w:p>
              </w:tc>
              <w:tc>
                <w:tcPr>
                  <w:tcW w:w="1055"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0.035%</w:t>
                  </w:r>
                </w:p>
              </w:tc>
              <w:tc>
                <w:tcPr>
                  <w:tcW w:w="1124"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0.035%</w:t>
                  </w:r>
                </w:p>
              </w:tc>
              <w:tc>
                <w:tcPr>
                  <w:tcW w:w="1012" w:type="dxa"/>
                  <w:noWrap/>
                  <w:vAlign w:val="center"/>
                </w:tcPr>
                <w:p>
                  <w:pPr>
                    <w:pageBreakBefore w:val="0"/>
                    <w:kinsoku/>
                    <w:wordWrap/>
                    <w:overflowPunct/>
                    <w:bidi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0.035%</w:t>
                  </w:r>
                </w:p>
              </w:tc>
            </w:tr>
          </w:tbl>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注：采购代理服务收费按差额定率累进法计算。</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例如：广西税务系统某工程招标代理业务中标金额为6000万元，计算招标代理服务收费额如下：</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100万元×1.0%=1万元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（500-100）万元×0.7%=2.8万元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（1000-500）万元×0.55%=2.75万元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（5000-1000）万元×0.35%=14万元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（6000-5000）万元×0.2%=2万元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合计收费（标准费率）=1+2.8+2.75+14+2=22.55（万元）</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合计收费（标准费率下浮30%）=22.55×（1-30%）=15.785（万元）</w:t>
            </w:r>
          </w:p>
          <w:p>
            <w:pPr>
              <w:pStyle w:val="13"/>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（3）代理费用汇到如下指定账户：</w:t>
            </w:r>
          </w:p>
          <w:p>
            <w:pPr>
              <w:pStyle w:val="13"/>
              <w:pageBreakBefore w:val="0"/>
              <w:kinsoku/>
              <w:wordWrap/>
              <w:overflowPunct/>
              <w:bidi w:val="0"/>
              <w:spacing w:line="440" w:lineRule="exact"/>
              <w:ind w:lef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开户名称：广西众联工程项目管理有限公司</w:t>
            </w:r>
          </w:p>
          <w:p>
            <w:pPr>
              <w:pStyle w:val="13"/>
              <w:pageBreakBefore w:val="0"/>
              <w:kinsoku/>
              <w:wordWrap/>
              <w:overflowPunct/>
              <w:bidi w:val="0"/>
              <w:spacing w:line="440" w:lineRule="exact"/>
              <w:ind w:left="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开户银行：中国光大银行股份有限公司南宁民主支行</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pageBreakBefore w:val="0"/>
              <w:kinsoku/>
              <w:wordWrap/>
              <w:overflowPunct/>
              <w:topLinePunct/>
              <w:autoSpaceDE w:val="0"/>
              <w:autoSpaceDN w:val="0"/>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984" w:type="dxa"/>
            <w:noWrap/>
            <w:vAlign w:val="center"/>
          </w:tcPr>
          <w:p>
            <w:pPr>
              <w:pageBreakBefore w:val="0"/>
              <w:kinsoku/>
              <w:wordWrap/>
              <w:overflowPunct/>
              <w:bidi w:val="0"/>
              <w:adjustRightInd w:val="0"/>
              <w:snapToGrid w:val="0"/>
              <w:spacing w:line="440" w:lineRule="exact"/>
              <w:ind w:lef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其他补充事项</w:t>
            </w:r>
          </w:p>
        </w:tc>
        <w:tc>
          <w:tcPr>
            <w:tcW w:w="6058" w:type="dxa"/>
            <w:gridSpan w:val="2"/>
            <w:noWrap/>
            <w:vAlign w:val="center"/>
          </w:tcPr>
          <w:p>
            <w:pPr>
              <w:pStyle w:val="13"/>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13"/>
              <w:pageBreakBefore w:val="0"/>
              <w:kinsoku/>
              <w:wordWrap/>
              <w:overflowPunct/>
              <w:bidi w:val="0"/>
              <w:spacing w:line="440" w:lineRule="exact"/>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（2）本招标文件中描述投标人的“签字”是指投标人的法定代表人（负责人）或被授权人亲自在招标文件规定签署处亲笔写上个人的名字的行为，私章、签字章、印鉴、影印等其它形式均不能代替亲笔签字。</w:t>
            </w:r>
          </w:p>
          <w:p>
            <w:pPr>
              <w:pageBreakBefore w:val="0"/>
              <w:kinsoku/>
              <w:wordWrap/>
              <w:overflowPunct/>
              <w:bidi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（3）中标供应商享受中小企业扶持政策的，采购人、采购代理机构应当随中标结果公开中标供应商的《中小企业声明函》。</w:t>
            </w:r>
          </w:p>
          <w:p>
            <w:pPr>
              <w:pageBreakBefore w:val="0"/>
              <w:kinsoku/>
              <w:wordWrap/>
              <w:overflowPunct/>
              <w:bidi w:val="0"/>
              <w:adjustRightInd w:val="0"/>
              <w:snapToGrid w:val="0"/>
              <w:spacing w:line="44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（4）中标供应商为残疾人福利性单位的，采购人或者其委托的采购代理机构应当随中标结果同时公告其《残疾人福利性单位声明函》，接受社会监督。</w:t>
            </w:r>
          </w:p>
        </w:tc>
      </w:tr>
      <w:bookmarkEnd w:id="37"/>
      <w:bookmarkEnd w:id="38"/>
    </w:tbl>
    <w:p>
      <w:pPr>
        <w:pStyle w:val="5"/>
        <w:jc w:val="center"/>
      </w:pPr>
    </w:p>
    <w:p/>
    <w:p>
      <w:pPr>
        <w:sectPr>
          <w:pgSz w:w="11906" w:h="16838"/>
          <w:pgMar w:top="1417" w:right="1417" w:bottom="1417" w:left="1417" w:header="851" w:footer="992" w:gutter="0"/>
          <w:cols w:space="720" w:num="1"/>
          <w:titlePg/>
          <w:docGrid w:type="lines" w:linePitch="312" w:charSpace="0"/>
        </w:sectPr>
      </w:pPr>
    </w:p>
    <w:p>
      <w:pPr>
        <w:pStyle w:val="5"/>
        <w:rPr>
          <w:rFonts w:asciiTheme="minorEastAsia" w:hAnsiTheme="minorEastAsia" w:eastAsiaTheme="minorEastAsia" w:cstheme="minorEastAsia"/>
          <w:szCs w:val="21"/>
        </w:rPr>
      </w:pPr>
      <w:bookmarkStart w:id="39" w:name="_Toc32474"/>
      <w:bookmarkStart w:id="40" w:name="_Toc132880274"/>
      <w:r>
        <w:rPr>
          <w:rFonts w:hint="eastAsia"/>
        </w:rPr>
        <w:t>一、总则</w:t>
      </w:r>
      <w:bookmarkEnd w:id="39"/>
      <w:bookmarkEnd w:id="40"/>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1.预算资金及来源</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 本项目已经</w:t>
      </w:r>
      <w:r>
        <w:rPr>
          <w:rFonts w:hint="eastAsia" w:asciiTheme="minorEastAsia" w:hAnsiTheme="minorEastAsia" w:eastAsiaTheme="minorEastAsia" w:cstheme="minorEastAsia"/>
          <w:b/>
          <w:bCs/>
          <w:szCs w:val="21"/>
        </w:rPr>
        <w:t>国家税务总局南宁市税务局</w:t>
      </w:r>
      <w:r>
        <w:rPr>
          <w:rFonts w:hint="eastAsia" w:asciiTheme="minorEastAsia" w:hAnsiTheme="minorEastAsia" w:eastAsiaTheme="minorEastAsia" w:cstheme="minorEastAsia"/>
          <w:szCs w:val="21"/>
        </w:rPr>
        <w:t>批准立项。</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 本项目预算资金见</w:t>
      </w:r>
      <w:r>
        <w:rPr>
          <w:rFonts w:hint="eastAsia" w:asciiTheme="minorEastAsia" w:hAnsiTheme="minorEastAsia" w:eastAsiaTheme="minorEastAsia" w:cstheme="minorEastAsia"/>
          <w:b/>
          <w:bCs/>
          <w:szCs w:val="21"/>
        </w:rPr>
        <w:t>投标人须知前附表</w:t>
      </w:r>
      <w:r>
        <w:rPr>
          <w:rFonts w:hint="eastAsia" w:asciiTheme="minorEastAsia" w:hAnsiTheme="minorEastAsia" w:eastAsiaTheme="minorEastAsia" w:cstheme="minorEastAsia"/>
          <w:szCs w:val="21"/>
        </w:rPr>
        <w:t>，已列入</w:t>
      </w:r>
      <w:r>
        <w:rPr>
          <w:rFonts w:hint="eastAsia" w:asciiTheme="minorEastAsia" w:hAnsiTheme="minorEastAsia" w:eastAsiaTheme="minorEastAsia" w:cstheme="minorEastAsia"/>
          <w:b/>
          <w:bCs/>
          <w:szCs w:val="21"/>
        </w:rPr>
        <w:t>国家税务总局南宁市税务局</w:t>
      </w:r>
      <w:r>
        <w:rPr>
          <w:rFonts w:hint="eastAsia" w:asciiTheme="minorEastAsia" w:hAnsiTheme="minorEastAsia" w:eastAsiaTheme="minorEastAsia" w:cstheme="minorEastAsia"/>
          <w:szCs w:val="21"/>
        </w:rPr>
        <w:t>预算。</w:t>
      </w:r>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2.合格的产品和服务</w:t>
      </w:r>
    </w:p>
    <w:p>
      <w:pPr>
        <w:tabs>
          <w:tab w:val="left" w:pos="2160"/>
        </w:tabs>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本项目所涉及的所有产品和服务均应来自中国境内（指关境内），合同</w:t>
      </w:r>
      <w:r>
        <w:rPr>
          <w:rFonts w:hint="eastAsia" w:asciiTheme="minorEastAsia" w:hAnsiTheme="minorEastAsia" w:eastAsiaTheme="minorEastAsia" w:cstheme="minorEastAsia"/>
          <w:szCs w:val="21"/>
          <w:highlight w:val="none"/>
          <w:lang w:eastAsia="zh-CN"/>
        </w:rPr>
        <w:t>总</w:t>
      </w:r>
      <w:r>
        <w:rPr>
          <w:rFonts w:hint="eastAsia" w:asciiTheme="minorEastAsia" w:hAnsiTheme="minorEastAsia" w:eastAsiaTheme="minorEastAsia" w:cstheme="minorEastAsia"/>
          <w:szCs w:val="21"/>
        </w:rPr>
        <w:t>金额的支付也仅限于这些产品和服务。</w:t>
      </w:r>
    </w:p>
    <w:p>
      <w:pPr>
        <w:tabs>
          <w:tab w:val="left" w:pos="2160"/>
        </w:tabs>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合格的产品和服务即</w:t>
      </w:r>
      <w:r>
        <w:rPr>
          <w:rFonts w:hint="eastAsia" w:asciiTheme="minorEastAsia" w:hAnsiTheme="minorEastAsia" w:eastAsiaTheme="minorEastAsia" w:cstheme="minorEastAsia"/>
          <w:b/>
          <w:bCs/>
          <w:szCs w:val="21"/>
        </w:rPr>
        <w:t>采购需求</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
          <w:szCs w:val="21"/>
        </w:rPr>
        <w:t>招标文件（技术部分）。</w:t>
      </w:r>
    </w:p>
    <w:p>
      <w:pPr>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投标人应保证所提供的产品及服务免受第三方提出侵犯其知识产权（专利权、商标权、工业设计权及使用权）的请求及起诉。</w:t>
      </w:r>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3.合格的投标人</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3.1一般规定</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3.1.1投标人应遵守《政府采购法》及其实施条例、《政府采购货物和服务招标投标管理办法》、《政府采购质疑和投诉办法》及有关政府采购的规定，同时还应遵守有关法律、法规和规章的强制性规定。</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3.1.2投标人的资格要求及本项目的特定资格要求见</w:t>
      </w:r>
      <w:r>
        <w:rPr>
          <w:rFonts w:asciiTheme="minorEastAsia" w:hAnsiTheme="minorEastAsia" w:eastAsiaTheme="minorEastAsia" w:cstheme="minorEastAsia"/>
          <w:b/>
          <w:sz w:val="21"/>
          <w:szCs w:val="21"/>
        </w:rPr>
        <w:t>投标人须知前附表</w:t>
      </w:r>
      <w:r>
        <w:rPr>
          <w:rFonts w:asciiTheme="minorEastAsia" w:hAnsiTheme="minorEastAsia" w:eastAsiaTheme="minorEastAsia" w:cstheme="minorEastAsia"/>
          <w:sz w:val="21"/>
          <w:szCs w:val="21"/>
        </w:rPr>
        <w:t>。</w:t>
      </w:r>
    </w:p>
    <w:p>
      <w:pPr>
        <w:pStyle w:val="29"/>
        <w:widowControl w:val="0"/>
        <w:spacing w:line="440" w:lineRule="exact"/>
        <w:ind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3.1.3资格条件中所称“重大违法记录”，是指投标人因违法经营受到刑事处罚或者责令停产停业、吊销许可证或者执照、较大数额罚款等行政处罚。</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投标人在参加政府采购活动前3年内因违法经营被禁止在一定期限内参加政府采购活动，期限届满的，可以参加政府采购活动。</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“较大数额罚款”认定为200万元以上的罚款，法律、行政法规以及国务院有关部门明确规定相关领域“较大数额罚款”标准高于200万元的，从其规定。</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3.1.4信用记录要求</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采购代理机构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3.2联合体</w:t>
      </w:r>
    </w:p>
    <w:p>
      <w:pPr>
        <w:pStyle w:val="29"/>
        <w:widowControl w:val="0"/>
        <w:spacing w:line="440" w:lineRule="exact"/>
        <w:ind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3.2.1若本项目接受联合体投标，则两个以上的自然人、法人或者其他组织可以组成一个联合体，以一个投标人的身份共同参加政府采购。</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3.2.2以联合体形式参加投标的，联合体各方应按第二章要求提供资格条件材料。</w:t>
      </w:r>
    </w:p>
    <w:p>
      <w:pPr>
        <w:pStyle w:val="29"/>
        <w:widowControl w:val="0"/>
        <w:spacing w:line="440" w:lineRule="exact"/>
        <w:ind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3.2.3联合体中有同类资质的投标人按照联合体分工承担相同工作的，应当按照资质等级较低的投标人确定资质等级。</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3.2.4联合体应当提交联合协议，载明联合体各方承担的工作和义务。</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3.2.5联合体各方应当共同与采购人签订采购合同，就采购合同约定的事项对采购人承担连带责任。</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3.2.6以联合体形式参加政府采购活动的，联合体各方不得再单独参加或者与其他投标人另外组成联合体参加同一合同项下的政府采购活动。</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3.3禁止规定</w:t>
      </w:r>
    </w:p>
    <w:p>
      <w:pPr>
        <w:pStyle w:val="29"/>
        <w:widowControl w:val="0"/>
        <w:spacing w:line="440" w:lineRule="exact"/>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3.3.1单位负责人为同一人或者存在直接控股、管理关系的不同投标人，不得参加同一采购包的政府采购活动。</w:t>
      </w:r>
      <w:r>
        <w:rPr>
          <w:rFonts w:asciiTheme="minorEastAsia" w:hAnsiTheme="minorEastAsia" w:eastAsiaTheme="minorEastAsia" w:cstheme="minorEastAsia"/>
          <w:b/>
          <w:bCs/>
          <w:sz w:val="21"/>
          <w:szCs w:val="21"/>
        </w:rPr>
        <w:t>否则投标均无效。</w:t>
      </w:r>
    </w:p>
    <w:p>
      <w:pPr>
        <w:pStyle w:val="29"/>
        <w:widowControl w:val="0"/>
        <w:spacing w:line="440" w:lineRule="exact"/>
        <w:ind w:firstLine="422" w:firstLineChars="200"/>
        <w:jc w:val="both"/>
        <w:rPr>
          <w:rFonts w:hint="default" w:asciiTheme="minorEastAsia" w:hAnsiTheme="minorEastAsia" w:eastAsiaTheme="minorEastAsia" w:cstheme="minorEastAsia"/>
          <w:b/>
          <w:bCs/>
          <w:sz w:val="21"/>
          <w:szCs w:val="21"/>
          <w:highlight w:val="cyan"/>
        </w:rPr>
      </w:pPr>
      <w:r>
        <w:rPr>
          <w:rFonts w:asciiTheme="minorEastAsia" w:hAnsiTheme="minorEastAsia" w:eastAsiaTheme="minorEastAsia" w:cstheme="minorEastAsia"/>
          <w:b/>
          <w:bCs/>
          <w:sz w:val="21"/>
          <w:szCs w:val="21"/>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4.投标费用</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 投标人应承担所有与编写、提交投标文件有关的费用，不论招标的结果如何，采购人在任何情况下均无义务和责任承担这些费用。</w:t>
      </w:r>
    </w:p>
    <w:p>
      <w:pPr>
        <w:pStyle w:val="5"/>
      </w:pPr>
      <w:bookmarkStart w:id="41" w:name="_Toc132880275"/>
      <w:bookmarkStart w:id="42" w:name="_Toc20650"/>
      <w:r>
        <w:rPr>
          <w:rFonts w:hint="eastAsia"/>
        </w:rPr>
        <w:t>二、招标文件</w:t>
      </w:r>
      <w:bookmarkEnd w:id="41"/>
      <w:bookmarkEnd w:id="42"/>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5.招标文件构成</w:t>
      </w:r>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第一部分 商务部分</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（1）投标邀请</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（2）投标人须知</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（3）评标方法及标准</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（4）政府采购合同文本</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（5）投标文件格式</w:t>
      </w:r>
    </w:p>
    <w:p>
      <w:pPr>
        <w:topLinePunct/>
        <w:autoSpaceDE w:val="0"/>
        <w:autoSpaceDN w:val="0"/>
        <w:adjustRightInd w:val="0"/>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第二部分 技术部分</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（6）项目采购需求</w:t>
      </w:r>
    </w:p>
    <w:p>
      <w:pPr>
        <w:topLinePunct/>
        <w:autoSpaceDE w:val="0"/>
        <w:autoSpaceDN w:val="0"/>
        <w:adjustRightInd w:val="0"/>
        <w:snapToGrid w:val="0"/>
        <w:spacing w:line="44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6.招标文件询问、澄清或修改</w:t>
      </w:r>
    </w:p>
    <w:p>
      <w:pPr>
        <w:widowControl/>
        <w:topLinePunct/>
        <w:autoSpaceDE w:val="0"/>
        <w:autoSpaceDN w:val="0"/>
        <w:adjustRightInd w:val="0"/>
        <w:snapToGrid w:val="0"/>
        <w:spacing w:line="440" w:lineRule="exact"/>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 投标人对招标文件如有疑问的，可以向采购人或者采购代理机构提出询问，采购人或者采购代理机构应当在3个工作日内作出答复</w:t>
      </w:r>
      <w:r>
        <w:rPr>
          <w:rFonts w:hint="eastAsia" w:asciiTheme="minorEastAsia" w:hAnsiTheme="minorEastAsia" w:eastAsiaTheme="minorEastAsia" w:cstheme="minorEastAsia"/>
          <w:bCs/>
          <w:szCs w:val="21"/>
        </w:rPr>
        <w:t>，但答复的内容不得涉及商业秘密。</w:t>
      </w:r>
      <w:r>
        <w:rPr>
          <w:rFonts w:hint="eastAsia" w:asciiTheme="minorEastAsia" w:hAnsiTheme="minorEastAsia" w:eastAsiaTheme="minorEastAsia" w:cstheme="minorEastAsia"/>
          <w:szCs w:val="21"/>
        </w:rPr>
        <w:t>如有必要，采购人或者采购代理机构可对招标文件进行澄清或者修改。</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 采购人或者采购代理机构可主动对招标文件进行必要的澄清或者修改，但不得改变采购标的和资格条件。</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 澄清或者修改应当在原公告发布媒体上发布澄清公告，线上采购项目还应通过国家税务总局政府采购评审管理系统（以下简称“评审管理系统”）通知所有获取招标文件的潜在投标人。</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topLinePunct/>
        <w:autoSpaceDE w:val="0"/>
        <w:autoSpaceDN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 澄清或者修改的内容为招标文件的组成部分。</w:t>
      </w:r>
    </w:p>
    <w:p>
      <w:pPr>
        <w:pStyle w:val="5"/>
      </w:pPr>
      <w:bookmarkStart w:id="43" w:name="_Toc10830"/>
      <w:bookmarkStart w:id="44" w:name="_Toc132880276"/>
      <w:r>
        <w:rPr>
          <w:rFonts w:hint="eastAsia"/>
        </w:rPr>
        <w:t>三、投标文件</w:t>
      </w:r>
      <w:bookmarkEnd w:id="43"/>
      <w:bookmarkEnd w:id="44"/>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投标文件编制</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7.1投标文件的编制</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7.1.1投标人应先仔细阅读招标文件的全部内容后，再进行投标文件的编制。</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7.1.2投标文件应满足招标文件提出的实质性要求和条件，并保证其所提交的全部资料是不可割离且真实、有效、准确、完整和不具有任何误导性的，否则造成不利后果由投标人承担责任。</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7.2投标文件的语言</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7.2.1除招标文件另有规定外，投标文件应使用中文文本并使用中文简化字，若有不同文本，以中文简化字文本为准。</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7.2.2投标文件提供的全部资料中，若属于非中文描述的，应同时提供中文简化字译本。</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7.2.3除在招标文件的要求中另有规定外，投标文件计量单位应使用中华人民共和国法定计量单位。</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8.投标文件的组成</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 投标文件包括商务部分和技术部分。</w:t>
      </w:r>
    </w:p>
    <w:p>
      <w:pPr>
        <w:keepNext w:val="0"/>
        <w:keepLines w:val="0"/>
        <w:pageBreakBefore w:val="0"/>
        <w:widowControl w:val="0"/>
        <w:kinsoku/>
        <w:wordWrap/>
        <w:topLinePunct/>
        <w:autoSpaceDE w:val="0"/>
        <w:autoSpaceDN w:val="0"/>
        <w:bidi w:val="0"/>
        <w:adjustRightInd w:val="0"/>
        <w:snapToGrid w:val="0"/>
        <w:spacing w:line="440" w:lineRule="exact"/>
        <w:ind w:firstLine="428" w:firstLineChars="204"/>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 投标文件</w:t>
      </w:r>
      <w:r>
        <w:rPr>
          <w:rFonts w:hint="eastAsia" w:asciiTheme="minorEastAsia" w:hAnsiTheme="minorEastAsia" w:eastAsiaTheme="minorEastAsia" w:cstheme="minorEastAsia"/>
          <w:b/>
          <w:bCs/>
          <w:szCs w:val="21"/>
        </w:rPr>
        <w:t>商务部分</w:t>
      </w:r>
      <w:r>
        <w:rPr>
          <w:rFonts w:hint="eastAsia" w:asciiTheme="minorEastAsia" w:hAnsiTheme="minorEastAsia" w:eastAsiaTheme="minorEastAsia" w:cstheme="minorEastAsia"/>
          <w:szCs w:val="21"/>
        </w:rPr>
        <w:t>主要包括的文件和资料：</w:t>
      </w:r>
    </w:p>
    <w:p>
      <w:pPr>
        <w:keepNext w:val="0"/>
        <w:keepLines w:val="0"/>
        <w:pageBreakBefore w:val="0"/>
        <w:widowControl w:val="0"/>
        <w:kinsoku/>
        <w:wordWrap/>
        <w:topLinePunct/>
        <w:autoSpaceDE w:val="0"/>
        <w:autoSpaceDN w:val="0"/>
        <w:bidi w:val="0"/>
        <w:adjustRightInd w:val="0"/>
        <w:snapToGrid w:val="0"/>
        <w:spacing w:line="440" w:lineRule="exact"/>
        <w:ind w:firstLine="428" w:firstLineChars="204"/>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8.2.1 资格证明文件，见</w:t>
      </w:r>
      <w:r>
        <w:rPr>
          <w:rFonts w:hint="eastAsia" w:asciiTheme="minorEastAsia" w:hAnsiTheme="minorEastAsia" w:eastAsiaTheme="minorEastAsia" w:cstheme="minorEastAsia"/>
          <w:b/>
          <w:szCs w:val="21"/>
        </w:rPr>
        <w:t>投标人须知前附表。</w:t>
      </w:r>
    </w:p>
    <w:p>
      <w:pPr>
        <w:keepNext w:val="0"/>
        <w:keepLines w:val="0"/>
        <w:pageBreakBefore w:val="0"/>
        <w:widowControl w:val="0"/>
        <w:kinsoku/>
        <w:wordWrap/>
        <w:overflowPunct w:val="0"/>
        <w:autoSpaceDE w:val="0"/>
        <w:autoSpaceDN w:val="0"/>
        <w:bidi w:val="0"/>
        <w:adjustRightInd w:val="0"/>
        <w:snapToGrid w:val="0"/>
        <w:spacing w:line="440" w:lineRule="exact"/>
        <w:ind w:firstLine="426" w:firstLineChars="203"/>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8.2.2 其他文件及资料，见</w:t>
      </w:r>
      <w:r>
        <w:rPr>
          <w:rFonts w:hint="eastAsia" w:asciiTheme="minorEastAsia" w:hAnsiTheme="minorEastAsia" w:eastAsiaTheme="minorEastAsia" w:cstheme="minorEastAsia"/>
          <w:b/>
          <w:szCs w:val="21"/>
        </w:rPr>
        <w:t>投标人须知前附表。</w:t>
      </w:r>
    </w:p>
    <w:p>
      <w:pPr>
        <w:keepNext w:val="0"/>
        <w:keepLines w:val="0"/>
        <w:pageBreakBefore w:val="0"/>
        <w:widowControl w:val="0"/>
        <w:kinsoku/>
        <w:wordWrap/>
        <w:overflowPunct w:val="0"/>
        <w:autoSpaceDE w:val="0"/>
        <w:autoSpaceDN w:val="0"/>
        <w:bidi w:val="0"/>
        <w:adjustRightInd w:val="0"/>
        <w:snapToGrid w:val="0"/>
        <w:spacing w:line="440" w:lineRule="exact"/>
        <w:ind w:firstLine="426" w:firstLineChars="203"/>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 投标文件</w:t>
      </w:r>
      <w:r>
        <w:rPr>
          <w:rFonts w:hint="eastAsia" w:asciiTheme="minorEastAsia" w:hAnsiTheme="minorEastAsia" w:eastAsiaTheme="minorEastAsia" w:cstheme="minorEastAsia"/>
          <w:b/>
          <w:bCs/>
          <w:szCs w:val="21"/>
        </w:rPr>
        <w:t>技术部分</w:t>
      </w:r>
      <w:r>
        <w:rPr>
          <w:rFonts w:hint="eastAsia" w:asciiTheme="minorEastAsia" w:hAnsiTheme="minorEastAsia" w:eastAsiaTheme="minorEastAsia" w:cstheme="minorEastAsia"/>
          <w:szCs w:val="21"/>
        </w:rPr>
        <w:t>主要包括的文件及资料，见</w:t>
      </w:r>
      <w:r>
        <w:rPr>
          <w:rFonts w:hint="eastAsia" w:asciiTheme="minorEastAsia" w:hAnsiTheme="minorEastAsia" w:eastAsiaTheme="minorEastAsia" w:cstheme="minorEastAsia"/>
          <w:b/>
          <w:szCs w:val="21"/>
        </w:rPr>
        <w:t>投标人须知前附表。</w:t>
      </w:r>
    </w:p>
    <w:p>
      <w:pPr>
        <w:keepNext w:val="0"/>
        <w:keepLines w:val="0"/>
        <w:pageBreakBefore w:val="0"/>
        <w:widowControl w:val="0"/>
        <w:kinsoku/>
        <w:wordWrap/>
        <w:overflowPunct w:val="0"/>
        <w:autoSpaceDE w:val="0"/>
        <w:autoSpaceDN w:val="0"/>
        <w:bidi w:val="0"/>
        <w:adjustRightInd w:val="0"/>
        <w:snapToGrid w:val="0"/>
        <w:spacing w:line="440" w:lineRule="exact"/>
        <w:ind w:firstLine="426" w:firstLineChars="203"/>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8.4 证明资料如标明有效期的，必须在有效期内。</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9.报价要求</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 除招标文件另有规定外，投标应以人民币报价，线上采购项目还须按照投标工具的流程和提示编制并上传投标报价表。</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 本项目不接受任何形式的赠送、“零”报价和折扣报价。</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 本项目以投标报价为依据计算价格分。投标报价应包括招标文件中要求投标人承担所有工作内容的全部费用。</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 最低报价不能作为中标的保证。</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10.投标文件的书写、密封、签署、盖章</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10.1书写</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10.1.1投标文件应使用不能擦去的墨料或墨水打印、书写。</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10.1.2投标文件内容应没有涂改或行间插字。若有前述改动，在改动处应由单位负责人（投标人代表）签字确认或加盖投标人的单位公章。</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10.2密封</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10.2.1投标文件应胶装或装订成册，避免材料散装、脱落。</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10.2.2投标文件</w:t>
      </w:r>
      <w:r>
        <w:rPr>
          <w:rFonts w:asciiTheme="minorEastAsia" w:hAnsiTheme="minorEastAsia" w:eastAsiaTheme="minorEastAsia" w:cstheme="minorEastAsia"/>
          <w:sz w:val="21"/>
          <w:szCs w:val="21"/>
          <w:highlight w:val="none"/>
        </w:rPr>
        <w:t>（包括电子文件）</w:t>
      </w:r>
      <w:r>
        <w:rPr>
          <w:rFonts w:asciiTheme="minorEastAsia" w:hAnsiTheme="minorEastAsia" w:eastAsiaTheme="minorEastAsia" w:cstheme="minorEastAsia"/>
          <w:sz w:val="21"/>
          <w:szCs w:val="21"/>
        </w:rPr>
        <w:t>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10.3签署、盖章</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highlight w:val="cyan"/>
        </w:rPr>
      </w:pPr>
      <w:r>
        <w:rPr>
          <w:rFonts w:hint="eastAsia" w:asciiTheme="minorEastAsia" w:hAnsiTheme="minorEastAsia" w:eastAsiaTheme="minorEastAsia" w:cstheme="minorEastAsia"/>
          <w:szCs w:val="21"/>
        </w:rPr>
        <w:t>10.3.1投标文件中要求签字处应由投标人的单位负责人（投标人代表）签字。</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10.3.2投标文件必须按照招标文件给出文件格式的签署要求进行签署。</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10.3.3投标人在</w:t>
      </w:r>
      <w:r>
        <w:rPr>
          <w:rFonts w:hint="eastAsia" w:asciiTheme="minorEastAsia" w:hAnsiTheme="minorEastAsia" w:eastAsiaTheme="minorEastAsia" w:cstheme="minorEastAsia"/>
          <w:b/>
          <w:bCs/>
          <w:szCs w:val="21"/>
        </w:rPr>
        <w:t>“投标函”“法定代表人授权委托书”</w:t>
      </w:r>
      <w:r>
        <w:rPr>
          <w:rFonts w:hint="eastAsia" w:asciiTheme="minorEastAsia" w:hAnsiTheme="minorEastAsia" w:eastAsiaTheme="minorEastAsia" w:cstheme="minorEastAsia"/>
          <w:szCs w:val="21"/>
        </w:rPr>
        <w:t>上应当按格式要求加盖与投标人名称全称一致的标准公章，并按照招标文件第五章投标文件格式中的相应格式文件要求签署全名。</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10.3.4投标文件中的“盖章”指加盖投标人的“公章”，而非“合同专用章”、“投标专用章”等其他非公章。</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10.3.5线上采购项目可以使用电子签章。</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投标有效期</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投标有效期见</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 特殊情况下，在原投标有效期期满之前，采购人或者采购代理机构可征得投标人同意延长投标有效期。</w:t>
      </w:r>
    </w:p>
    <w:p>
      <w:pPr>
        <w:pStyle w:val="5"/>
      </w:pPr>
      <w:bookmarkStart w:id="45" w:name="_Toc132880277"/>
      <w:bookmarkStart w:id="46" w:name="_Toc18073"/>
      <w:r>
        <w:rPr>
          <w:rFonts w:hint="eastAsia"/>
        </w:rPr>
        <w:t>四、投标文件递交</w:t>
      </w:r>
      <w:bookmarkEnd w:id="45"/>
      <w:bookmarkEnd w:id="46"/>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投标文件递交</w:t>
      </w:r>
    </w:p>
    <w:p>
      <w:pPr>
        <w:keepNext w:val="0"/>
        <w:keepLines w:val="0"/>
        <w:pageBreakBefore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 投标人应当在</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要求提交投标文件截止时间前，根据《投标人须知前附表》载明方式提交投标文件。逾期送达或者未按照招标文件要求密封的投标文件将被拒绝。</w:t>
      </w:r>
    </w:p>
    <w:p>
      <w:pPr>
        <w:keepNext w:val="0"/>
        <w:keepLines w:val="0"/>
        <w:pageBreakBefore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投标文件补充、修改或撤回</w:t>
      </w:r>
    </w:p>
    <w:p>
      <w:pPr>
        <w:keepNext w:val="0"/>
        <w:keepLines w:val="0"/>
        <w:pageBreakBefore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 投标人在投标截止时间前，可以对所递交的投标文件进行补充、修改或者撤回，并书面通知采购人或者采购代理机构。补充、修改的内容应当按照招标文件要求签署、盖章、密封后，作为投标文件的组成部分。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 线上采购项目，投标人在投标截止时间前，可以登录评审管理系统对所提交的投标文件进行撤回、补充、修改、重新提交。补充、修改的内容应当按照招标文件要求签署、盖章。</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 提交投标文件截止时间后，不得对已提交的投标文件作任何补充、修改或者撤回。</w:t>
      </w:r>
    </w:p>
    <w:p>
      <w:pPr>
        <w:pStyle w:val="5"/>
        <w:rPr>
          <w:rFonts w:asciiTheme="minorEastAsia" w:hAnsiTheme="minorEastAsia" w:eastAsiaTheme="minorEastAsia" w:cstheme="minorEastAsia"/>
          <w:szCs w:val="21"/>
        </w:rPr>
      </w:pPr>
      <w:bookmarkStart w:id="47" w:name="_Toc132880278"/>
      <w:bookmarkStart w:id="48" w:name="_Toc29378"/>
      <w:r>
        <w:rPr>
          <w:rFonts w:hint="eastAsia"/>
        </w:rPr>
        <w:t>五、开标与评标</w:t>
      </w:r>
      <w:bookmarkEnd w:id="47"/>
      <w:bookmarkEnd w:id="48"/>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开标</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 开标在招标文件确定的提交投标文件截止时间的同一时间进行。开标地点详见</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w:t>
      </w:r>
    </w:p>
    <w:p>
      <w:pPr>
        <w:pStyle w:val="29"/>
        <w:keepNext w:val="0"/>
        <w:keepLines w:val="0"/>
        <w:pageBreakBefore w:val="0"/>
        <w:widowControl w:val="0"/>
        <w:kinsoku/>
        <w:wordWrap/>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14.2 开标由采购人或者采购代理机构主持，邀请投标人参加。评标委员会成员不得参加开标活动。</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14.4 开标过程由采购人或者采购代理机构负责记录，由参加开标的各投标人代表和相关工作人员签字确认后随采购文件一并存档。投标人未参加开标的，视同认可开标结果。</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14.6 在政府采购活动中，采购人员及相关人员与投标人有下列利害关系之一的，应当回避：</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（1）参加采购活动前3年内与投标人存在劳动关系；</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（2）参加采购活动前3年内担任投标人的董事、监事；</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（3）参加采购活动前3年内是投标人的控股股东或者实际控制人；</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（4）与投标人的法定代表人或者负责人有夫妻、直系血亲、三代以内旁系血亲或者近姻亲关系；</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（5）与投标人有其他可能影响政府采购活动公平、公正进行的关系。</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14.7 对线上采购项目，采购人或者采购代理机构将在</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投标资格审查</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公开招标采购项目开标结束后，由采购人或者采购代理机构依法对投标人的资格进行审查，以确定投标人是否具备投标资格。</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15.1.1 审查投标人按照8.2.1提交的</w:t>
      </w:r>
      <w:r>
        <w:rPr>
          <w:rFonts w:hint="eastAsia" w:asciiTheme="minorEastAsia" w:hAnsiTheme="minorEastAsia" w:eastAsiaTheme="minorEastAsia" w:cstheme="minorEastAsia"/>
          <w:b/>
          <w:szCs w:val="21"/>
        </w:rPr>
        <w:t>“资格证明文件”</w:t>
      </w:r>
      <w:r>
        <w:rPr>
          <w:rFonts w:hint="eastAsia" w:asciiTheme="minorEastAsia" w:hAnsiTheme="minorEastAsia" w:eastAsiaTheme="minorEastAsia" w:cstheme="minorEastAsia"/>
          <w:szCs w:val="21"/>
        </w:rPr>
        <w:t>。</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15.1.2 信用记录审查。</w:t>
      </w:r>
      <w:r>
        <w:rPr>
          <w:rFonts w:hint="eastAsia" w:asciiTheme="minorEastAsia" w:hAnsiTheme="minorEastAsia" w:eastAsiaTheme="minorEastAsia" w:cstheme="minorEastAsia"/>
          <w:b/>
          <w:bCs/>
          <w:szCs w:val="21"/>
        </w:rPr>
        <w:t>见投标人须知前附表。</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未通过资格审查的投标人，其投标无效。</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 合格投标人不足3家的，不得评标。</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评标委员会的组成</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16.1 采购人或者采购代理机构根据有关法律法规规定组建评标委员会，评标委员会由采购人代表和评审专家组成。</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投标符合性审查</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评标委员会对符合资格的投标人的投标文件进行符合性审查，以确定其是否符合招标文件的商务、技术等实质性要求。</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 未通过符合性审查的投标人，其投标无效。</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 通过符合性审查的投标人不足3家的，应予以废标。</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投标文件的澄清</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18.1对于投标文件中含义不明确、同类问题表述不一致或者有明显文字和计算错误的内容，评标委员会应当以书面形式要求投标人作出必要的澄清、说明或者补正。</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18.3关于投标描述（即投标文件中描述的内容）</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（1）投标描述前后不一致且不涉及证明材料的：按照本节第18.1条规定执行。</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（2）投标描述与证明材料不一致或多份证明材料之间不一致的：</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①评标委员会将要求投标人进行书面澄清，无法澄清的将按照不利于投标人的内容进行评标。</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9"/>
        <w:keepNext w:val="0"/>
        <w:keepLines w:val="0"/>
        <w:pageBreakBefore w:val="0"/>
        <w:widowControl w:val="0"/>
        <w:kinsoku/>
        <w:wordWrap/>
        <w:bidi w:val="0"/>
        <w:spacing w:line="440" w:lineRule="exact"/>
        <w:ind w:firstLine="420" w:firstLineChars="200"/>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18.4 除评标委员会要求投标人做出的澄清、说明或者补正以外，评标委员会不接受投标人的任何询问、说明、更改及文件。</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18.5 投标人的澄清必须在规定的时间内提交。</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核价原则</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19.1 </w:t>
      </w:r>
      <w:r>
        <w:rPr>
          <w:rFonts w:hint="eastAsia" w:asciiTheme="minorEastAsia" w:hAnsiTheme="minorEastAsia" w:eastAsiaTheme="minorEastAsia" w:cstheme="minorEastAsia"/>
          <w:szCs w:val="21"/>
        </w:rPr>
        <w:t>投标文件报价出现前后不一致的，除招标文件另有规定外，按照下列规定修正：</w:t>
      </w:r>
    </w:p>
    <w:p>
      <w:pPr>
        <w:keepNext w:val="0"/>
        <w:keepLines w:val="0"/>
        <w:pageBreakBefore w:val="0"/>
        <w:widowControl w:val="0"/>
        <w:kinsoku/>
        <w:wordWrap/>
        <w:overflowPunct w:val="0"/>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（1）投标文件中开标一览表（总报价表）内容与投标文件中相应内容不一致的，以开标一览表（总报价表）为准；</w:t>
      </w:r>
    </w:p>
    <w:p>
      <w:pPr>
        <w:keepNext w:val="0"/>
        <w:keepLines w:val="0"/>
        <w:pageBreakBefore w:val="0"/>
        <w:widowControl w:val="0"/>
        <w:kinsoku/>
        <w:wordWrap/>
        <w:overflowPunct w:val="0"/>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（2）大写金额和小写金额不一致的，以大写金额为准；</w:t>
      </w:r>
    </w:p>
    <w:p>
      <w:pPr>
        <w:keepNext w:val="0"/>
        <w:keepLines w:val="0"/>
        <w:pageBreakBefore w:val="0"/>
        <w:widowControl w:val="0"/>
        <w:kinsoku/>
        <w:wordWrap/>
        <w:overflowPunct w:val="0"/>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（3）单价金额小数点或者百分比有明显错位的，以开标一览表的总价为准，并修改单价；</w:t>
      </w:r>
    </w:p>
    <w:p>
      <w:pPr>
        <w:keepNext w:val="0"/>
        <w:keepLines w:val="0"/>
        <w:pageBreakBefore w:val="0"/>
        <w:widowControl w:val="0"/>
        <w:kinsoku/>
        <w:wordWrap/>
        <w:overflowPunct w:val="0"/>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（4）总价金额与按单价汇总金额不一致的，以单价金额计算结果为准。</w:t>
      </w:r>
    </w:p>
    <w:p>
      <w:pPr>
        <w:keepNext w:val="0"/>
        <w:keepLines w:val="0"/>
        <w:pageBreakBefore w:val="0"/>
        <w:widowControl w:val="0"/>
        <w:kinsoku/>
        <w:wordWrap/>
        <w:overflowPunct w:val="0"/>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（5）同时出现两种以上不一致的，按照前款规定的顺序修正。修正后的报价按照18.2条的规定经投标人确认后产生约束力，投标人不确认的，其投标无效。</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投标无效</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 投标人及投标文件有下列情况之一的，应当在资格审查时按照投标无效处理：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不具备招标文件中规定的资格要求的；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投标文件组成中“资格证明文件”未提供或无效的；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未通过信用记录审查或未提供相关证明材料的。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 投标人及投标文件有下列情况之一的，应当在符合性审查时按照投标无效处理：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投标文件组成中除“资格证明文件”外，★条款相关文件及资料未提供或提供无效的；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投标文件未按招标文件要求签署、盖章的；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投标报价超过招标文件中规定的预算金额或者最高限价的；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投标有效期不足的；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投标文件含有采购人不能接受的附加条件的；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20.3 除20.1及20.2情形外，投标人及投标文件有下列情况之一的，应当按照投标无效处理：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提供虚假投标文件材料的；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投标人串通投标的；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投标报价明显低于其他通过符合性审查投标人的报价，且不能证明其报价合理性的。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法律、法规和招标文件规定的其他无效情形。</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比较与评价</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 评标委员会按照招标文件中规定的评标方法和标准，对符合性审查合格的投标文件进行商务和技术评估，综合比较与评价。</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 价格分应当采用低价优先法计算。小型、微型企业和监狱企业、残疾人福利性单位的投标报价按照</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规定，分别给予扣除，并以扣除后的报价计算价格分。未提供《中小型企业声明函》、《监狱企业证明文件》、《残疾人福利性单位声明函》的，价格不予扣除。同一投标人不得重复享受价格扣除政策。</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 评标委员会各成员独立对每个投标人的投标文件进行评价，并汇总得出每个投标人的评审得分。</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21.5 评标方法及标准</w:t>
      </w:r>
      <w:r>
        <w:rPr>
          <w:rFonts w:hint="eastAsia" w:asciiTheme="minorEastAsia" w:hAnsiTheme="minorEastAsia" w:eastAsiaTheme="minorEastAsia" w:cstheme="minorEastAsia"/>
          <w:b/>
          <w:szCs w:val="21"/>
        </w:rPr>
        <w:t>详见招标文件商务部分第三章。</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废标</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 在招标采购中，出现下列情形之一的，应予废标：</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（1）符合专业条件的供应商或者对招标文件作实质响应的供应商不足三家的；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keepNext w:val="0"/>
        <w:keepLines w:val="0"/>
        <w:pageBreakBefore w:val="0"/>
        <w:widowControl w:val="0"/>
        <w:kinsoku/>
        <w:wordWrap/>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废标后，采购人或者采购代理机构将废标理由通知所有投标人。</w:t>
      </w:r>
    </w:p>
    <w:p>
      <w:pPr>
        <w:pStyle w:val="5"/>
        <w:rPr>
          <w:rFonts w:asciiTheme="minorEastAsia" w:hAnsiTheme="minorEastAsia" w:eastAsiaTheme="minorEastAsia" w:cstheme="minorEastAsia"/>
          <w:szCs w:val="21"/>
        </w:rPr>
      </w:pPr>
      <w:bookmarkStart w:id="49" w:name="_Toc132880279"/>
      <w:bookmarkStart w:id="50" w:name="_Toc13594"/>
      <w:r>
        <w:rPr>
          <w:rFonts w:hint="eastAsia"/>
        </w:rPr>
        <w:t>六、中标和合同</w:t>
      </w:r>
      <w:bookmarkEnd w:id="49"/>
      <w:bookmarkEnd w:id="50"/>
    </w:p>
    <w:p>
      <w:pPr>
        <w:keepNext w:val="0"/>
        <w:keepLines w:val="0"/>
        <w:pageBreakBefore w:val="0"/>
        <w:widowControl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中标</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采购人自行组织招标的，采购人应当在评标结束后5个工作日内，按评标报告推荐的中标候选人顺序确定中标人。</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 采购人或者采购代理机构应当自中标人确定之日起2个工作日内，在</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规定的媒体上公告中标结果，招标文件应随中标结果同时公告。中标公告期限为1个工作日。</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23.4 中标通知书发出后，采购人或者采购代理机构不得违法改变中标结果，中标人无正当理由不得放弃中标。</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23.5 中标通知书对采购人和中标人具有同等法律效力。</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签订合同</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24.1 采购人应当自中标通知书发出之日起30日内，按照招标文件和中标人投标文件的规定，与中标人签订合同。</w:t>
      </w:r>
      <w:r>
        <w:rPr>
          <w:rFonts w:hint="eastAsia" w:asciiTheme="minorEastAsia" w:hAnsiTheme="minorEastAsia" w:eastAsiaTheme="minorEastAsia" w:cstheme="minorEastAsia"/>
          <w:szCs w:val="21"/>
          <w:u w:val="single"/>
        </w:rPr>
        <w:t>线上采购项目可通过评审管理系统签订合同</w:t>
      </w:r>
      <w:r>
        <w:rPr>
          <w:rFonts w:hint="eastAsia" w:asciiTheme="minorEastAsia" w:hAnsiTheme="minorEastAsia" w:eastAsiaTheme="minorEastAsia" w:cstheme="minorEastAsia"/>
          <w:szCs w:val="21"/>
        </w:rPr>
        <w:t>。</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24.2 所签订的合同不得对招标文件确定的事项和中标人投标文件作实质性修改。</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24.3 采购人不得向中标人提出任何不合理的要求作为签订合同的条件。</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24.4 中标人拒绝与采购人签订合同的，采购人可以按照评审报告推荐的中标候选人名单排序，确定下一候选人为中标人，也可以重新开展政府采购活动。</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履约保证金</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 需提交履约保证金的项目，中标人应按照</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的规定，向采购人提交履约保证金。</w:t>
      </w:r>
    </w:p>
    <w:p>
      <w:pPr>
        <w:pStyle w:val="5"/>
        <w:rPr>
          <w:rFonts w:asciiTheme="minorEastAsia" w:hAnsiTheme="minorEastAsia" w:eastAsiaTheme="minorEastAsia" w:cstheme="minorEastAsia"/>
          <w:szCs w:val="21"/>
        </w:rPr>
      </w:pPr>
      <w:bookmarkStart w:id="51" w:name="_Toc132880280"/>
      <w:bookmarkStart w:id="52" w:name="_Toc31691"/>
      <w:r>
        <w:rPr>
          <w:rFonts w:hint="eastAsia"/>
        </w:rPr>
        <w:t>七、询问和质疑</w:t>
      </w:r>
      <w:bookmarkEnd w:id="51"/>
      <w:bookmarkEnd w:id="52"/>
    </w:p>
    <w:p>
      <w:pPr>
        <w:keepNext w:val="0"/>
        <w:keepLines w:val="0"/>
        <w:pageBreakBefore w:val="0"/>
        <w:widowControl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26. 询问</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质疑</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Theme="minorEastAsia" w:hAnsiTheme="minorEastAsia" w:eastAsiaTheme="minorEastAsia" w:cstheme="minorEastAsia"/>
          <w:b/>
          <w:bCs/>
          <w:szCs w:val="21"/>
        </w:rPr>
        <w:t>见</w:t>
      </w:r>
      <w:r>
        <w:rPr>
          <w:rFonts w:hint="eastAsia" w:asciiTheme="minorEastAsia" w:hAnsiTheme="minorEastAsia" w:eastAsiaTheme="minorEastAsia" w:cstheme="minorEastAsia"/>
          <w:b/>
          <w:szCs w:val="21"/>
        </w:rPr>
        <w:t>投标人须知前附表</w:t>
      </w:r>
      <w:r>
        <w:rPr>
          <w:rFonts w:hint="eastAsia" w:asciiTheme="minorEastAsia" w:hAnsiTheme="minorEastAsia" w:eastAsiaTheme="minorEastAsia" w:cstheme="minorEastAsia"/>
          <w:szCs w:val="21"/>
        </w:rPr>
        <w:t>。</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27.2在法定质疑期内，针对同一采购程序环节的质疑应一次性提出。</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27.3质疑人应知其权益受到损害之日，是指： </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（1）对可以质疑的采购文件提出质疑的，为收到采购文件之日或者采购文件公告期限届满之日；</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（2）对采购过程提出质疑的，为各采购程序环节结束之日；</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（3）对中标结果提出质疑的，为中标结果公告期限届满之日。</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27.4质疑应当有明确的请求和必要的证明材料。供应商为自然人的，应当由本人签字；供应商为法人或者其他组织的，应当由法定代表人、主要负责人，或者其授权代表签字，并加盖公章。</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27.5 采购人或者代理机构应当在收到供应商的质疑函后7个工作日内，对质疑内容作出答复，</w:t>
      </w:r>
      <w:r>
        <w:rPr>
          <w:rFonts w:hint="eastAsia" w:asciiTheme="minorEastAsia" w:hAnsiTheme="minorEastAsia" w:eastAsiaTheme="minorEastAsia" w:cstheme="minorEastAsia"/>
          <w:bCs/>
          <w:szCs w:val="21"/>
        </w:rPr>
        <w:t>书面形式</w:t>
      </w:r>
      <w:r>
        <w:rPr>
          <w:rFonts w:hint="eastAsia" w:asciiTheme="minorEastAsia" w:hAnsiTheme="minorEastAsia" w:eastAsiaTheme="minorEastAsia" w:cstheme="minorEastAsia"/>
          <w:szCs w:val="21"/>
        </w:rPr>
        <w:t>通知质疑供应商和其他有关供应商，但答复内容不得涉及商业秘密。</w:t>
      </w:r>
    </w:p>
    <w:p>
      <w:pPr>
        <w:pStyle w:val="29"/>
        <w:keepNext w:val="0"/>
        <w:keepLines w:val="0"/>
        <w:pageBreakBefore w:val="0"/>
        <w:widowControl w:val="0"/>
        <w:kinsoku/>
        <w:wordWrap/>
        <w:overflowPunct/>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27.6质疑人对采购人、采购代理机构的答复不满意或者采购人、采购代理机构未在规定的时间内作出答复的，可以在答复期满后15个工作日内向同级人民政府财政部门投诉。</w:t>
      </w:r>
    </w:p>
    <w:p>
      <w:pPr>
        <w:pStyle w:val="29"/>
        <w:keepNext w:val="0"/>
        <w:keepLines w:val="0"/>
        <w:pageBreakBefore w:val="0"/>
        <w:widowControl w:val="0"/>
        <w:kinsoku/>
        <w:wordWrap/>
        <w:overflowPunct/>
        <w:bidi w:val="0"/>
        <w:spacing w:line="440" w:lineRule="exact"/>
        <w:ind w:firstLine="420" w:firstLineChars="200"/>
        <w:jc w:val="both"/>
        <w:textAlignment w:val="auto"/>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27.7投诉应当有明确的请求和必要的证明材料。投诉的事项不得超出已质疑事项的范围。</w:t>
      </w:r>
    </w:p>
    <w:p>
      <w:pPr>
        <w:pStyle w:val="5"/>
      </w:pPr>
      <w:bookmarkStart w:id="53" w:name="_Toc6144"/>
      <w:bookmarkStart w:id="54" w:name="_Toc132880281"/>
      <w:r>
        <w:rPr>
          <w:rFonts w:hint="eastAsia"/>
        </w:rPr>
        <w:t>八、其他</w:t>
      </w:r>
      <w:bookmarkEnd w:id="53"/>
      <w:bookmarkEnd w:id="54"/>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bookmarkStart w:id="55" w:name="_Toc217989361"/>
      <w:bookmarkStart w:id="56" w:name="_Toc262111390"/>
      <w:bookmarkStart w:id="57" w:name="_Toc233181902"/>
      <w:bookmarkStart w:id="58" w:name="_Toc319519285"/>
      <w:r>
        <w:rPr>
          <w:rFonts w:hint="eastAsia" w:asciiTheme="minorEastAsia" w:hAnsiTheme="minorEastAsia" w:eastAsiaTheme="minorEastAsia" w:cstheme="minorEastAsia"/>
          <w:b/>
          <w:szCs w:val="21"/>
        </w:rPr>
        <w:t>28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保密</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28.1采购人、采购代理机构应当采取必要措施，保证评标在严格保密的情况下进行。除采购人代表、评标现场组织人员外，采购人的其他工作人员以及与评标工作无关的人员不得进入评标现场。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28.2 评标委员会成员和参与评标工作的有关人员对评标情况以及在评标过程中获悉的国家秘密、商业秘密负有保密责任。</w:t>
      </w:r>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29. 知识产权与规避专利、版权纠纷</w:t>
      </w:r>
      <w:bookmarkEnd w:id="55"/>
      <w:bookmarkEnd w:id="56"/>
      <w:bookmarkEnd w:id="57"/>
      <w:bookmarkEnd w:id="58"/>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 知识产权</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 规避专利、版权纠纷</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29.2.1 投标人应保证其投标方案中的有关软件、文件、图纸等没有违反有关专利和版权等知识产权的规定。</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29.2.2 中标人应保证采购人在中华人民共和国使用本项目成果任何一部分、或接受乙方服务时，免受第三方提出的侵犯其专利权、商标权或工业设计权等知识产权的索赔或起诉。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keepNext w:val="0"/>
        <w:keepLines w:val="0"/>
        <w:pageBreakBefore w:val="0"/>
        <w:kinsoku/>
        <w:wordWrap/>
        <w:overflowPunct/>
        <w:bidi w:val="0"/>
        <w:spacing w:line="440" w:lineRule="exact"/>
        <w:textAlignment w:val="auto"/>
        <w:rPr>
          <w:rFonts w:asciiTheme="minorEastAsia" w:hAnsiTheme="minorEastAsia" w:eastAsiaTheme="minorEastAsia" w:cstheme="minorEastAsia"/>
          <w:szCs w:val="21"/>
        </w:rPr>
        <w:sectPr>
          <w:pgSz w:w="11906" w:h="16838"/>
          <w:pgMar w:top="1417" w:right="1417" w:bottom="1417" w:left="1417" w:header="851" w:footer="992" w:gutter="0"/>
          <w:cols w:space="720" w:num="1"/>
          <w:titlePg/>
          <w:docGrid w:type="lines" w:linePitch="312" w:charSpace="0"/>
        </w:sectPr>
      </w:pPr>
    </w:p>
    <w:p>
      <w:pPr>
        <w:pStyle w:val="4"/>
        <w:jc w:val="center"/>
        <w:rPr>
          <w:rFonts w:ascii="黑体" w:hAnsi="黑体" w:eastAsia="黑体" w:cs="黑体"/>
          <w:szCs w:val="32"/>
        </w:rPr>
      </w:pPr>
      <w:bookmarkStart w:id="59" w:name="_Toc38030149"/>
      <w:bookmarkStart w:id="60" w:name="_Toc1380332034"/>
      <w:bookmarkStart w:id="61" w:name="_Toc132880282"/>
      <w:bookmarkStart w:id="62" w:name="_Toc525052846"/>
      <w:bookmarkStart w:id="63" w:name="_Toc26165"/>
      <w:bookmarkStart w:id="64" w:name="_Toc1168671576"/>
      <w:bookmarkStart w:id="65" w:name="_Toc1481241717"/>
      <w:bookmarkStart w:id="66" w:name="_Toc1762322514"/>
      <w:bookmarkStart w:id="67" w:name="_Toc937455070"/>
      <w:bookmarkStart w:id="68" w:name="_Toc1298913388"/>
      <w:r>
        <w:rPr>
          <w:rFonts w:hint="eastAsia"/>
        </w:rPr>
        <w:t>第三章  评标方法及标准</w:t>
      </w:r>
      <w:bookmarkEnd w:id="59"/>
      <w:bookmarkEnd w:id="60"/>
      <w:bookmarkEnd w:id="61"/>
      <w:bookmarkEnd w:id="62"/>
      <w:bookmarkEnd w:id="63"/>
      <w:bookmarkEnd w:id="64"/>
      <w:bookmarkEnd w:id="65"/>
      <w:bookmarkEnd w:id="66"/>
      <w:bookmarkEnd w:id="67"/>
      <w:bookmarkEnd w:id="68"/>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b/>
          <w:color w:val="000000" w:themeColor="text1"/>
          <w:szCs w:val="21"/>
          <w:highlight w:val="none"/>
        </w:rPr>
      </w:pPr>
      <w:r>
        <w:rPr>
          <w:rFonts w:asciiTheme="minorEastAsia" w:hAnsiTheme="minorEastAsia" w:eastAsiaTheme="minorEastAsia"/>
          <w:b/>
          <w:color w:val="000000" w:themeColor="text1"/>
          <w:szCs w:val="21"/>
          <w:highlight w:val="none"/>
        </w:rPr>
        <w:t>1.</w:t>
      </w:r>
      <w:r>
        <w:rPr>
          <w:rFonts w:hint="eastAsia" w:asciiTheme="minorEastAsia" w:hAnsiTheme="minorEastAsia" w:eastAsiaTheme="minorEastAsia"/>
          <w:b/>
          <w:color w:val="000000" w:themeColor="text1"/>
          <w:szCs w:val="21"/>
          <w:highlight w:val="none"/>
        </w:rPr>
        <w:t>评标方法</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 xml:space="preserve">1.1 </w:t>
      </w:r>
      <w:r>
        <w:rPr>
          <w:rFonts w:hint="eastAsia" w:asciiTheme="minorEastAsia" w:hAnsiTheme="minorEastAsia" w:eastAsiaTheme="minorEastAsia"/>
          <w:color w:val="000000" w:themeColor="text1"/>
          <w:szCs w:val="21"/>
          <w:highlight w:val="none"/>
        </w:rPr>
        <w:t>本项目评标方法：</w:t>
      </w:r>
      <w:r>
        <w:rPr>
          <w:rFonts w:hint="eastAsia" w:asciiTheme="minorEastAsia" w:hAnsiTheme="minorEastAsia" w:eastAsiaTheme="minorEastAsia"/>
          <w:b/>
          <w:color w:val="000000" w:themeColor="text1"/>
          <w:szCs w:val="21"/>
          <w:highlight w:val="none"/>
          <w:u w:val="single"/>
        </w:rPr>
        <w:t>采用综合评分法</w:t>
      </w:r>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b/>
          <w:color w:val="000000" w:themeColor="text1"/>
          <w:szCs w:val="21"/>
          <w:highlight w:val="none"/>
        </w:rPr>
      </w:pPr>
      <w:r>
        <w:rPr>
          <w:rFonts w:asciiTheme="minorEastAsia" w:hAnsiTheme="minorEastAsia" w:eastAsiaTheme="minorEastAsia"/>
          <w:b/>
          <w:color w:val="000000" w:themeColor="text1"/>
          <w:szCs w:val="21"/>
          <w:highlight w:val="none"/>
        </w:rPr>
        <w:t>2.</w:t>
      </w:r>
      <w:r>
        <w:rPr>
          <w:rFonts w:hint="eastAsia" w:asciiTheme="minorEastAsia" w:hAnsiTheme="minorEastAsia" w:eastAsiaTheme="minorEastAsia"/>
          <w:b/>
          <w:color w:val="000000" w:themeColor="text1"/>
          <w:szCs w:val="21"/>
          <w:highlight w:val="none"/>
        </w:rPr>
        <w:t>评标标准</w:t>
      </w:r>
    </w:p>
    <w:p>
      <w:pPr>
        <w:keepNext w:val="0"/>
        <w:keepLines w:val="0"/>
        <w:pageBreakBefore w:val="0"/>
        <w:kinsoku/>
        <w:wordWrap/>
        <w:overflowPunct/>
        <w:bidi w:val="0"/>
        <w:spacing w:line="440" w:lineRule="exact"/>
        <w:ind w:firstLine="420" w:firstLineChars="200"/>
        <w:textAlignment w:val="auto"/>
        <w:rPr>
          <w:rFonts w:asciiTheme="minorEastAsia" w:hAnsiTheme="minorEastAsia" w:eastAsiaTheme="minorEastAsia"/>
          <w:color w:val="000000" w:themeColor="text1"/>
          <w:kern w:val="0"/>
          <w:szCs w:val="21"/>
          <w:highlight w:val="none"/>
        </w:rPr>
      </w:pPr>
      <w:r>
        <w:rPr>
          <w:rFonts w:asciiTheme="minorEastAsia" w:hAnsiTheme="minorEastAsia" w:eastAsiaTheme="minorEastAsia"/>
          <w:color w:val="000000" w:themeColor="text1"/>
          <w:kern w:val="0"/>
          <w:szCs w:val="21"/>
          <w:highlight w:val="none"/>
        </w:rPr>
        <w:t xml:space="preserve">2.1 </w:t>
      </w:r>
      <w:r>
        <w:rPr>
          <w:rFonts w:hint="eastAsia" w:asciiTheme="minorEastAsia" w:hAnsiTheme="minorEastAsia" w:eastAsiaTheme="minorEastAsia"/>
          <w:color w:val="000000" w:themeColor="text1"/>
          <w:kern w:val="0"/>
          <w:szCs w:val="21"/>
          <w:highlight w:val="none"/>
        </w:rPr>
        <w:t>本项目</w:t>
      </w:r>
      <w:r>
        <w:rPr>
          <w:rFonts w:hint="eastAsia" w:asciiTheme="minorEastAsia" w:hAnsiTheme="minorEastAsia" w:eastAsiaTheme="minorEastAsia"/>
          <w:b/>
          <w:color w:val="000000" w:themeColor="text1"/>
          <w:kern w:val="0"/>
          <w:szCs w:val="21"/>
          <w:highlight w:val="none"/>
          <w:u w:val="single"/>
        </w:rPr>
        <w:t>采用</w:t>
      </w:r>
      <w:r>
        <w:rPr>
          <w:rFonts w:hint="eastAsia" w:asciiTheme="minorEastAsia" w:hAnsiTheme="minorEastAsia" w:eastAsiaTheme="minorEastAsia"/>
          <w:b/>
          <w:color w:val="000000" w:themeColor="text1"/>
          <w:szCs w:val="21"/>
          <w:highlight w:val="none"/>
          <w:u w:val="single"/>
        </w:rPr>
        <w:t>百分制</w:t>
      </w:r>
      <w:r>
        <w:rPr>
          <w:rFonts w:hint="eastAsia" w:asciiTheme="minorEastAsia" w:hAnsiTheme="minorEastAsia" w:eastAsiaTheme="minorEastAsia"/>
          <w:b/>
          <w:color w:val="000000" w:themeColor="text1"/>
          <w:kern w:val="0"/>
          <w:szCs w:val="21"/>
          <w:highlight w:val="none"/>
          <w:u w:val="single"/>
        </w:rPr>
        <w:t>综合评分法</w:t>
      </w:r>
      <w:r>
        <w:rPr>
          <w:rFonts w:hint="eastAsia" w:asciiTheme="minorEastAsia" w:hAnsiTheme="minorEastAsia" w:eastAsiaTheme="minorEastAsia"/>
          <w:color w:val="000000" w:themeColor="text1"/>
          <w:kern w:val="0"/>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13"/>
        <w:keepNext w:val="0"/>
        <w:keepLines w:val="0"/>
        <w:pageBreakBefore w:val="0"/>
        <w:kinsoku/>
        <w:wordWrap/>
        <w:overflowPunct/>
        <w:bidi w:val="0"/>
        <w:spacing w:line="440" w:lineRule="exact"/>
        <w:ind w:firstLine="420" w:firstLineChars="200"/>
        <w:textAlignment w:val="auto"/>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2.2 本项目价格分值为</w:t>
      </w:r>
      <w:r>
        <w:rPr>
          <w:rFonts w:hint="eastAsia" w:asciiTheme="minorEastAsia" w:hAnsiTheme="minorEastAsia" w:eastAsiaTheme="minorEastAsia" w:cstheme="minorEastAsia"/>
          <w:color w:val="000000" w:themeColor="text1"/>
          <w:highlight w:val="none"/>
          <w:u w:val="single"/>
        </w:rPr>
        <w:t>20</w:t>
      </w:r>
      <w:r>
        <w:rPr>
          <w:rFonts w:hint="eastAsia" w:asciiTheme="minorEastAsia" w:hAnsiTheme="minorEastAsia" w:eastAsiaTheme="minorEastAsia" w:cstheme="minorEastAsia"/>
          <w:color w:val="000000" w:themeColor="text1"/>
          <w:highlight w:val="none"/>
        </w:rPr>
        <w:t>分，其余评审因素分值为</w:t>
      </w:r>
      <w:r>
        <w:rPr>
          <w:rFonts w:hint="eastAsia" w:asciiTheme="minorEastAsia" w:hAnsiTheme="minorEastAsia" w:eastAsiaTheme="minorEastAsia" w:cstheme="minorEastAsia"/>
          <w:color w:val="000000" w:themeColor="text1"/>
          <w:highlight w:val="none"/>
          <w:u w:val="single"/>
        </w:rPr>
        <w:t>80</w:t>
      </w:r>
      <w:r>
        <w:rPr>
          <w:rFonts w:hint="eastAsia" w:asciiTheme="minorEastAsia" w:hAnsiTheme="minorEastAsia" w:eastAsiaTheme="minorEastAsia" w:cstheme="minorEastAsia"/>
          <w:color w:val="000000" w:themeColor="text1"/>
          <w:highlight w:val="none"/>
        </w:rPr>
        <w:t>分，按四舍五入取至百分位。</w:t>
      </w:r>
    </w:p>
    <w:p>
      <w:pPr>
        <w:keepNext w:val="0"/>
        <w:keepLines w:val="0"/>
        <w:pageBreakBefore w:val="0"/>
        <w:kinsoku/>
        <w:wordWrap/>
        <w:overflowPunct/>
        <w:topLinePunct/>
        <w:autoSpaceDE w:val="0"/>
        <w:autoSpaceDN w:val="0"/>
        <w:bidi w:val="0"/>
        <w:adjustRightInd w:val="0"/>
        <w:snapToGrid w:val="0"/>
        <w:spacing w:line="440" w:lineRule="exact"/>
        <w:ind w:firstLine="422" w:firstLineChars="200"/>
        <w:textAlignment w:val="auto"/>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3</w:t>
      </w:r>
      <w:r>
        <w:rPr>
          <w:rFonts w:asciiTheme="minorEastAsia" w:hAnsiTheme="minorEastAsia" w:eastAsiaTheme="minorEastAsia"/>
          <w:b/>
          <w:color w:val="000000" w:themeColor="text1"/>
          <w:szCs w:val="21"/>
          <w:highlight w:val="none"/>
        </w:rPr>
        <w:t>.</w:t>
      </w:r>
      <w:r>
        <w:rPr>
          <w:rFonts w:hint="eastAsia" w:asciiTheme="minorEastAsia" w:hAnsiTheme="minorEastAsia" w:eastAsiaTheme="minorEastAsia"/>
          <w:b/>
          <w:color w:val="000000" w:themeColor="text1"/>
          <w:szCs w:val="21"/>
          <w:highlight w:val="none"/>
        </w:rPr>
        <w:t>评委构成：</w:t>
      </w:r>
    </w:p>
    <w:p>
      <w:pPr>
        <w:keepNext w:val="0"/>
        <w:keepLines w:val="0"/>
        <w:pageBreakBefore w:val="0"/>
        <w:kinsoku/>
        <w:wordWrap/>
        <w:overflowPunct/>
        <w:bidi w:val="0"/>
        <w:spacing w:line="440" w:lineRule="exact"/>
        <w:ind w:firstLine="420" w:firstLineChars="200"/>
        <w:textAlignment w:val="auto"/>
        <w:rPr>
          <w:rFonts w:cs="宋体"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本项目评标委员会由采购人代表和评审专家组成，成员人数为5人单数，其中评审专家不得少于成员总数的三分之二。</w:t>
      </w:r>
    </w:p>
    <w:p>
      <w:pPr>
        <w:keepNext w:val="0"/>
        <w:keepLines w:val="0"/>
        <w:pageBreakBefore w:val="0"/>
        <w:kinsoku/>
        <w:wordWrap/>
        <w:overflowPunct/>
        <w:topLinePunct/>
        <w:autoSpaceDE w:val="0"/>
        <w:autoSpaceDN w:val="0"/>
        <w:bidi w:val="0"/>
        <w:spacing w:line="440" w:lineRule="exact"/>
        <w:ind w:firstLine="420" w:firstLineChars="200"/>
        <w:textAlignment w:val="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本办法所称的“以上”“以下”“内”“以内”，包括本数；所称的“不足”，不包括本数。</w:t>
      </w:r>
    </w:p>
    <w:p>
      <w:pPr>
        <w:keepNext w:val="0"/>
        <w:keepLines w:val="0"/>
        <w:pageBreakBefore w:val="0"/>
        <w:kinsoku/>
        <w:wordWrap/>
        <w:overflowPunct/>
        <w:topLinePunct/>
        <w:autoSpaceDE w:val="0"/>
        <w:autoSpaceDN w:val="0"/>
        <w:bidi w:val="0"/>
        <w:spacing w:line="440" w:lineRule="exact"/>
        <w:ind w:firstLine="42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Cs w:val="21"/>
          <w:highlight w:val="none"/>
        </w:rPr>
        <w:t>评审标准如下表：</w:t>
      </w:r>
    </w:p>
    <w:tbl>
      <w:tblPr>
        <w:tblStyle w:val="2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43"/>
        <w:gridCol w:w="730"/>
        <w:gridCol w:w="519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5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序号</w:t>
            </w:r>
          </w:p>
        </w:tc>
        <w:tc>
          <w:tcPr>
            <w:tcW w:w="1543"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评审因素</w:t>
            </w:r>
          </w:p>
        </w:tc>
        <w:tc>
          <w:tcPr>
            <w:tcW w:w="73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主要内容</w:t>
            </w:r>
          </w:p>
        </w:tc>
        <w:tc>
          <w:tcPr>
            <w:tcW w:w="5195"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指标要求</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细项</w:t>
            </w:r>
          </w:p>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543"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投标报价</w:t>
            </w:r>
          </w:p>
          <w:p>
            <w:pPr>
              <w:pStyle w:val="12"/>
              <w:pageBreakBefore w:val="0"/>
              <w:wordWrap/>
              <w:topLinePunct w:val="0"/>
              <w:bidi w:val="0"/>
              <w:spacing w:line="4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val="0"/>
                <w:sz w:val="21"/>
                <w:szCs w:val="21"/>
                <w:highlight w:val="none"/>
                <w:lang w:val="zh-CN"/>
              </w:rPr>
              <w:t>（满分</w:t>
            </w:r>
            <w:r>
              <w:rPr>
                <w:rFonts w:hint="eastAsia" w:asciiTheme="minorEastAsia" w:hAnsiTheme="minorEastAsia" w:eastAsiaTheme="minorEastAsia" w:cstheme="minorEastAsia"/>
                <w:b w:val="0"/>
                <w:sz w:val="21"/>
                <w:szCs w:val="21"/>
                <w:highlight w:val="none"/>
              </w:rPr>
              <w:t>20分</w:t>
            </w:r>
            <w:r>
              <w:rPr>
                <w:rFonts w:hint="eastAsia" w:asciiTheme="minorEastAsia" w:hAnsiTheme="minorEastAsia" w:eastAsiaTheme="minorEastAsia" w:cstheme="minorEastAsia"/>
                <w:b w:val="0"/>
                <w:sz w:val="21"/>
                <w:szCs w:val="21"/>
                <w:highlight w:val="none"/>
                <w:lang w:val="zh-CN"/>
              </w:rPr>
              <w:t>）</w:t>
            </w:r>
          </w:p>
        </w:tc>
        <w:tc>
          <w:tcPr>
            <w:tcW w:w="73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价 格</w:t>
            </w:r>
          </w:p>
          <w:p>
            <w:pPr>
              <w:pStyle w:val="12"/>
              <w:pageBreakBefore w:val="0"/>
              <w:wordWrap/>
              <w:topLinePunct w:val="0"/>
              <w:bidi w:val="0"/>
              <w:spacing w:line="440" w:lineRule="exact"/>
              <w:rPr>
                <w:rFonts w:hint="eastAsia" w:asciiTheme="minorEastAsia" w:hAnsiTheme="minorEastAsia" w:eastAsiaTheme="minorEastAsia" w:cstheme="minorEastAsia"/>
                <w:sz w:val="21"/>
                <w:szCs w:val="21"/>
                <w:highlight w:val="none"/>
                <w:lang w:val="zh-CN"/>
              </w:rPr>
            </w:pPr>
          </w:p>
        </w:tc>
        <w:tc>
          <w:tcPr>
            <w:tcW w:w="5195" w:type="dxa"/>
            <w:noWrap/>
            <w:vAlign w:val="center"/>
          </w:tcPr>
          <w:p>
            <w:pPr>
              <w:pStyle w:val="29"/>
              <w:pageBreakBefore w:val="0"/>
              <w:widowControl w:val="0"/>
              <w:wordWrap/>
              <w:topLinePunct w:val="0"/>
              <w:bidi w:val="0"/>
              <w:spacing w:line="44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投标报价得分=（评标基准价／投标报价）× 满分值</w:t>
            </w:r>
          </w:p>
          <w:p>
            <w:pPr>
              <w:pStyle w:val="29"/>
              <w:pageBreakBefore w:val="0"/>
              <w:widowControl w:val="0"/>
              <w:wordWrap/>
              <w:topLinePunct w:val="0"/>
              <w:bidi w:val="0"/>
              <w:spacing w:line="440" w:lineRule="exact"/>
              <w:jc w:val="both"/>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评标基准价是指满足招标文件要求且投标价格最低的投标报价。</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2</w:t>
            </w:r>
          </w:p>
        </w:tc>
        <w:tc>
          <w:tcPr>
            <w:tcW w:w="1543" w:type="dxa"/>
            <w:vMerge w:val="restart"/>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技术因素</w:t>
            </w:r>
          </w:p>
          <w:p>
            <w:pPr>
              <w:pStyle w:val="12"/>
              <w:pageBreakBefore w:val="0"/>
              <w:wordWrap/>
              <w:topLinePunct w:val="0"/>
              <w:bidi w:val="0"/>
              <w:spacing w:line="4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val="0"/>
                <w:sz w:val="21"/>
                <w:szCs w:val="21"/>
                <w:highlight w:val="none"/>
                <w:lang w:val="zh-CN"/>
              </w:rPr>
              <w:t>（满分</w:t>
            </w:r>
            <w:r>
              <w:rPr>
                <w:rFonts w:hint="eastAsia" w:asciiTheme="minorEastAsia" w:hAnsiTheme="minorEastAsia" w:eastAsiaTheme="minorEastAsia" w:cstheme="minorEastAsia"/>
                <w:b w:val="0"/>
                <w:sz w:val="21"/>
                <w:szCs w:val="21"/>
                <w:highlight w:val="none"/>
              </w:rPr>
              <w:t>6</w:t>
            </w:r>
            <w:r>
              <w:rPr>
                <w:rFonts w:hint="eastAsia" w:asciiTheme="minorEastAsia" w:hAnsiTheme="minorEastAsia" w:eastAsiaTheme="minorEastAsia" w:cstheme="minorEastAsia"/>
                <w:b w:val="0"/>
                <w:sz w:val="21"/>
                <w:szCs w:val="21"/>
                <w:highlight w:val="none"/>
                <w:lang w:val="en-US" w:eastAsia="zh-CN"/>
              </w:rPr>
              <w:t>2</w:t>
            </w:r>
            <w:r>
              <w:rPr>
                <w:rFonts w:hint="eastAsia" w:asciiTheme="minorEastAsia" w:hAnsiTheme="minorEastAsia" w:eastAsiaTheme="minorEastAsia" w:cstheme="minorEastAsia"/>
                <w:b w:val="0"/>
                <w:sz w:val="21"/>
                <w:szCs w:val="21"/>
                <w:highlight w:val="none"/>
              </w:rPr>
              <w:t>分</w:t>
            </w:r>
            <w:r>
              <w:rPr>
                <w:rFonts w:hint="eastAsia" w:asciiTheme="minorEastAsia" w:hAnsiTheme="minorEastAsia" w:eastAsiaTheme="minorEastAsia" w:cstheme="minorEastAsia"/>
                <w:b w:val="0"/>
                <w:sz w:val="21"/>
                <w:szCs w:val="21"/>
                <w:highlight w:val="none"/>
                <w:lang w:val="zh-CN"/>
              </w:rPr>
              <w:t>）</w:t>
            </w:r>
          </w:p>
        </w:tc>
        <w:tc>
          <w:tcPr>
            <w:tcW w:w="730" w:type="dxa"/>
            <w:noWrap/>
            <w:vAlign w:val="center"/>
          </w:tcPr>
          <w:p>
            <w:pPr>
              <w:pageBreakBefore w:val="0"/>
              <w:widowControl/>
              <w:wordWrap/>
              <w:topLinePunct w:val="0"/>
              <w:bidi w:val="0"/>
              <w:spacing w:line="440" w:lineRule="exact"/>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color w:val="000000"/>
                <w:sz w:val="21"/>
                <w:szCs w:val="21"/>
                <w:highlight w:val="none"/>
              </w:rPr>
              <w:t>服务方案</w:t>
            </w:r>
          </w:p>
        </w:tc>
        <w:tc>
          <w:tcPr>
            <w:tcW w:w="5195" w:type="dxa"/>
            <w:noWrap/>
          </w:tcPr>
          <w:p>
            <w:pPr>
              <w:pageBreakBefore w:val="0"/>
              <w:wordWrap/>
              <w:topLinePunct w:val="0"/>
              <w:bidi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rPr>
              <w:t>依据</w:t>
            </w:r>
            <w:r>
              <w:rPr>
                <w:rFonts w:hint="eastAsia" w:asciiTheme="minorEastAsia" w:hAnsiTheme="minorEastAsia" w:eastAsiaTheme="minorEastAsia" w:cstheme="minorEastAsia"/>
                <w:color w:val="000000"/>
                <w:sz w:val="21"/>
                <w:szCs w:val="21"/>
                <w:highlight w:val="none"/>
              </w:rPr>
              <w:t>投标人提供的</w:t>
            </w:r>
            <w:r>
              <w:rPr>
                <w:rFonts w:hint="eastAsia" w:asciiTheme="minorEastAsia" w:hAnsiTheme="minorEastAsia" w:eastAsiaTheme="minorEastAsia" w:cstheme="minorEastAsia"/>
                <w:bCs/>
                <w:color w:val="000000"/>
                <w:sz w:val="21"/>
                <w:szCs w:val="21"/>
                <w:highlight w:val="none"/>
              </w:rPr>
              <w:t>服务方案</w:t>
            </w:r>
            <w:r>
              <w:rPr>
                <w:rFonts w:hint="eastAsia" w:asciiTheme="minorEastAsia" w:hAnsiTheme="minorEastAsia" w:eastAsiaTheme="minorEastAsia" w:cstheme="minorEastAsia"/>
                <w:color w:val="000000"/>
                <w:sz w:val="21"/>
                <w:szCs w:val="21"/>
                <w:highlight w:val="none"/>
              </w:rPr>
              <w:t>（内容包括但不限于：内部管理架构、服务质量管控、服务管理流程及管理方案）进行评价。以下各项不得重复计分。</w:t>
            </w:r>
          </w:p>
          <w:p>
            <w:pPr>
              <w:pageBreakBefore w:val="0"/>
              <w:wordWrap/>
              <w:topLinePunct w:val="0"/>
              <w:bidi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①投标人的服务方案能完全响应项目采购需求服务要求的前提下，建立有内部管理架构；制定有与本项目服务内容相关的服务质量控制方案；得3分。</w:t>
            </w:r>
          </w:p>
          <w:p>
            <w:pPr>
              <w:pageBreakBefore w:val="0"/>
              <w:wordWrap/>
              <w:topLinePunct w:val="0"/>
              <w:bidi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zh-CN"/>
              </w:rPr>
              <w:t>②</w:t>
            </w:r>
            <w:r>
              <w:rPr>
                <w:rFonts w:hint="eastAsia" w:asciiTheme="minorEastAsia" w:hAnsiTheme="minorEastAsia" w:eastAsiaTheme="minorEastAsia" w:cstheme="minorEastAsia"/>
                <w:spacing w:val="8"/>
                <w:sz w:val="21"/>
                <w:szCs w:val="21"/>
                <w:highlight w:val="none"/>
              </w:rPr>
              <w:t>在本项①</w:t>
            </w:r>
            <w:r>
              <w:rPr>
                <w:rFonts w:hint="eastAsia" w:asciiTheme="minorEastAsia" w:hAnsiTheme="minorEastAsia" w:eastAsiaTheme="minorEastAsia" w:cstheme="minorEastAsia"/>
                <w:sz w:val="21"/>
                <w:szCs w:val="21"/>
                <w:highlight w:val="none"/>
              </w:rPr>
              <w:t>项的基础上</w:t>
            </w:r>
            <w:r>
              <w:rPr>
                <w:rFonts w:hint="eastAsia" w:asciiTheme="minorEastAsia" w:hAnsiTheme="minorEastAsia" w:eastAsiaTheme="minorEastAsia" w:cstheme="minorEastAsia"/>
                <w:color w:val="000000"/>
                <w:sz w:val="21"/>
                <w:szCs w:val="21"/>
                <w:highlight w:val="none"/>
              </w:rPr>
              <w:t>，投标人制定的服务方案（包含菜品出品控制流程、食品的制作流程、</w:t>
            </w:r>
            <w:r>
              <w:rPr>
                <w:rFonts w:hint="eastAsia" w:asciiTheme="minorEastAsia" w:hAnsiTheme="minorEastAsia" w:eastAsiaTheme="minorEastAsia" w:cstheme="minorEastAsia"/>
                <w:kern w:val="0"/>
                <w:sz w:val="21"/>
                <w:szCs w:val="21"/>
                <w:highlight w:val="none"/>
              </w:rPr>
              <w:t>食材存储、</w:t>
            </w:r>
            <w:r>
              <w:rPr>
                <w:rFonts w:hint="eastAsia" w:asciiTheme="minorEastAsia" w:hAnsiTheme="minorEastAsia" w:eastAsiaTheme="minorEastAsia" w:cstheme="minorEastAsia"/>
                <w:color w:val="000000"/>
                <w:sz w:val="21"/>
                <w:szCs w:val="21"/>
                <w:highlight w:val="none"/>
              </w:rPr>
              <w:t>食品安全、环境卫生管理、楼面服务管理）清晰、完整，有针对性；能根据本项目服务内容范围制定日常工作目标；提供</w:t>
            </w:r>
            <w:r>
              <w:rPr>
                <w:rFonts w:hint="eastAsia" w:asciiTheme="minorEastAsia" w:hAnsiTheme="minorEastAsia" w:eastAsiaTheme="minorEastAsia" w:cstheme="minorEastAsia"/>
                <w:bCs/>
                <w:color w:val="000000"/>
                <w:sz w:val="21"/>
                <w:szCs w:val="21"/>
                <w:highlight w:val="none"/>
              </w:rPr>
              <w:t>成本控制计划及利润核算方案；</w:t>
            </w:r>
            <w:r>
              <w:rPr>
                <w:rFonts w:hint="eastAsia" w:asciiTheme="minorEastAsia" w:hAnsiTheme="minorEastAsia" w:eastAsiaTheme="minorEastAsia" w:cstheme="minorEastAsia"/>
                <w:color w:val="000000"/>
                <w:sz w:val="21"/>
                <w:szCs w:val="21"/>
                <w:highlight w:val="none"/>
              </w:rPr>
              <w:t>得6分。</w:t>
            </w:r>
          </w:p>
          <w:p>
            <w:pPr>
              <w:pageBreakBefore w:val="0"/>
              <w:wordWrap/>
              <w:topLinePunct w:val="0"/>
              <w:bidi w:val="0"/>
              <w:spacing w:line="440" w:lineRule="exact"/>
              <w:ind w:firstLine="452"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pacing w:val="8"/>
                <w:sz w:val="21"/>
                <w:szCs w:val="21"/>
                <w:highlight w:val="none"/>
              </w:rPr>
              <w:t>③在本项第</w:t>
            </w:r>
            <w:r>
              <w:rPr>
                <w:rFonts w:hint="eastAsia" w:asciiTheme="minorEastAsia" w:hAnsiTheme="minorEastAsia" w:eastAsiaTheme="minorEastAsia" w:cstheme="minorEastAsia"/>
                <w:sz w:val="21"/>
                <w:szCs w:val="21"/>
                <w:highlight w:val="none"/>
                <w:lang w:val="zh-CN"/>
              </w:rPr>
              <w:t>②</w:t>
            </w:r>
            <w:r>
              <w:rPr>
                <w:rFonts w:hint="eastAsia" w:asciiTheme="minorEastAsia" w:hAnsiTheme="minorEastAsia" w:eastAsiaTheme="minorEastAsia" w:cstheme="minorEastAsia"/>
                <w:sz w:val="21"/>
                <w:szCs w:val="21"/>
                <w:highlight w:val="none"/>
              </w:rPr>
              <w:t>项的基础上</w:t>
            </w:r>
            <w:r>
              <w:rPr>
                <w:rFonts w:hint="eastAsia" w:asciiTheme="minorEastAsia" w:hAnsiTheme="minorEastAsia" w:eastAsiaTheme="minorEastAsia" w:cstheme="minorEastAsia"/>
                <w:color w:val="000000"/>
                <w:sz w:val="21"/>
                <w:szCs w:val="21"/>
                <w:highlight w:val="none"/>
              </w:rPr>
              <w:t>，投标人制定日常工作计划、</w:t>
            </w:r>
            <w:r>
              <w:rPr>
                <w:rFonts w:hint="eastAsia" w:asciiTheme="minorEastAsia" w:hAnsiTheme="minorEastAsia" w:eastAsiaTheme="minorEastAsia" w:cstheme="minorEastAsia"/>
                <w:kern w:val="0"/>
                <w:sz w:val="21"/>
                <w:szCs w:val="21"/>
                <w:highlight w:val="none"/>
              </w:rPr>
              <w:t>餐饮用具消毒计划</w:t>
            </w:r>
            <w:r>
              <w:rPr>
                <w:rFonts w:hint="eastAsia" w:asciiTheme="minorEastAsia" w:hAnsiTheme="minorEastAsia" w:eastAsiaTheme="minorEastAsia" w:cstheme="minorEastAsia"/>
                <w:color w:val="000000"/>
                <w:sz w:val="21"/>
                <w:szCs w:val="21"/>
                <w:highlight w:val="none"/>
              </w:rPr>
              <w:t>，制定有节能、节约工作制度（包含能源节约、节约使用食材和餐厨用品），能对采购人食堂现有的工作要求提出合理化建议，有利于提高服务质量；得9分。</w:t>
            </w:r>
          </w:p>
          <w:p>
            <w:pPr>
              <w:pageBreakBefore w:val="0"/>
              <w:wordWrap/>
              <w:topLinePunct w:val="0"/>
              <w:bidi w:val="0"/>
              <w:spacing w:line="440" w:lineRule="exact"/>
              <w:ind w:firstLine="422"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bCs/>
                <w:color w:val="000000"/>
                <w:sz w:val="21"/>
                <w:szCs w:val="21"/>
                <w:highlight w:val="none"/>
              </w:rPr>
              <w:t>注：投标人未提供服务方案或服务方案未达到①标准要求的，得0分。</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p>
        </w:tc>
        <w:tc>
          <w:tcPr>
            <w:tcW w:w="1543" w:type="dxa"/>
            <w:vMerge w:val="continue"/>
            <w:noWrap/>
          </w:tcPr>
          <w:p>
            <w:pPr>
              <w:pageBreakBefore w:val="0"/>
              <w:widowControl/>
              <w:wordWrap/>
              <w:overflowPunct w:val="0"/>
              <w:topLinePunct w:val="0"/>
              <w:autoSpaceDE w:val="0"/>
              <w:autoSpaceDN w:val="0"/>
              <w:bidi w:val="0"/>
              <w:adjustRightInd w:val="0"/>
              <w:spacing w:line="440" w:lineRule="exact"/>
              <w:jc w:val="left"/>
              <w:textAlignment w:val="baseline"/>
              <w:rPr>
                <w:rFonts w:hint="eastAsia" w:asciiTheme="minorEastAsia" w:hAnsiTheme="minorEastAsia" w:eastAsiaTheme="minorEastAsia" w:cstheme="minorEastAsia"/>
                <w:sz w:val="21"/>
                <w:szCs w:val="21"/>
                <w:highlight w:val="none"/>
                <w:lang w:val="zh-CN"/>
              </w:rPr>
            </w:pPr>
          </w:p>
        </w:tc>
        <w:tc>
          <w:tcPr>
            <w:tcW w:w="730" w:type="dxa"/>
            <w:noWrap/>
            <w:vAlign w:val="center"/>
          </w:tcPr>
          <w:p>
            <w:pPr>
              <w:pageBreakBefore w:val="0"/>
              <w:widowControl/>
              <w:wordWrap/>
              <w:topLinePunct w:val="0"/>
              <w:bidi w:val="0"/>
              <w:spacing w:line="440" w:lineRule="exact"/>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color w:val="000000"/>
                <w:sz w:val="21"/>
                <w:szCs w:val="21"/>
                <w:highlight w:val="none"/>
              </w:rPr>
              <w:t>人员管理及培训方案</w:t>
            </w:r>
          </w:p>
        </w:tc>
        <w:tc>
          <w:tcPr>
            <w:tcW w:w="5195" w:type="dxa"/>
            <w:noWrap/>
          </w:tcPr>
          <w:p>
            <w:pPr>
              <w:pageBreakBefore w:val="0"/>
              <w:wordWrap/>
              <w:topLinePunct w:val="0"/>
              <w:bidi w:val="0"/>
              <w:spacing w:line="440" w:lineRule="exact"/>
              <w:ind w:firstLine="420" w:firstLineChars="200"/>
              <w:jc w:val="lef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依据投标人提供的人员管理及培训方案（内容包括但不限于：</w:t>
            </w:r>
            <w:r>
              <w:rPr>
                <w:rFonts w:hint="eastAsia" w:asciiTheme="minorEastAsia" w:hAnsiTheme="minorEastAsia" w:eastAsiaTheme="minorEastAsia" w:cstheme="minorEastAsia"/>
                <w:color w:val="000000"/>
                <w:sz w:val="21"/>
                <w:szCs w:val="21"/>
                <w:highlight w:val="none"/>
              </w:rPr>
              <w:t>人员岗位职责、保障措施、监督反馈等人员管理方案，</w:t>
            </w:r>
            <w:r>
              <w:rPr>
                <w:rFonts w:hint="eastAsia" w:asciiTheme="minorEastAsia" w:hAnsiTheme="minorEastAsia" w:eastAsiaTheme="minorEastAsia" w:cstheme="minorEastAsia"/>
                <w:bCs/>
                <w:color w:val="000000"/>
                <w:sz w:val="21"/>
                <w:szCs w:val="21"/>
                <w:highlight w:val="none"/>
              </w:rPr>
              <w:t>岗前培训、岗位技能培训、定期培训方案）进行评价。以下各项不得重复计分。</w:t>
            </w:r>
          </w:p>
          <w:p>
            <w:pPr>
              <w:pageBreakBefore w:val="0"/>
              <w:wordWrap/>
              <w:topLinePunct w:val="0"/>
              <w:bidi w:val="0"/>
              <w:spacing w:line="440" w:lineRule="exact"/>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rPr>
              <w:t>①投标人的人员管理及培训方案能完全响应项目采购需求人员管理及培训要求的前提下，制定有详细完整的</w:t>
            </w:r>
            <w:r>
              <w:rPr>
                <w:rFonts w:hint="eastAsia" w:asciiTheme="minorEastAsia" w:hAnsiTheme="minorEastAsia" w:eastAsiaTheme="minorEastAsia" w:cstheme="minorEastAsia"/>
                <w:color w:val="000000"/>
                <w:sz w:val="21"/>
                <w:szCs w:val="21"/>
                <w:highlight w:val="none"/>
              </w:rPr>
              <w:t>人员岗位职责、人员管理制度；制定完整的</w:t>
            </w:r>
            <w:r>
              <w:rPr>
                <w:rFonts w:hint="eastAsia" w:asciiTheme="minorEastAsia" w:hAnsiTheme="minorEastAsia" w:eastAsiaTheme="minorEastAsia" w:cstheme="minorEastAsia"/>
                <w:bCs/>
                <w:color w:val="000000"/>
                <w:sz w:val="21"/>
                <w:szCs w:val="21"/>
                <w:highlight w:val="none"/>
              </w:rPr>
              <w:t>岗前及岗位技能培训计划</w:t>
            </w:r>
            <w:r>
              <w:rPr>
                <w:rFonts w:hint="eastAsia" w:asciiTheme="minorEastAsia" w:hAnsiTheme="minorEastAsia" w:eastAsiaTheme="minorEastAsia" w:cstheme="minorEastAsia"/>
                <w:color w:val="000000"/>
                <w:spacing w:val="9"/>
                <w:sz w:val="21"/>
                <w:szCs w:val="21"/>
                <w:highlight w:val="none"/>
              </w:rPr>
              <w:t>，</w:t>
            </w:r>
            <w:r>
              <w:rPr>
                <w:rFonts w:hint="eastAsia" w:asciiTheme="minorEastAsia" w:hAnsiTheme="minorEastAsia" w:eastAsiaTheme="minorEastAsia" w:cstheme="minorEastAsia"/>
                <w:color w:val="000000"/>
                <w:sz w:val="21"/>
                <w:szCs w:val="21"/>
                <w:highlight w:val="none"/>
              </w:rPr>
              <w:t>得3分。</w:t>
            </w:r>
          </w:p>
          <w:p>
            <w:pPr>
              <w:pageBreakBefore w:val="0"/>
              <w:wordWrap/>
              <w:topLinePunct w:val="0"/>
              <w:bidi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zh-CN"/>
              </w:rPr>
              <w:t>②</w:t>
            </w:r>
            <w:r>
              <w:rPr>
                <w:rFonts w:hint="eastAsia" w:asciiTheme="minorEastAsia" w:hAnsiTheme="minorEastAsia" w:eastAsiaTheme="minorEastAsia" w:cstheme="minorEastAsia"/>
                <w:color w:val="000000"/>
                <w:sz w:val="21"/>
                <w:szCs w:val="21"/>
                <w:highlight w:val="none"/>
              </w:rPr>
              <w:t>在本项①项的基础上，投标人的人员管理方案中有保障人员稳定性、积极性的措施；人员培训方案采取形式多样的培训手段（包括但不限于采取理论知识、实践操作），师资专业技术能力较强（配备有师资清单表）、实践经验较为丰富，得6分。</w:t>
            </w:r>
          </w:p>
          <w:p>
            <w:pPr>
              <w:pStyle w:val="12"/>
              <w:pageBreakBefore w:val="0"/>
              <w:wordWrap/>
              <w:topLinePunct w:val="0"/>
              <w:bidi w:val="0"/>
              <w:spacing w:line="440" w:lineRule="exact"/>
              <w:ind w:firstLine="452" w:firstLineChars="200"/>
              <w:rPr>
                <w:rFonts w:hint="eastAsia" w:asciiTheme="minorEastAsia" w:hAnsiTheme="minorEastAsia" w:eastAsiaTheme="minorEastAsia" w:cstheme="minorEastAsia"/>
                <w:b w:val="0"/>
                <w:spacing w:val="8"/>
                <w:sz w:val="21"/>
                <w:szCs w:val="21"/>
                <w:highlight w:val="none"/>
              </w:rPr>
            </w:pPr>
            <w:r>
              <w:rPr>
                <w:rFonts w:hint="eastAsia" w:asciiTheme="minorEastAsia" w:hAnsiTheme="minorEastAsia" w:eastAsiaTheme="minorEastAsia" w:cstheme="minorEastAsia"/>
                <w:b w:val="0"/>
                <w:spacing w:val="8"/>
                <w:sz w:val="21"/>
                <w:szCs w:val="21"/>
                <w:highlight w:val="none"/>
              </w:rPr>
              <w:t>③在本项第②项的基础上，</w:t>
            </w:r>
            <w:r>
              <w:rPr>
                <w:rFonts w:hint="eastAsia" w:asciiTheme="minorEastAsia" w:hAnsiTheme="minorEastAsia" w:eastAsiaTheme="minorEastAsia" w:cstheme="minorEastAsia"/>
                <w:b w:val="0"/>
                <w:color w:val="000000"/>
                <w:sz w:val="21"/>
                <w:szCs w:val="21"/>
                <w:highlight w:val="none"/>
              </w:rPr>
              <w:t>人员管理方案中有人员的监督反馈机制、定期开展满意度调查；</w:t>
            </w:r>
            <w:r>
              <w:rPr>
                <w:rFonts w:hint="eastAsia" w:asciiTheme="minorEastAsia" w:hAnsiTheme="minorEastAsia" w:eastAsiaTheme="minorEastAsia" w:cstheme="minorEastAsia"/>
                <w:b w:val="0"/>
                <w:spacing w:val="8"/>
                <w:sz w:val="21"/>
                <w:szCs w:val="21"/>
                <w:highlight w:val="none"/>
              </w:rPr>
              <w:t>人员培训方案有入岗考核标准、技能考核标准，定期开展各类技能评比活动，以提高服务人员的业务技能水平；得9分。</w:t>
            </w:r>
          </w:p>
          <w:p>
            <w:pPr>
              <w:pStyle w:val="13"/>
              <w:pageBreakBefore w:val="0"/>
              <w:widowControl/>
              <w:wordWrap/>
              <w:topLinePunct w:val="0"/>
              <w:bidi w:val="0"/>
              <w:spacing w:line="440" w:lineRule="exact"/>
              <w:ind w:firstLine="422"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bCs/>
                <w:color w:val="000000"/>
                <w:sz w:val="21"/>
                <w:szCs w:val="21"/>
                <w:highlight w:val="none"/>
              </w:rPr>
              <w:t>注：投标人未提供人员管理及培训方案或人员管理及培训方案未达到①标准要求的，得0分。</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p>
        </w:tc>
        <w:tc>
          <w:tcPr>
            <w:tcW w:w="1543" w:type="dxa"/>
            <w:vMerge w:val="continue"/>
            <w:noWrap/>
          </w:tcPr>
          <w:p>
            <w:pPr>
              <w:pageBreakBefore w:val="0"/>
              <w:widowControl/>
              <w:wordWrap/>
              <w:overflowPunct w:val="0"/>
              <w:topLinePunct w:val="0"/>
              <w:autoSpaceDE w:val="0"/>
              <w:autoSpaceDN w:val="0"/>
              <w:bidi w:val="0"/>
              <w:adjustRightInd w:val="0"/>
              <w:spacing w:line="440" w:lineRule="exact"/>
              <w:jc w:val="left"/>
              <w:textAlignment w:val="baseline"/>
              <w:rPr>
                <w:rFonts w:hint="eastAsia" w:asciiTheme="minorEastAsia" w:hAnsiTheme="minorEastAsia" w:eastAsiaTheme="minorEastAsia" w:cstheme="minorEastAsia"/>
                <w:sz w:val="21"/>
                <w:szCs w:val="21"/>
                <w:highlight w:val="none"/>
                <w:lang w:val="zh-CN"/>
              </w:rPr>
            </w:pPr>
          </w:p>
        </w:tc>
        <w:tc>
          <w:tcPr>
            <w:tcW w:w="730" w:type="dxa"/>
            <w:noWrap/>
            <w:vAlign w:val="center"/>
          </w:tcPr>
          <w:p>
            <w:pPr>
              <w:pageBreakBefore w:val="0"/>
              <w:widowControl/>
              <w:wordWrap/>
              <w:topLinePunct w:val="0"/>
              <w:bidi w:val="0"/>
              <w:spacing w:line="440" w:lineRule="exact"/>
              <w:jc w:val="center"/>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应急预案</w:t>
            </w:r>
          </w:p>
        </w:tc>
        <w:tc>
          <w:tcPr>
            <w:tcW w:w="5195" w:type="dxa"/>
            <w:noWrap/>
          </w:tcPr>
          <w:p>
            <w:pPr>
              <w:pageBreakBefore w:val="0"/>
              <w:widowControl/>
              <w:wordWrap/>
              <w:topLinePunct w:val="0"/>
              <w:bidi w:val="0"/>
              <w:spacing w:line="440" w:lineRule="exact"/>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依据投标人提供的应急预案（</w:t>
            </w:r>
            <w:r>
              <w:rPr>
                <w:rFonts w:hint="eastAsia" w:asciiTheme="minorEastAsia" w:hAnsiTheme="minorEastAsia" w:eastAsiaTheme="minorEastAsia" w:cstheme="minorEastAsia"/>
                <w:color w:val="000000"/>
                <w:sz w:val="21"/>
                <w:szCs w:val="21"/>
                <w:highlight w:val="none"/>
              </w:rPr>
              <w:t>内容包括但不限于：</w:t>
            </w:r>
            <w:r>
              <w:rPr>
                <w:rFonts w:hint="eastAsia" w:asciiTheme="minorEastAsia" w:hAnsiTheme="minorEastAsia" w:eastAsiaTheme="minorEastAsia" w:cstheme="minorEastAsia"/>
                <w:bCs/>
                <w:color w:val="000000"/>
                <w:sz w:val="21"/>
                <w:szCs w:val="21"/>
                <w:highlight w:val="none"/>
              </w:rPr>
              <w:t>食物中毒、火灾事故、突发事件）</w:t>
            </w:r>
            <w:r>
              <w:rPr>
                <w:rFonts w:hint="eastAsia" w:asciiTheme="minorEastAsia" w:hAnsiTheme="minorEastAsia" w:eastAsiaTheme="minorEastAsia" w:cstheme="minorEastAsia"/>
                <w:color w:val="000000"/>
                <w:sz w:val="21"/>
                <w:szCs w:val="21"/>
                <w:highlight w:val="none"/>
              </w:rPr>
              <w:t>进行评价。以下各项不得重复计分。</w:t>
            </w:r>
          </w:p>
          <w:p>
            <w:pPr>
              <w:keepNext/>
              <w:keepLines/>
              <w:pageBreakBefore w:val="0"/>
              <w:wordWrap/>
              <w:topLinePunct w:val="0"/>
              <w:bidi w:val="0"/>
              <w:spacing w:line="440" w:lineRule="exact"/>
              <w:ind w:firstLine="420" w:firstLineChars="200"/>
              <w:outlineLvl w:val="3"/>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①投标人的</w:t>
            </w:r>
            <w:r>
              <w:rPr>
                <w:rFonts w:hint="eastAsia" w:asciiTheme="minorEastAsia" w:hAnsiTheme="minorEastAsia" w:eastAsiaTheme="minorEastAsia" w:cstheme="minorEastAsia"/>
                <w:bCs/>
                <w:color w:val="000000"/>
                <w:sz w:val="21"/>
                <w:szCs w:val="21"/>
                <w:highlight w:val="none"/>
              </w:rPr>
              <w:t>应急预案</w:t>
            </w:r>
            <w:r>
              <w:rPr>
                <w:rFonts w:hint="eastAsia" w:asciiTheme="minorEastAsia" w:hAnsiTheme="minorEastAsia" w:eastAsiaTheme="minorEastAsia" w:cstheme="minorEastAsia"/>
                <w:color w:val="000000"/>
                <w:sz w:val="21"/>
                <w:szCs w:val="21"/>
                <w:highlight w:val="none"/>
              </w:rPr>
              <w:t>能完全响应项目采购需求的前提下，提供有突发事件的处理方案，得3分。</w:t>
            </w:r>
          </w:p>
          <w:p>
            <w:pPr>
              <w:pageBreakBefore w:val="0"/>
              <w:wordWrap/>
              <w:topLinePunct w:val="0"/>
              <w:bidi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②在本项①项的基础上</w:t>
            </w:r>
            <w:r>
              <w:rPr>
                <w:rFonts w:hint="eastAsia" w:asciiTheme="minorEastAsia" w:hAnsiTheme="minorEastAsia" w:eastAsiaTheme="minorEastAsia" w:cstheme="minorEastAsia"/>
                <w:bCs/>
                <w:color w:val="000000"/>
                <w:sz w:val="21"/>
                <w:szCs w:val="21"/>
                <w:highlight w:val="none"/>
              </w:rPr>
              <w:t>，</w:t>
            </w:r>
            <w:r>
              <w:rPr>
                <w:rFonts w:hint="eastAsia" w:asciiTheme="minorEastAsia" w:hAnsiTheme="minorEastAsia" w:eastAsiaTheme="minorEastAsia" w:cstheme="minorEastAsia"/>
                <w:color w:val="000000"/>
                <w:sz w:val="21"/>
                <w:szCs w:val="21"/>
                <w:highlight w:val="none"/>
              </w:rPr>
              <w:t>投标人</w:t>
            </w:r>
            <w:r>
              <w:rPr>
                <w:rFonts w:hint="eastAsia" w:asciiTheme="minorEastAsia" w:hAnsiTheme="minorEastAsia" w:eastAsiaTheme="minorEastAsia" w:cstheme="minorEastAsia"/>
                <w:sz w:val="21"/>
                <w:szCs w:val="21"/>
                <w:highlight w:val="none"/>
              </w:rPr>
              <w:t>成立有专门的应急部门，应急物资配备齐全；</w:t>
            </w:r>
            <w:r>
              <w:rPr>
                <w:rFonts w:hint="eastAsia" w:asciiTheme="minorEastAsia" w:hAnsiTheme="minorEastAsia" w:eastAsiaTheme="minorEastAsia" w:cstheme="minorEastAsia"/>
                <w:color w:val="000000"/>
                <w:sz w:val="21"/>
                <w:szCs w:val="21"/>
                <w:highlight w:val="none"/>
              </w:rPr>
              <w:t>提供的应急预案较为完整（包括：食物中毒等突发卫生事件、火灾等事故灾害、停水、停电等突发事件的应急处置预案、公务接待任务的应急保障方案），有针对性，</w:t>
            </w:r>
            <w:r>
              <w:rPr>
                <w:rFonts w:hint="eastAsia" w:asciiTheme="minorEastAsia" w:hAnsiTheme="minorEastAsia" w:eastAsiaTheme="minorEastAsia" w:cstheme="minorEastAsia"/>
                <w:color w:val="000000"/>
                <w:spacing w:val="-10"/>
                <w:sz w:val="21"/>
                <w:szCs w:val="21"/>
                <w:highlight w:val="none"/>
              </w:rPr>
              <w:t>可操作性强；</w:t>
            </w:r>
            <w:r>
              <w:rPr>
                <w:rFonts w:hint="eastAsia" w:asciiTheme="minorEastAsia" w:hAnsiTheme="minorEastAsia" w:eastAsiaTheme="minorEastAsia" w:cstheme="minorEastAsia"/>
                <w:color w:val="000000"/>
                <w:sz w:val="21"/>
                <w:szCs w:val="21"/>
                <w:highlight w:val="none"/>
              </w:rPr>
              <w:t>得6分。</w:t>
            </w:r>
          </w:p>
          <w:p>
            <w:pPr>
              <w:pageBreakBefore w:val="0"/>
              <w:wordWrap/>
              <w:topLinePunct w:val="0"/>
              <w:bidi w:val="0"/>
              <w:spacing w:line="440" w:lineRule="exact"/>
              <w:ind w:firstLine="452"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spacing w:val="8"/>
                <w:sz w:val="21"/>
                <w:szCs w:val="21"/>
                <w:highlight w:val="none"/>
              </w:rPr>
              <w:t>③在本项第</w:t>
            </w:r>
            <w:r>
              <w:rPr>
                <w:rFonts w:hint="eastAsia" w:asciiTheme="minorEastAsia" w:hAnsiTheme="minorEastAsia" w:eastAsiaTheme="minorEastAsia" w:cstheme="minorEastAsia"/>
                <w:sz w:val="21"/>
                <w:szCs w:val="21"/>
                <w:highlight w:val="none"/>
                <w:lang w:val="zh-CN"/>
              </w:rPr>
              <w:t>②</w:t>
            </w:r>
            <w:r>
              <w:rPr>
                <w:rFonts w:hint="eastAsia" w:asciiTheme="minorEastAsia" w:hAnsiTheme="minorEastAsia" w:eastAsiaTheme="minorEastAsia" w:cstheme="minorEastAsia"/>
                <w:sz w:val="21"/>
                <w:szCs w:val="21"/>
                <w:highlight w:val="none"/>
              </w:rPr>
              <w:t>项的基础上</w:t>
            </w:r>
            <w:r>
              <w:rPr>
                <w:rFonts w:hint="eastAsia" w:asciiTheme="minorEastAsia" w:hAnsiTheme="minorEastAsia" w:eastAsiaTheme="minorEastAsia" w:cstheme="minorEastAsia"/>
                <w:color w:val="000000"/>
                <w:sz w:val="21"/>
                <w:szCs w:val="21"/>
                <w:highlight w:val="none"/>
              </w:rPr>
              <w:t>，投标人</w:t>
            </w:r>
            <w:r>
              <w:rPr>
                <w:rFonts w:hint="eastAsia" w:asciiTheme="minorEastAsia" w:hAnsiTheme="minorEastAsia" w:eastAsiaTheme="minorEastAsia" w:cstheme="minorEastAsia"/>
                <w:bCs/>
                <w:color w:val="000000"/>
                <w:sz w:val="21"/>
                <w:szCs w:val="21"/>
                <w:highlight w:val="none"/>
              </w:rPr>
              <w:t>制定</w:t>
            </w:r>
            <w:r>
              <w:rPr>
                <w:rFonts w:hint="eastAsia" w:asciiTheme="minorEastAsia" w:hAnsiTheme="minorEastAsia" w:eastAsiaTheme="minorEastAsia" w:cstheme="minorEastAsia"/>
                <w:sz w:val="21"/>
                <w:szCs w:val="21"/>
                <w:highlight w:val="none"/>
              </w:rPr>
              <w:t>有完善的处置流程图，</w:t>
            </w:r>
            <w:r>
              <w:rPr>
                <w:rFonts w:hint="eastAsia" w:asciiTheme="minorEastAsia" w:hAnsiTheme="minorEastAsia" w:eastAsiaTheme="minorEastAsia" w:cstheme="minorEastAsia"/>
                <w:color w:val="000000"/>
                <w:sz w:val="21"/>
                <w:szCs w:val="21"/>
                <w:highlight w:val="none"/>
              </w:rPr>
              <w:t>应急预案考虑周全</w:t>
            </w:r>
            <w:r>
              <w:rPr>
                <w:rFonts w:hint="eastAsia" w:asciiTheme="minorEastAsia" w:hAnsiTheme="minorEastAsia" w:eastAsiaTheme="minorEastAsia" w:cstheme="minorEastAsia"/>
                <w:bCs/>
                <w:color w:val="000000"/>
                <w:sz w:val="21"/>
                <w:szCs w:val="21"/>
                <w:highlight w:val="none"/>
              </w:rPr>
              <w:t>；制定的方案中列明处理事件时间和相关人员责任分明，</w:t>
            </w:r>
            <w:r>
              <w:rPr>
                <w:rFonts w:hint="eastAsia" w:asciiTheme="minorEastAsia" w:hAnsiTheme="minorEastAsia" w:eastAsiaTheme="minorEastAsia" w:cstheme="minorEastAsia"/>
                <w:sz w:val="21"/>
                <w:szCs w:val="21"/>
                <w:highlight w:val="none"/>
              </w:rPr>
              <w:t>制定有针对不同突发事件的</w:t>
            </w:r>
            <w:r>
              <w:rPr>
                <w:rFonts w:hint="eastAsia" w:asciiTheme="minorEastAsia" w:hAnsiTheme="minorEastAsia" w:eastAsiaTheme="minorEastAsia" w:cstheme="minorEastAsia"/>
                <w:sz w:val="21"/>
                <w:szCs w:val="21"/>
                <w:highlight w:val="none"/>
                <w:lang w:val="zh-CN"/>
              </w:rPr>
              <w:t>应急演练计划及应急演练方案，提高服务人员快速处置应急能力</w:t>
            </w:r>
            <w:r>
              <w:rPr>
                <w:rFonts w:hint="eastAsia" w:asciiTheme="minorEastAsia" w:hAnsiTheme="minorEastAsia" w:eastAsiaTheme="minorEastAsia" w:cstheme="minorEastAsia"/>
                <w:color w:val="000000"/>
                <w:spacing w:val="2"/>
                <w:sz w:val="21"/>
                <w:szCs w:val="21"/>
                <w:highlight w:val="none"/>
              </w:rPr>
              <w:t>；</w:t>
            </w:r>
            <w:r>
              <w:rPr>
                <w:rFonts w:hint="eastAsia" w:asciiTheme="minorEastAsia" w:hAnsiTheme="minorEastAsia" w:eastAsiaTheme="minorEastAsia" w:cstheme="minorEastAsia"/>
                <w:bCs/>
                <w:color w:val="000000"/>
                <w:sz w:val="21"/>
                <w:szCs w:val="21"/>
                <w:highlight w:val="none"/>
              </w:rPr>
              <w:t>得9分。</w:t>
            </w:r>
          </w:p>
          <w:p>
            <w:pPr>
              <w:pStyle w:val="13"/>
              <w:pageBreakBefore w:val="0"/>
              <w:widowControl/>
              <w:wordWrap/>
              <w:topLinePunct w:val="0"/>
              <w:bidi w:val="0"/>
              <w:spacing w:line="440" w:lineRule="exact"/>
              <w:ind w:firstLine="422" w:firstLineChars="200"/>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注：投标人未提供应急预案或应急预案未达到①标准要求的，得0分。</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p>
        </w:tc>
        <w:tc>
          <w:tcPr>
            <w:tcW w:w="1543" w:type="dxa"/>
            <w:vMerge w:val="continue"/>
            <w:noWrap/>
          </w:tcPr>
          <w:p>
            <w:pPr>
              <w:pageBreakBefore w:val="0"/>
              <w:widowControl/>
              <w:wordWrap/>
              <w:overflowPunct w:val="0"/>
              <w:topLinePunct w:val="0"/>
              <w:autoSpaceDE w:val="0"/>
              <w:autoSpaceDN w:val="0"/>
              <w:bidi w:val="0"/>
              <w:adjustRightInd w:val="0"/>
              <w:spacing w:line="440" w:lineRule="exact"/>
              <w:jc w:val="left"/>
              <w:textAlignment w:val="baseline"/>
              <w:rPr>
                <w:rFonts w:hint="eastAsia" w:asciiTheme="minorEastAsia" w:hAnsiTheme="minorEastAsia" w:eastAsiaTheme="minorEastAsia" w:cstheme="minorEastAsia"/>
                <w:sz w:val="21"/>
                <w:szCs w:val="21"/>
                <w:highlight w:val="none"/>
                <w:lang w:val="zh-CN"/>
              </w:rPr>
            </w:pPr>
          </w:p>
        </w:tc>
        <w:tc>
          <w:tcPr>
            <w:tcW w:w="730" w:type="dxa"/>
            <w:noWrap/>
            <w:vAlign w:val="center"/>
          </w:tcPr>
          <w:p>
            <w:pPr>
              <w:pageBreakBefore w:val="0"/>
              <w:widowControl/>
              <w:wordWrap/>
              <w:topLinePunct w:val="0"/>
              <w:bidi w:val="0"/>
              <w:spacing w:line="44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技术力量</w:t>
            </w:r>
          </w:p>
          <w:p>
            <w:pPr>
              <w:pageBreakBefore w:val="0"/>
              <w:widowControl/>
              <w:wordWrap/>
              <w:topLinePunct w:val="0"/>
              <w:bidi w:val="0"/>
              <w:spacing w:line="440" w:lineRule="exact"/>
              <w:jc w:val="center"/>
              <w:rPr>
                <w:rFonts w:hint="eastAsia" w:asciiTheme="minorEastAsia" w:hAnsiTheme="minorEastAsia" w:eastAsiaTheme="minorEastAsia" w:cstheme="minorEastAsia"/>
                <w:color w:val="000000"/>
                <w:sz w:val="21"/>
                <w:szCs w:val="21"/>
                <w:highlight w:val="none"/>
              </w:rPr>
            </w:pPr>
          </w:p>
        </w:tc>
        <w:tc>
          <w:tcPr>
            <w:tcW w:w="5195" w:type="dxa"/>
            <w:noWrap/>
          </w:tcPr>
          <w:p>
            <w:pPr>
              <w:pageBreakBefore w:val="0"/>
              <w:kinsoku w:val="0"/>
              <w:wordWrap/>
              <w:overflowPunct w:val="0"/>
              <w:topLinePunct w:val="0"/>
              <w:bidi w:val="0"/>
              <w:spacing w:line="44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投标人拟投入服务团队人员在满足本项目采购需求“（五）派驻服务团队人员要求”的基础上，对下列指标进行考核评分：</w:t>
            </w:r>
          </w:p>
          <w:p>
            <w:pPr>
              <w:pStyle w:val="2"/>
              <w:pageBreakBefore w:val="0"/>
              <w:wordWrap/>
              <w:topLinePunct w:val="0"/>
              <w:bidi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（1）拟投入本项目楼面经理（1人）（满分3分）：</w:t>
            </w:r>
          </w:p>
          <w:p>
            <w:pPr>
              <w:pStyle w:val="2"/>
              <w:pageBreakBefore w:val="0"/>
              <w:numPr>
                <w:ilvl w:val="0"/>
                <w:numId w:val="0"/>
              </w:numPr>
              <w:wordWrap/>
              <w:topLinePunct w:val="0"/>
              <w:bidi w:val="0"/>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①具有餐饮管理专业或酒店管理等相关专业大专以上学历的，得2分。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②具有机关企事业单位职工饭堂4年以上管理工作经验的，得1分。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（2）拟投入本项目管理员（2人）（满分</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具有机关企事业单位职工饭堂2年以上管理工作经验的，每人得1分，满分2分。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（3）拟投入本项目核算员（1人）（满分3分）：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①具有会计专业技术资格</w:t>
            </w:r>
            <w:r>
              <w:rPr>
                <w:rFonts w:hint="eastAsia" w:asciiTheme="minorEastAsia" w:hAnsiTheme="minorEastAsia" w:eastAsiaTheme="minorEastAsia" w:cstheme="minorEastAsia"/>
                <w:sz w:val="21"/>
                <w:szCs w:val="21"/>
                <w:highlight w:val="none"/>
                <w:lang w:eastAsia="zh-CN"/>
              </w:rPr>
              <w:t>初级以上证书的，得</w:t>
            </w:r>
            <w:r>
              <w:rPr>
                <w:rFonts w:hint="eastAsia" w:asciiTheme="minorEastAsia" w:hAnsiTheme="minorEastAsia" w:eastAsiaTheme="minorEastAsia" w:cstheme="minorEastAsia"/>
                <w:sz w:val="21"/>
                <w:szCs w:val="21"/>
                <w:highlight w:val="none"/>
                <w:lang w:val="en-US" w:eastAsia="zh-CN"/>
              </w:rPr>
              <w:t>2分</w:t>
            </w:r>
            <w:r>
              <w:rPr>
                <w:rFonts w:hint="eastAsia" w:asciiTheme="minorEastAsia" w:hAnsiTheme="minorEastAsia" w:eastAsiaTheme="minorEastAsia" w:cstheme="minorEastAsia"/>
                <w:sz w:val="21"/>
                <w:szCs w:val="21"/>
                <w:highlight w:val="none"/>
              </w:rPr>
              <w:t>。</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②具有2年以上类似核算工作经验的，得1分。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（4）拟投入本项目的厨师（包括白案、红案厨师18人）（满分18分）：</w:t>
            </w:r>
          </w:p>
          <w:p>
            <w:pPr>
              <w:pStyle w:val="3"/>
              <w:pageBreakBefore w:val="0"/>
              <w:wordWrap/>
              <w:topLinePunct w:val="0"/>
              <w:bidi w:val="0"/>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具有机关企事业单位职工饭堂4年以上工作经验的，每人得1分，满分18分。</w:t>
            </w:r>
          </w:p>
          <w:p>
            <w:pPr>
              <w:pStyle w:val="3"/>
              <w:pageBreakBefore w:val="0"/>
              <w:wordWrap/>
              <w:topLinePunct w:val="0"/>
              <w:bidi w:val="0"/>
              <w:spacing w:line="440" w:lineRule="exact"/>
              <w:ind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（5）拟投入本项目的餐厅服务员（10人）（满分</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p>
            <w:pPr>
              <w:pStyle w:val="3"/>
              <w:pageBreakBefore w:val="0"/>
              <w:wordWrap/>
              <w:topLinePunct w:val="0"/>
              <w:bidi w:val="0"/>
              <w:spacing w:line="440" w:lineRule="exact"/>
              <w:ind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具有餐饮服务1年以上工作经验的，每人得1分，满分</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p>
            <w:pPr>
              <w:pStyle w:val="3"/>
              <w:pageBreakBefore w:val="0"/>
              <w:wordWrap/>
              <w:topLinePunct w:val="0"/>
              <w:bidi w:val="0"/>
              <w:spacing w:line="440" w:lineRule="exact"/>
              <w:ind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（6）拟投入本项目的服务团队人员具有一定人员储备，拟投入有一名储备人员的得1分，满分</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p>
            <w:pPr>
              <w:pStyle w:val="11"/>
              <w:pageBreakBefore w:val="0"/>
              <w:wordWrap/>
              <w:topLinePunct w:val="0"/>
              <w:bidi w:val="0"/>
              <w:spacing w:line="440" w:lineRule="exact"/>
              <w:ind w:firstLine="426" w:firstLineChars="200"/>
              <w:rPr>
                <w:rFonts w:hint="eastAsia" w:asciiTheme="minorEastAsia" w:hAnsiTheme="minorEastAsia" w:eastAsiaTheme="minorEastAsia" w:cstheme="minorEastAsia"/>
                <w:b/>
                <w:bCs/>
                <w:color w:val="000000"/>
                <w:spacing w:val="1"/>
                <w:sz w:val="21"/>
                <w:szCs w:val="21"/>
                <w:highlight w:val="none"/>
              </w:rPr>
            </w:pPr>
            <w:r>
              <w:rPr>
                <w:rFonts w:hint="eastAsia" w:asciiTheme="minorEastAsia" w:hAnsiTheme="minorEastAsia" w:eastAsiaTheme="minorEastAsia" w:cstheme="minorEastAsia"/>
                <w:b/>
                <w:bCs/>
                <w:color w:val="000000"/>
                <w:spacing w:val="1"/>
                <w:sz w:val="21"/>
                <w:szCs w:val="21"/>
                <w:highlight w:val="none"/>
              </w:rPr>
              <w:t>注：以上人员提供相关学历、证书复印件或工作履历情况。同一人不允许同时任多个岗位，不重复计分。未提供有效学历、证书或工作履历证明的，不得分。以上材料均需加盖公章（投标人如能够在线查询的材料，请提供查询网址链接，可以不用同时提供纸质材料）。</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543" w:type="dxa"/>
            <w:vMerge w:val="restart"/>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商务因素</w:t>
            </w:r>
          </w:p>
          <w:p>
            <w:pPr>
              <w:pStyle w:val="12"/>
              <w:pageBreakBefore w:val="0"/>
              <w:wordWrap/>
              <w:topLinePunct w:val="0"/>
              <w:bidi w:val="0"/>
              <w:spacing w:line="4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val="0"/>
                <w:sz w:val="21"/>
                <w:szCs w:val="21"/>
                <w:highlight w:val="none"/>
                <w:lang w:val="zh-CN"/>
              </w:rPr>
              <w:t>（满分</w:t>
            </w:r>
            <w:r>
              <w:rPr>
                <w:rFonts w:hint="eastAsia" w:asciiTheme="minorEastAsia" w:hAnsiTheme="minorEastAsia" w:eastAsiaTheme="minorEastAsia" w:cstheme="minorEastAsia"/>
                <w:b w:val="0"/>
                <w:sz w:val="21"/>
                <w:szCs w:val="21"/>
                <w:highlight w:val="none"/>
              </w:rPr>
              <w:t>1</w:t>
            </w:r>
            <w:r>
              <w:rPr>
                <w:rFonts w:hint="eastAsia" w:asciiTheme="minorEastAsia" w:hAnsiTheme="minorEastAsia" w:eastAsiaTheme="minorEastAsia" w:cstheme="minorEastAsia"/>
                <w:b w:val="0"/>
                <w:sz w:val="21"/>
                <w:szCs w:val="21"/>
                <w:highlight w:val="none"/>
                <w:lang w:val="en-US" w:eastAsia="zh-CN"/>
              </w:rPr>
              <w:t>8</w:t>
            </w:r>
            <w:r>
              <w:rPr>
                <w:rFonts w:hint="eastAsia" w:asciiTheme="minorEastAsia" w:hAnsiTheme="minorEastAsia" w:eastAsiaTheme="minorEastAsia" w:cstheme="minorEastAsia"/>
                <w:b w:val="0"/>
                <w:sz w:val="21"/>
                <w:szCs w:val="21"/>
                <w:highlight w:val="none"/>
              </w:rPr>
              <w:t>分</w:t>
            </w:r>
            <w:r>
              <w:rPr>
                <w:rFonts w:hint="eastAsia" w:asciiTheme="minorEastAsia" w:hAnsiTheme="minorEastAsia" w:eastAsiaTheme="minorEastAsia" w:cstheme="minorEastAsia"/>
                <w:b w:val="0"/>
                <w:sz w:val="21"/>
                <w:szCs w:val="21"/>
                <w:highlight w:val="none"/>
                <w:lang w:val="zh-CN"/>
              </w:rPr>
              <w:t>）</w:t>
            </w:r>
          </w:p>
        </w:tc>
        <w:tc>
          <w:tcPr>
            <w:tcW w:w="73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企业认证证书</w:t>
            </w:r>
          </w:p>
        </w:tc>
        <w:tc>
          <w:tcPr>
            <w:tcW w:w="5195" w:type="dxa"/>
            <w:noWrap/>
            <w:vAlign w:val="center"/>
          </w:tcPr>
          <w:p>
            <w:pPr>
              <w:pageBreakBefore w:val="0"/>
              <w:widowControl/>
              <w:wordWrap/>
              <w:overflowPunct w:val="0"/>
              <w:topLinePunct w:val="0"/>
              <w:autoSpaceDE w:val="0"/>
              <w:autoSpaceDN w:val="0"/>
              <w:bidi w:val="0"/>
              <w:adjustRightInd w:val="0"/>
              <w:spacing w:line="440" w:lineRule="exact"/>
              <w:ind w:firstLine="420" w:firstLineChars="200"/>
              <w:jc w:val="left"/>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投标人具有有效的食品安全管理体系认证（ISO22000或GB/T22000）或者环境管理体系认证（ISO14001或GB/T24001）或者质量管理体系认证（ISO9001或GB/T19001）或者职业健康安全管理体系认证（ISO45001或GB/T45001）的，每提供</w:t>
            </w:r>
            <w:r>
              <w:rPr>
                <w:rFonts w:hint="eastAsia" w:asciiTheme="minorEastAsia" w:hAnsiTheme="minorEastAsia" w:eastAsiaTheme="minorEastAsia" w:cstheme="minorEastAsia"/>
                <w:sz w:val="21"/>
                <w:szCs w:val="21"/>
                <w:highlight w:val="none"/>
              </w:rPr>
              <w:t>一</w:t>
            </w:r>
            <w:r>
              <w:rPr>
                <w:rFonts w:hint="eastAsia" w:asciiTheme="minorEastAsia" w:hAnsiTheme="minorEastAsia" w:eastAsiaTheme="minorEastAsia" w:cstheme="minorEastAsia"/>
                <w:sz w:val="21"/>
                <w:szCs w:val="21"/>
                <w:highlight w:val="none"/>
                <w:lang w:val="zh-CN"/>
              </w:rPr>
              <w:t>个得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zh-CN"/>
              </w:rPr>
              <w:t>分，满分</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zh-CN"/>
              </w:rPr>
              <w:t>分</w:t>
            </w:r>
            <w:r>
              <w:rPr>
                <w:rFonts w:hint="eastAsia" w:asciiTheme="minorEastAsia" w:hAnsiTheme="minorEastAsia" w:eastAsiaTheme="minorEastAsia" w:cstheme="minorEastAsia"/>
                <w:sz w:val="21"/>
                <w:szCs w:val="21"/>
                <w:highlight w:val="none"/>
              </w:rPr>
              <w:t>（投标文件中提供证书复印件并加盖单位公章）</w:t>
            </w:r>
            <w:r>
              <w:rPr>
                <w:rFonts w:hint="eastAsia" w:asciiTheme="minorEastAsia" w:hAnsiTheme="minorEastAsia" w:eastAsiaTheme="minorEastAsia" w:cstheme="minorEastAsia"/>
                <w:sz w:val="21"/>
                <w:szCs w:val="21"/>
                <w:highlight w:val="none"/>
                <w:lang w:val="zh-CN"/>
              </w:rPr>
              <w:t>。</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kern w:val="0"/>
                <w:sz w:val="21"/>
                <w:szCs w:val="21"/>
                <w:highlight w:val="none"/>
              </w:rPr>
            </w:pPr>
          </w:p>
        </w:tc>
        <w:tc>
          <w:tcPr>
            <w:tcW w:w="1543" w:type="dxa"/>
            <w:vMerge w:val="continue"/>
            <w:noWrap/>
          </w:tcPr>
          <w:p>
            <w:pPr>
              <w:pageBreakBefore w:val="0"/>
              <w:widowControl/>
              <w:wordWrap/>
              <w:overflowPunct w:val="0"/>
              <w:topLinePunct w:val="0"/>
              <w:autoSpaceDE w:val="0"/>
              <w:autoSpaceDN w:val="0"/>
              <w:bidi w:val="0"/>
              <w:adjustRightInd w:val="0"/>
              <w:spacing w:line="440" w:lineRule="exact"/>
              <w:jc w:val="left"/>
              <w:textAlignment w:val="baseline"/>
              <w:rPr>
                <w:rFonts w:hint="eastAsia" w:asciiTheme="minorEastAsia" w:hAnsiTheme="minorEastAsia" w:eastAsiaTheme="minorEastAsia" w:cstheme="minorEastAsia"/>
                <w:sz w:val="21"/>
                <w:szCs w:val="21"/>
                <w:highlight w:val="none"/>
                <w:lang w:val="zh-CN"/>
              </w:rPr>
            </w:pPr>
          </w:p>
        </w:tc>
        <w:tc>
          <w:tcPr>
            <w:tcW w:w="730"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pacing w:val="9"/>
                <w:sz w:val="21"/>
                <w:szCs w:val="21"/>
                <w:highlight w:val="none"/>
              </w:rPr>
              <w:t>类似项目业绩</w:t>
            </w:r>
          </w:p>
        </w:tc>
        <w:tc>
          <w:tcPr>
            <w:tcW w:w="5195" w:type="dxa"/>
            <w:noWrap/>
            <w:vAlign w:val="center"/>
          </w:tcPr>
          <w:p>
            <w:pPr>
              <w:pStyle w:val="13"/>
              <w:pageBreakBefore w:val="0"/>
              <w:wordWrap/>
              <w:topLinePunct w:val="0"/>
              <w:bidi w:val="0"/>
              <w:adjustRightInd w:val="0"/>
              <w:snapToGrid w:val="0"/>
              <w:spacing w:line="44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投标人2021年5月1日至投标截止时间止（以合同签订时间为准）承接的类似项目业绩的有效证明文件进行评价，有效证明文件包括该业绩的：采购合同文本复印件（同一个项目签订多份合同的只能计算一次，不重复计分），每有一项得2分，满分10分。</w:t>
            </w:r>
          </w:p>
          <w:p>
            <w:pPr>
              <w:pageBreakBefore w:val="0"/>
              <w:widowControl/>
              <w:wordWrap/>
              <w:overflowPunct w:val="0"/>
              <w:topLinePunct w:val="0"/>
              <w:autoSpaceDE w:val="0"/>
              <w:autoSpaceDN w:val="0"/>
              <w:bidi w:val="0"/>
              <w:adjustRightInd w:val="0"/>
              <w:spacing w:line="440" w:lineRule="exact"/>
              <w:ind w:firstLine="422" w:firstLineChars="200"/>
              <w:jc w:val="left"/>
              <w:textAlignment w:val="baseline"/>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bCs/>
                <w:color w:val="000000"/>
                <w:sz w:val="21"/>
                <w:szCs w:val="21"/>
                <w:highlight w:val="none"/>
              </w:rPr>
              <w:t>注：以上评分因素中，类似项目是指机关企事业单位食堂服务外包。</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8" w:type="dxa"/>
            <w:gridSpan w:val="4"/>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合     计</w:t>
            </w:r>
          </w:p>
        </w:tc>
        <w:tc>
          <w:tcPr>
            <w:tcW w:w="881" w:type="dxa"/>
            <w:noWrap/>
            <w:vAlign w:val="center"/>
          </w:tcPr>
          <w:p>
            <w:pPr>
              <w:pageBreakBefore w:val="0"/>
              <w:widowControl/>
              <w:wordWrap/>
              <w:overflowPunct w:val="0"/>
              <w:topLinePunct w:val="0"/>
              <w:autoSpaceDE w:val="0"/>
              <w:autoSpaceDN w:val="0"/>
              <w:bidi w:val="0"/>
              <w:adjustRightInd w:val="0"/>
              <w:spacing w:line="440" w:lineRule="exact"/>
              <w:jc w:val="center"/>
              <w:textAlignment w:val="baseline"/>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rPr>
              <w:t xml:space="preserve">100 </w:t>
            </w:r>
          </w:p>
        </w:tc>
      </w:tr>
    </w:tbl>
    <w:p>
      <w:pPr>
        <w:topLinePunct/>
        <w:autoSpaceDE w:val="0"/>
        <w:autoSpaceDN w:val="0"/>
        <w:spacing w:line="440" w:lineRule="exact"/>
        <w:ind w:firstLine="420" w:firstLineChars="200"/>
        <w:rPr>
          <w:rFonts w:hint="eastAsia" w:asciiTheme="minorEastAsia" w:hAnsiTheme="minorEastAsia" w:eastAsiaTheme="minorEastAsia" w:cstheme="minorEastAsia"/>
          <w:szCs w:val="21"/>
        </w:rPr>
      </w:pPr>
    </w:p>
    <w:p>
      <w:pPr>
        <w:topLinePunct/>
        <w:autoSpaceDE w:val="0"/>
        <w:autoSpaceDN w:val="0"/>
        <w:spacing w:line="440" w:lineRule="exact"/>
        <w:ind w:firstLine="420" w:firstLineChars="200"/>
        <w:rPr>
          <w:rFonts w:hint="eastAsia" w:asciiTheme="minorEastAsia" w:hAnsiTheme="minorEastAsia" w:eastAsiaTheme="minorEastAsia" w:cstheme="minorEastAsia"/>
          <w:szCs w:val="21"/>
        </w:rPr>
      </w:pPr>
    </w:p>
    <w:p>
      <w:pPr>
        <w:topLinePunct/>
        <w:autoSpaceDE w:val="0"/>
        <w:autoSpaceDN w:val="0"/>
        <w:spacing w:line="440" w:lineRule="exact"/>
        <w:ind w:firstLine="420" w:firstLineChars="200"/>
        <w:rPr>
          <w:rFonts w:hint="eastAsia" w:asciiTheme="minorEastAsia" w:hAnsiTheme="minorEastAsia" w:eastAsiaTheme="minorEastAsia" w:cstheme="minorEastAsia"/>
          <w:szCs w:val="21"/>
        </w:rPr>
      </w:pPr>
    </w:p>
    <w:p>
      <w:pPr>
        <w:topLinePunct/>
        <w:autoSpaceDE w:val="0"/>
        <w:autoSpaceDN w:val="0"/>
        <w:spacing w:line="440" w:lineRule="exact"/>
        <w:ind w:firstLine="420" w:firstLineChars="200"/>
        <w:rPr>
          <w:rFonts w:hint="eastAsia" w:asciiTheme="minorEastAsia" w:hAnsiTheme="minorEastAsia" w:eastAsiaTheme="minorEastAsia" w:cstheme="minorEastAsia"/>
          <w:szCs w:val="21"/>
        </w:rPr>
      </w:pPr>
    </w:p>
    <w:p>
      <w:pPr>
        <w:topLinePunct/>
        <w:autoSpaceDE w:val="0"/>
        <w:autoSpaceDN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落实政府采购政策进行价格调整的规则：</w:t>
      </w:r>
    </w:p>
    <w:tbl>
      <w:tblPr>
        <w:tblStyle w:val="22"/>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8"/>
        <w:gridCol w:w="3913"/>
        <w:gridCol w:w="2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b/>
                <w:kern w:val="2"/>
                <w:sz w:val="21"/>
                <w:szCs w:val="21"/>
              </w:rPr>
            </w:pPr>
            <w:r>
              <w:rPr>
                <w:rFonts w:asciiTheme="minorEastAsia" w:hAnsiTheme="minorEastAsia" w:eastAsiaTheme="minorEastAsia" w:cstheme="minorEastAsia"/>
                <w:b/>
                <w:kern w:val="2"/>
                <w:sz w:val="21"/>
                <w:szCs w:val="21"/>
              </w:rPr>
              <w:t>政府采购政策</w:t>
            </w:r>
          </w:p>
        </w:tc>
        <w:tc>
          <w:tcPr>
            <w:tcW w:w="3913" w:type="dxa"/>
            <w:noWrap/>
            <w:vAlign w:val="center"/>
          </w:tcPr>
          <w:p>
            <w:pPr>
              <w:pStyle w:val="29"/>
              <w:widowControl w:val="0"/>
              <w:spacing w:line="440" w:lineRule="exact"/>
              <w:jc w:val="center"/>
              <w:rPr>
                <w:rFonts w:hint="default" w:asciiTheme="minorEastAsia" w:hAnsiTheme="minorEastAsia" w:eastAsiaTheme="minorEastAsia" w:cstheme="minorEastAsia"/>
                <w:b/>
                <w:kern w:val="2"/>
                <w:sz w:val="21"/>
                <w:szCs w:val="21"/>
              </w:rPr>
            </w:pPr>
            <w:r>
              <w:rPr>
                <w:rFonts w:asciiTheme="minorEastAsia" w:hAnsiTheme="minorEastAsia" w:eastAsiaTheme="minorEastAsia" w:cstheme="minorEastAsia"/>
                <w:b/>
                <w:kern w:val="2"/>
                <w:sz w:val="21"/>
                <w:szCs w:val="21"/>
              </w:rPr>
              <w:t>价格扣除规则</w:t>
            </w:r>
          </w:p>
        </w:tc>
        <w:tc>
          <w:tcPr>
            <w:tcW w:w="2689" w:type="dxa"/>
            <w:noWrap/>
            <w:vAlign w:val="center"/>
          </w:tcPr>
          <w:p>
            <w:pPr>
              <w:pStyle w:val="29"/>
              <w:widowControl w:val="0"/>
              <w:spacing w:line="440" w:lineRule="exact"/>
              <w:jc w:val="center"/>
              <w:rPr>
                <w:rFonts w:hint="default" w:asciiTheme="minorEastAsia" w:hAnsiTheme="minorEastAsia" w:eastAsiaTheme="minorEastAsia" w:cstheme="minorEastAsia"/>
                <w:b/>
                <w:kern w:val="2"/>
                <w:sz w:val="21"/>
                <w:szCs w:val="21"/>
              </w:rPr>
            </w:pPr>
            <w:r>
              <w:rPr>
                <w:rFonts w:asciiTheme="minorEastAsia" w:hAnsiTheme="minorEastAsia" w:eastAsiaTheme="minorEastAsia" w:cstheme="minorEastAsia"/>
                <w:b/>
                <w:kern w:val="2"/>
                <w:sz w:val="21"/>
                <w:szCs w:val="21"/>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节约能源政策</w:t>
            </w:r>
          </w:p>
        </w:tc>
        <w:tc>
          <w:tcPr>
            <w:tcW w:w="3913"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w:t>
            </w:r>
          </w:p>
        </w:tc>
        <w:tc>
          <w:tcPr>
            <w:tcW w:w="2689"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保护环境政策</w:t>
            </w:r>
          </w:p>
        </w:tc>
        <w:tc>
          <w:tcPr>
            <w:tcW w:w="3913"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w:t>
            </w:r>
          </w:p>
        </w:tc>
        <w:tc>
          <w:tcPr>
            <w:tcW w:w="2689"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促进中小企业</w:t>
            </w:r>
          </w:p>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发展政策</w:t>
            </w:r>
          </w:p>
        </w:tc>
        <w:tc>
          <w:tcPr>
            <w:tcW w:w="3913" w:type="dxa"/>
            <w:noWrap/>
            <w:vAlign w:val="center"/>
          </w:tcPr>
          <w:p>
            <w:pPr>
              <w:spacing w:line="44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本项目为专门面向中小企业采购项目，按照《政府采购促进中小企业发展管理办法》（财库〔2020〕46号）规定，小微企业不再执行价格评审优惠的扶持政策。</w:t>
            </w:r>
          </w:p>
        </w:tc>
        <w:tc>
          <w:tcPr>
            <w:tcW w:w="2689"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color w:val="000000" w:themeColor="text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促进残疾人就业政策</w:t>
            </w:r>
          </w:p>
        </w:tc>
        <w:tc>
          <w:tcPr>
            <w:tcW w:w="3913" w:type="dxa"/>
            <w:noWrap/>
            <w:vAlign w:val="center"/>
          </w:tcPr>
          <w:p>
            <w:pPr>
              <w:pStyle w:val="29"/>
              <w:widowControl w:val="0"/>
              <w:spacing w:line="440" w:lineRule="exact"/>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本项目为专门面向中小企业采购项目，按照《政府采购促进中小企业发展管理办法》（财库〔2020〕46号）规定，残疾人福利性单位不再执行价格评审优惠的扶持政策。</w:t>
            </w:r>
          </w:p>
        </w:tc>
        <w:tc>
          <w:tcPr>
            <w:tcW w:w="2689" w:type="dxa"/>
            <w:noWrap/>
            <w:vAlign w:val="center"/>
          </w:tcPr>
          <w:p>
            <w:pPr>
              <w:pStyle w:val="13"/>
              <w:spacing w:line="440" w:lineRule="exact"/>
              <w:ind w:firstLine="420" w:firstLineChars="20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rPr>
              <w:t>/</w:t>
            </w:r>
          </w:p>
          <w:p>
            <w:pPr>
              <w:pStyle w:val="29"/>
              <w:widowControl w:val="0"/>
              <w:spacing w:line="440" w:lineRule="exact"/>
              <w:jc w:val="center"/>
              <w:rPr>
                <w:rFonts w:hint="default"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8"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支持监狱企业</w:t>
            </w:r>
          </w:p>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发展政策</w:t>
            </w:r>
          </w:p>
        </w:tc>
        <w:tc>
          <w:tcPr>
            <w:tcW w:w="3913" w:type="dxa"/>
            <w:noWrap/>
            <w:vAlign w:val="center"/>
          </w:tcPr>
          <w:p>
            <w:pPr>
              <w:pStyle w:val="29"/>
              <w:widowControl w:val="0"/>
              <w:spacing w:line="440" w:lineRule="exact"/>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本项目为专门面向中小企业采购项目，按照《政府采购促进中小企业发展管理办法》（财库〔2020〕46号）规定，监狱企业不再执行价格评审优惠的扶持政策。</w:t>
            </w:r>
          </w:p>
        </w:tc>
        <w:tc>
          <w:tcPr>
            <w:tcW w:w="2689" w:type="dxa"/>
            <w:noWrap/>
            <w:vAlign w:val="center"/>
          </w:tcPr>
          <w:p>
            <w:pPr>
              <w:pStyle w:val="29"/>
              <w:widowControl w:val="0"/>
              <w:spacing w:line="440" w:lineRule="exact"/>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color w:val="000000" w:themeColor="text1"/>
                <w:sz w:val="21"/>
                <w:szCs w:val="21"/>
              </w:rPr>
              <w:t>/</w:t>
            </w:r>
          </w:p>
        </w:tc>
      </w:tr>
    </w:tbl>
    <w:p>
      <w:pPr>
        <w:pStyle w:val="29"/>
        <w:keepNext w:val="0"/>
        <w:keepLines w:val="0"/>
        <w:pageBreakBefore w:val="0"/>
        <w:widowControl w:val="0"/>
        <w:kinsoku/>
        <w:wordWrap/>
        <w:overflowPunct/>
        <w:bidi w:val="0"/>
        <w:spacing w:line="44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2.4推荐中标候选人</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2.4.1按评审后得分由高到低顺序排列。得分相同的，按投标报价由低到高顺序排列。得分且投标报价相同的并列。</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2.4.2本采购包推荐中标候选人的数量：</w:t>
      </w:r>
      <w:r>
        <w:rPr>
          <w:rFonts w:hint="eastAsia" w:asciiTheme="minorEastAsia" w:hAnsiTheme="minorEastAsia" w:eastAsiaTheme="minorEastAsia" w:cstheme="minorEastAsia"/>
          <w:szCs w:val="21"/>
          <w:u w:val="single"/>
        </w:rPr>
        <w:t>3</w:t>
      </w:r>
      <w:r>
        <w:rPr>
          <w:rFonts w:hint="eastAsia" w:asciiTheme="minorEastAsia" w:hAnsiTheme="minorEastAsia" w:eastAsiaTheme="minorEastAsia" w:cstheme="minorEastAsia"/>
          <w:szCs w:val="21"/>
        </w:rPr>
        <w:t>家。</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2.4.3中标人数量：</w:t>
      </w:r>
      <w:r>
        <w:rPr>
          <w:rFonts w:hint="eastAsia"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家。</w:t>
      </w:r>
    </w:p>
    <w:p>
      <w:pPr>
        <w:keepNext w:val="0"/>
        <w:keepLines w:val="0"/>
        <w:pageBreakBefore w:val="0"/>
        <w:widowControl/>
        <w:kinsoku/>
        <w:wordWrap/>
        <w:overflowPunct/>
        <w:topLinePunct/>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中标候选人并列的，按照</w:t>
      </w:r>
      <w:r>
        <w:rPr>
          <w:rFonts w:hint="eastAsia" w:asciiTheme="minorEastAsia" w:hAnsiTheme="minorEastAsia" w:eastAsiaTheme="minorEastAsia" w:cstheme="minorEastAsia"/>
          <w:u w:val="single"/>
        </w:rPr>
        <w:t>技术指标优劣顺序排列</w:t>
      </w:r>
      <w:r>
        <w:rPr>
          <w:rFonts w:hint="eastAsia" w:asciiTheme="minorEastAsia" w:hAnsiTheme="minorEastAsia" w:eastAsiaTheme="minorEastAsia" w:cstheme="minorEastAsia"/>
          <w:szCs w:val="21"/>
        </w:rPr>
        <w:t>的方式确定中标人。招标文件未规定的，采取随机抽取的方式确定。</w:t>
      </w:r>
    </w:p>
    <w:p>
      <w:pPr>
        <w:spacing w:line="440" w:lineRule="exact"/>
        <w:rPr>
          <w:rFonts w:asciiTheme="minorEastAsia" w:hAnsiTheme="minorEastAsia" w:eastAsiaTheme="minorEastAsia" w:cstheme="minorEastAsia"/>
          <w:szCs w:val="21"/>
        </w:rPr>
        <w:sectPr>
          <w:pgSz w:w="11906" w:h="16838"/>
          <w:pgMar w:top="1417" w:right="1417" w:bottom="1417" w:left="1417" w:header="851" w:footer="992" w:gutter="0"/>
          <w:cols w:space="720" w:num="1"/>
          <w:titlePg/>
          <w:docGrid w:type="lines" w:linePitch="312" w:charSpace="0"/>
        </w:sectPr>
      </w:pPr>
    </w:p>
    <w:p>
      <w:pPr>
        <w:pStyle w:val="4"/>
        <w:jc w:val="center"/>
      </w:pPr>
      <w:bookmarkStart w:id="69" w:name="_Toc132880283"/>
      <w:bookmarkStart w:id="70" w:name="_Toc1406510925"/>
      <w:bookmarkStart w:id="71" w:name="_Toc1484421284"/>
      <w:bookmarkStart w:id="72" w:name="_Toc38030150"/>
      <w:bookmarkStart w:id="73" w:name="_Toc1505390621"/>
      <w:bookmarkStart w:id="74" w:name="_Toc18784"/>
      <w:bookmarkStart w:id="75" w:name="_Toc353483817"/>
      <w:bookmarkStart w:id="76" w:name="_Toc614538032"/>
      <w:bookmarkStart w:id="77" w:name="_Toc1914430521"/>
      <w:bookmarkStart w:id="78" w:name="_Toc525052847"/>
      <w:r>
        <w:rPr>
          <w:rFonts w:hint="eastAsia"/>
        </w:rPr>
        <w:t>第四章  政府采购合同文本</w:t>
      </w:r>
      <w:bookmarkEnd w:id="69"/>
      <w:bookmarkEnd w:id="70"/>
      <w:bookmarkEnd w:id="71"/>
      <w:bookmarkEnd w:id="72"/>
      <w:bookmarkEnd w:id="73"/>
      <w:bookmarkEnd w:id="74"/>
      <w:bookmarkEnd w:id="75"/>
      <w:bookmarkEnd w:id="76"/>
      <w:bookmarkEnd w:id="77"/>
      <w:bookmarkEnd w:id="78"/>
    </w:p>
    <w:p>
      <w:pPr>
        <w:pStyle w:val="13"/>
        <w:ind w:firstLine="640"/>
        <w:jc w:val="center"/>
        <w:rPr>
          <w:rFonts w:ascii="华文中宋" w:hAnsi="华文中宋" w:eastAsia="华文中宋" w:cs="华文中宋"/>
          <w:bCs/>
          <w:sz w:val="32"/>
          <w:szCs w:val="32"/>
        </w:rPr>
      </w:pPr>
    </w:p>
    <w:p>
      <w:pPr>
        <w:pStyle w:val="13"/>
        <w:ind w:firstLine="640"/>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合 同 书</w:t>
      </w:r>
    </w:p>
    <w:p>
      <w:pPr>
        <w:pStyle w:val="13"/>
        <w:ind w:firstLine="640"/>
        <w:jc w:val="center"/>
        <w:rPr>
          <w:rFonts w:asciiTheme="minorEastAsia" w:hAnsiTheme="minorEastAsia" w:eastAsiaTheme="minorEastAsia" w:cstheme="minorEastAsia"/>
          <w:bCs/>
          <w:sz w:val="32"/>
          <w:szCs w:val="32"/>
        </w:rPr>
      </w:pPr>
    </w:p>
    <w:p>
      <w:pPr>
        <w:tabs>
          <w:tab w:val="left" w:pos="540"/>
          <w:tab w:val="left" w:pos="1080"/>
          <w:tab w:val="left" w:pos="1440"/>
        </w:tabs>
        <w:snapToGrid w:val="0"/>
        <w:jc w:val="center"/>
        <w:rPr>
          <w:rFonts w:asciiTheme="minorEastAsia" w:hAnsiTheme="minorEastAsia" w:eastAsiaTheme="minorEastAsia" w:cstheme="minorEastAsia"/>
          <w:sz w:val="32"/>
          <w:szCs w:val="32"/>
        </w:rPr>
      </w:pPr>
    </w:p>
    <w:p>
      <w:pPr>
        <w:tabs>
          <w:tab w:val="left" w:pos="540"/>
          <w:tab w:val="left" w:pos="1080"/>
          <w:tab w:val="left" w:pos="1440"/>
        </w:tabs>
        <w:snapToGrid w:val="0"/>
        <w:jc w:val="center"/>
        <w:rPr>
          <w:rFonts w:asciiTheme="minorEastAsia" w:hAnsiTheme="minorEastAsia" w:eastAsiaTheme="minorEastAsia" w:cstheme="minorEastAsia"/>
          <w:sz w:val="32"/>
          <w:szCs w:val="32"/>
        </w:rPr>
      </w:pPr>
    </w:p>
    <w:p>
      <w:pPr>
        <w:tabs>
          <w:tab w:val="left" w:pos="540"/>
          <w:tab w:val="left" w:pos="1080"/>
          <w:tab w:val="left" w:pos="1440"/>
        </w:tabs>
        <w:snapToGrid w:val="0"/>
        <w:jc w:val="center"/>
        <w:rPr>
          <w:rFonts w:asciiTheme="minorEastAsia" w:hAnsiTheme="minorEastAsia" w:eastAsiaTheme="minorEastAsia" w:cstheme="minorEastAsia"/>
          <w:sz w:val="32"/>
          <w:szCs w:val="32"/>
        </w:rPr>
      </w:pPr>
    </w:p>
    <w:p>
      <w:pPr>
        <w:tabs>
          <w:tab w:val="left" w:pos="540"/>
          <w:tab w:val="left" w:pos="1080"/>
          <w:tab w:val="left" w:pos="1440"/>
        </w:tabs>
        <w:snapToGrid w:val="0"/>
        <w:ind w:left="1680" w:leftChars="800"/>
        <w:jc w:val="center"/>
        <w:rPr>
          <w:rFonts w:asciiTheme="minorEastAsia" w:hAnsiTheme="minorEastAsia" w:eastAsiaTheme="minorEastAsia" w:cstheme="minorEastAsia"/>
          <w:sz w:val="32"/>
          <w:szCs w:val="32"/>
        </w:rPr>
      </w:pPr>
    </w:p>
    <w:p>
      <w:pPr>
        <w:tabs>
          <w:tab w:val="left" w:pos="2160"/>
        </w:tabs>
        <w:topLinePunct/>
        <w:autoSpaceDE w:val="0"/>
        <w:autoSpaceDN w:val="0"/>
        <w:snapToGrid w:val="0"/>
        <w:spacing w:line="360" w:lineRule="auto"/>
        <w:ind w:left="2100" w:leftChars="10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p>
      <w:pPr>
        <w:tabs>
          <w:tab w:val="left" w:pos="2160"/>
        </w:tabs>
        <w:topLinePunct/>
        <w:autoSpaceDE w:val="0"/>
        <w:autoSpaceDN w:val="0"/>
        <w:snapToGrid w:val="0"/>
        <w:spacing w:line="360" w:lineRule="auto"/>
        <w:ind w:left="2100" w:leftChars="10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包号：</w:t>
      </w:r>
    </w:p>
    <w:p>
      <w:pPr>
        <w:tabs>
          <w:tab w:val="left" w:pos="540"/>
          <w:tab w:val="left" w:pos="1080"/>
          <w:tab w:val="left" w:pos="1440"/>
        </w:tabs>
        <w:snapToGrid w:val="0"/>
        <w:spacing w:line="360" w:lineRule="auto"/>
        <w:ind w:left="2100" w:leftChars="10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合同编号：</w:t>
      </w:r>
    </w:p>
    <w:p>
      <w:pPr>
        <w:tabs>
          <w:tab w:val="left" w:pos="2160"/>
        </w:tabs>
        <w:topLinePunct/>
        <w:autoSpaceDE w:val="0"/>
        <w:autoSpaceDN w:val="0"/>
        <w:snapToGrid w:val="0"/>
        <w:spacing w:line="360" w:lineRule="auto"/>
        <w:ind w:left="2880" w:leftChars="800" w:hanging="1200" w:hangingChars="500"/>
        <w:rPr>
          <w:rFonts w:asciiTheme="minorEastAsia" w:hAnsiTheme="minorEastAsia" w:eastAsiaTheme="minorEastAsia" w:cstheme="minorEastAsia"/>
          <w:bCs/>
          <w:sz w:val="24"/>
          <w:szCs w:val="24"/>
        </w:rPr>
      </w:pPr>
    </w:p>
    <w:p>
      <w:pPr>
        <w:pStyle w:val="13"/>
        <w:spacing w:line="460" w:lineRule="exact"/>
        <w:ind w:firstLine="480"/>
        <w:jc w:val="center"/>
        <w:rPr>
          <w:rFonts w:asciiTheme="minorEastAsia" w:hAnsiTheme="minorEastAsia" w:eastAsiaTheme="minorEastAsia" w:cstheme="minorEastAsia"/>
          <w:bCs/>
          <w:sz w:val="24"/>
          <w:szCs w:val="24"/>
        </w:rPr>
      </w:pPr>
    </w:p>
    <w:p>
      <w:pPr>
        <w:pStyle w:val="13"/>
        <w:tabs>
          <w:tab w:val="left" w:pos="3045"/>
        </w:tabs>
        <w:spacing w:line="460" w:lineRule="exact"/>
        <w:ind w:firstLine="48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b/>
      </w:r>
    </w:p>
    <w:p>
      <w:pPr>
        <w:pStyle w:val="13"/>
        <w:spacing w:line="460" w:lineRule="exact"/>
        <w:ind w:firstLine="480"/>
        <w:rPr>
          <w:rFonts w:asciiTheme="minorEastAsia" w:hAnsiTheme="minorEastAsia" w:eastAsiaTheme="minorEastAsia" w:cstheme="minorEastAsia"/>
          <w:bCs/>
          <w:sz w:val="24"/>
          <w:szCs w:val="24"/>
        </w:rPr>
      </w:pPr>
    </w:p>
    <w:p>
      <w:pPr>
        <w:pStyle w:val="13"/>
        <w:spacing w:line="460" w:lineRule="exact"/>
        <w:ind w:firstLine="480"/>
        <w:jc w:val="center"/>
        <w:rPr>
          <w:rFonts w:asciiTheme="minorEastAsia" w:hAnsiTheme="minorEastAsia" w:eastAsiaTheme="minorEastAsia" w:cstheme="minorEastAsia"/>
          <w:bCs/>
          <w:sz w:val="24"/>
          <w:szCs w:val="24"/>
        </w:rPr>
      </w:pPr>
    </w:p>
    <w:p>
      <w:pPr>
        <w:spacing w:line="300" w:lineRule="auto"/>
        <w:ind w:left="840" w:leftChars="400" w:firstLine="1298" w:firstLineChars="541"/>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甲    方： </w:t>
      </w:r>
      <w:r>
        <w:rPr>
          <w:rFonts w:hint="eastAsia" w:asciiTheme="minorEastAsia" w:hAnsiTheme="minorEastAsia" w:eastAsiaTheme="minorEastAsia" w:cstheme="minorEastAsia"/>
          <w:bCs/>
          <w:sz w:val="24"/>
          <w:szCs w:val="24"/>
          <w:u w:val="single"/>
        </w:rPr>
        <w:t>国家税务总局南宁市税务局</w:t>
      </w:r>
    </w:p>
    <w:p>
      <w:pPr>
        <w:spacing w:line="300" w:lineRule="auto"/>
        <w:ind w:left="840" w:leftChars="400" w:firstLine="1298" w:firstLineChars="541"/>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乙    方： </w:t>
      </w:r>
    </w:p>
    <w:p>
      <w:pPr>
        <w:spacing w:line="300" w:lineRule="auto"/>
        <w:ind w:left="840" w:leftChars="400" w:firstLine="1298" w:firstLineChars="541"/>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日    期： </w:t>
      </w:r>
      <w:r>
        <w:rPr>
          <w:rFonts w:hint="eastAsia" w:asciiTheme="minorEastAsia" w:hAnsiTheme="minorEastAsia" w:eastAsiaTheme="minorEastAsia" w:cstheme="minorEastAsia"/>
          <w:bCs/>
          <w:sz w:val="24"/>
          <w:szCs w:val="24"/>
          <w:u w:val="single"/>
        </w:rPr>
        <w:t>2024年</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月  日</w:t>
      </w:r>
    </w:p>
    <w:p>
      <w:pPr>
        <w:spacing w:line="300" w:lineRule="auto"/>
        <w:jc w:val="center"/>
        <w:rPr>
          <w:rFonts w:ascii="宋体" w:hAnsi="宋体" w:cs="宋体"/>
          <w:b/>
          <w:sz w:val="24"/>
          <w:szCs w:val="24"/>
        </w:rPr>
      </w:pPr>
      <w:r>
        <w:rPr>
          <w:rFonts w:ascii="宋体" w:hAnsi="宋体" w:cs="宋体"/>
          <w:b/>
          <w:bCs/>
          <w:sz w:val="28"/>
          <w:u w:val="single"/>
        </w:rPr>
        <w:br w:type="page"/>
      </w:r>
      <w:r>
        <w:rPr>
          <w:rFonts w:hint="eastAsia" w:ascii="宋体" w:hAnsi="宋体" w:cs="宋体"/>
          <w:b/>
          <w:sz w:val="24"/>
          <w:szCs w:val="24"/>
        </w:rPr>
        <w:t>合同条款前附表</w:t>
      </w:r>
    </w:p>
    <w:tbl>
      <w:tblPr>
        <w:tblStyle w:val="2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82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合同名称</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国家税务总局南宁市税务局职工食堂劳务外包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合同编号</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2160"/>
              </w:tabs>
              <w:kinsoku/>
              <w:wordWrap/>
              <w:overflowPunct/>
              <w:topLinePunct/>
              <w:autoSpaceDE w:val="0"/>
              <w:autoSpaceDN w:val="0"/>
              <w:bidi w:val="0"/>
              <w:adjustRightInd w:val="0"/>
              <w:snapToGrid w:val="0"/>
              <w:spacing w:line="440" w:lineRule="exact"/>
              <w:textAlignment w:val="auto"/>
              <w:rPr>
                <w:rFonts w:hint="eastAsia" w:asciiTheme="minorEastAsia" w:hAnsiTheme="minorEastAsia" w:eastAsiaTheme="minorEastAsia" w:cstheme="minorEastAsia"/>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合同类型</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2160"/>
              </w:tabs>
              <w:kinsoku/>
              <w:wordWrap/>
              <w:overflowPunct/>
              <w:topLinePunct/>
              <w:autoSpaceDE w:val="0"/>
              <w:autoSpaceDN w:val="0"/>
              <w:bidi w:val="0"/>
              <w:adjustRightInd w:val="0"/>
              <w:snapToGrid w:val="0"/>
              <w:spacing w:line="44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非信息化服务类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定价方式</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2160"/>
              </w:tabs>
              <w:kinsoku/>
              <w:wordWrap/>
              <w:overflowPunct/>
              <w:topLinePunct/>
              <w:autoSpaceDE w:val="0"/>
              <w:autoSpaceDN w:val="0"/>
              <w:bidi w:val="0"/>
              <w:adjustRightInd w:val="0"/>
              <w:snapToGrid w:val="0"/>
              <w:spacing w:line="44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909" w:type="dxa"/>
            <w:gridSpan w:val="2"/>
            <w:tcBorders>
              <w:top w:val="single" w:color="auto" w:sz="4" w:space="0"/>
              <w:left w:val="single" w:color="auto" w:sz="4" w:space="0"/>
              <w:bottom w:val="single" w:color="auto" w:sz="6"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甲方名称</w:t>
            </w:r>
          </w:p>
        </w:tc>
        <w:tc>
          <w:tcPr>
            <w:tcW w:w="6379"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国家税务总局南宁市税务局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甲方地址</w:t>
            </w:r>
          </w:p>
        </w:tc>
        <w:tc>
          <w:tcPr>
            <w:tcW w:w="637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南宁市金湖路40号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restart"/>
            <w:tcBorders>
              <w:top w:val="single" w:color="auto" w:sz="6" w:space="0"/>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甲方采购部门</w:t>
            </w:r>
          </w:p>
        </w:tc>
        <w:tc>
          <w:tcPr>
            <w:tcW w:w="637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continue"/>
            <w:tcBorders>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6379"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continue"/>
            <w:tcBorders>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379" w:type="dxa"/>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continue"/>
            <w:tcBorders>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甲方需求部门</w:t>
            </w:r>
          </w:p>
        </w:tc>
        <w:tc>
          <w:tcPr>
            <w:tcW w:w="6379" w:type="dxa"/>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continue"/>
            <w:tcBorders>
              <w:left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6379" w:type="dxa"/>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409" w:type="dxa"/>
            <w:vMerge w:val="continue"/>
            <w:tcBorders>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379" w:type="dxa"/>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乙方名称</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乙方企业性质</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中型企业   </w:t>
            </w: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小型企业       </w:t>
            </w: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监狱企业   </w:t>
            </w: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残疾人福利性单位    </w:t>
            </w: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乙方地址</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乙方联系人</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传真</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合同总金额</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服务内容</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家税务总局南宁市税务局金湖路40号职工食堂、第三稽查局职工食堂、民族大道89号金禄大厦职工食堂的食堂劳务和管理服务，包括食堂菜品加工及销售、餐厅服务、公务用餐服务以及其他涉及食堂管理等服务。采购人负责提供食堂场地、设备及食材采购，承担水电、燃气费用。供应商提供专业的服务人员负责出品和服务，自行规范内部服务人员管理、食品安全、环境卫生等管理要求及各项操作流程。具体要求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付款方式</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甲方采取先服务后付款、按月考核并以人民币结算的方式。</w:t>
            </w:r>
          </w:p>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每月10日前，甲方根据《机关食堂管理考核细则》及</w:t>
            </w:r>
            <w:r>
              <w:rPr>
                <w:rFonts w:hint="eastAsia" w:asciiTheme="minorEastAsia" w:hAnsiTheme="minorEastAsia" w:eastAsiaTheme="minorEastAsia" w:cstheme="minorEastAsia"/>
                <w:sz w:val="21"/>
                <w:szCs w:val="21"/>
                <w:highlight w:val="none"/>
              </w:rPr>
              <w:t>合同罚责条款</w:t>
            </w:r>
            <w:r>
              <w:rPr>
                <w:rFonts w:hint="eastAsia" w:asciiTheme="minorEastAsia" w:hAnsiTheme="minorEastAsia" w:eastAsiaTheme="minorEastAsia" w:cstheme="minorEastAsia"/>
                <w:sz w:val="21"/>
                <w:szCs w:val="21"/>
                <w:highlight w:val="none"/>
                <w:lang w:val="zh-CN"/>
              </w:rPr>
              <w:t>对乙方上月服务进行考核</w:t>
            </w:r>
            <w:r>
              <w:rPr>
                <w:rFonts w:hint="eastAsia" w:asciiTheme="minorEastAsia" w:hAnsiTheme="minorEastAsia" w:eastAsiaTheme="minorEastAsia" w:cstheme="minorEastAsia"/>
                <w:sz w:val="21"/>
                <w:szCs w:val="21"/>
                <w:highlight w:val="none"/>
              </w:rPr>
              <w:t>，考核结果经双方确认无异议后</w:t>
            </w:r>
            <w:r>
              <w:rPr>
                <w:rFonts w:hint="eastAsia" w:asciiTheme="minorEastAsia" w:hAnsiTheme="minorEastAsia" w:eastAsiaTheme="minorEastAsia" w:cstheme="minorEastAsia"/>
                <w:sz w:val="21"/>
                <w:szCs w:val="21"/>
                <w:highlight w:val="none"/>
                <w:lang w:val="zh-CN"/>
              </w:rPr>
              <w:t>，甲方</w:t>
            </w:r>
            <w:r>
              <w:rPr>
                <w:rFonts w:hint="eastAsia" w:asciiTheme="minorEastAsia" w:hAnsiTheme="minorEastAsia" w:eastAsiaTheme="minorEastAsia" w:cstheme="minorEastAsia"/>
                <w:sz w:val="21"/>
                <w:szCs w:val="21"/>
                <w:highlight w:val="none"/>
              </w:rPr>
              <w:t>按考核结果对合同服务费进行汇总扣款后支付剩余款项。</w:t>
            </w:r>
          </w:p>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即：</w:t>
            </w:r>
            <w:r>
              <w:rPr>
                <w:rFonts w:hint="eastAsia" w:asciiTheme="minorEastAsia" w:hAnsiTheme="minorEastAsia" w:eastAsiaTheme="minorEastAsia" w:cstheme="minorEastAsia"/>
                <w:sz w:val="21"/>
                <w:szCs w:val="21"/>
                <w:highlight w:val="none"/>
                <w:lang w:val="zh-CN"/>
              </w:rPr>
              <w:t>月服务费=年度合同总金额/12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月考核汇总扣款。</w:t>
            </w:r>
          </w:p>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履约保证金及返还</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00"/>
              </w:tabs>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□本项目不要求提供履约保证金。</w:t>
            </w:r>
          </w:p>
          <w:p>
            <w:pPr>
              <w:pStyle w:val="13"/>
              <w:keepNext w:val="0"/>
              <w:keepLines w:val="0"/>
              <w:pageBreakBefore w:val="0"/>
              <w:widowControl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☑本项目要求提供履约保证金。履约保证金为合同总金额的</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 %（取整到元），即人民币       元整（¥       ），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pPr>
              <w:pStyle w:val="13"/>
              <w:keepNext w:val="0"/>
              <w:keepLines w:val="0"/>
              <w:pageBreakBefore w:val="0"/>
              <w:widowControl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pPr>
              <w:pStyle w:val="13"/>
              <w:keepNext w:val="0"/>
              <w:keepLines w:val="0"/>
              <w:pageBreakBefore w:val="0"/>
              <w:widowControl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项目验收合格的，甲方在收到乙方提出申请的30日内无息返还履约保证金；甲方如逾期退还履约保证金，每逾期一天，可按应退款项的</w:t>
            </w:r>
            <w:r>
              <w:rPr>
                <w:rFonts w:hint="eastAsia" w:asciiTheme="minorEastAsia" w:hAnsiTheme="minorEastAsia" w:eastAsiaTheme="minorEastAsia" w:cstheme="minorEastAsia"/>
                <w:sz w:val="21"/>
                <w:szCs w:val="21"/>
                <w:highlight w:val="none"/>
                <w:shd w:val="clear" w:color="auto" w:fill="FFFFFF"/>
              </w:rPr>
              <w:t>银行同期存款利息</w:t>
            </w:r>
            <w:r>
              <w:rPr>
                <w:rFonts w:hint="eastAsia" w:asciiTheme="minorEastAsia" w:hAnsiTheme="minorEastAsia" w:eastAsiaTheme="minorEastAsia" w:cstheme="minorEastAsia"/>
                <w:sz w:val="21"/>
                <w:szCs w:val="21"/>
                <w:highlight w:val="none"/>
              </w:rPr>
              <w:t>计算违约金；项目验收不合格的，履约保证金不予退还。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合同履行期限</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服务期</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合同履约地点</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①南宁市青秀区金湖路40号3楼职工食堂。</w:t>
            </w:r>
          </w:p>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②南宁市第三稽查局职工食堂。</w:t>
            </w:r>
          </w:p>
          <w:p>
            <w:pPr>
              <w:keepNext w:val="0"/>
              <w:keepLines w:val="0"/>
              <w:pageBreakBefore w:val="0"/>
              <w:kinsoku/>
              <w:wordWrap/>
              <w:overflowPunct/>
              <w:bidi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③民族大道89号金禄大厦职工食堂。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19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合同纠纷解决方式</w:t>
            </w:r>
          </w:p>
        </w:tc>
        <w:tc>
          <w:tcPr>
            <w:tcW w:w="6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甲乙双方应首先通过友好协商解决在执行本合同中所发生的或与本合同有关的一切争端。如从协商开始</w:t>
            </w:r>
            <w:r>
              <w:rPr>
                <w:rFonts w:hint="eastAsia" w:asciiTheme="minorEastAsia" w:hAnsiTheme="minorEastAsia" w:eastAsiaTheme="minorEastAsia" w:cstheme="minorEastAsia"/>
                <w:sz w:val="21"/>
                <w:szCs w:val="21"/>
                <w:highlight w:val="none"/>
                <w:u w:val="single"/>
              </w:rPr>
              <w:t>30</w:t>
            </w:r>
            <w:r>
              <w:rPr>
                <w:rFonts w:hint="eastAsia" w:asciiTheme="minorEastAsia" w:hAnsiTheme="minorEastAsia" w:eastAsiaTheme="minorEastAsia" w:cstheme="minorEastAsia"/>
                <w:sz w:val="21"/>
                <w:szCs w:val="21"/>
                <w:highlight w:val="none"/>
              </w:rPr>
              <w:t>天内仍不能解决，可以选择以下途径之一解决纠纷：</w:t>
            </w:r>
          </w:p>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□向甲方所在地仲裁委员会或仲裁委员会申请仲裁</w:t>
            </w:r>
          </w:p>
          <w:p>
            <w:pPr>
              <w:keepNext w:val="0"/>
              <w:keepLines w:val="0"/>
              <w:pageBreakBefore w:val="0"/>
              <w:tabs>
                <w:tab w:val="left" w:pos="700"/>
              </w:tabs>
              <w:kinsoku/>
              <w:wordWrap/>
              <w:overflowPunct/>
              <w:bidi w:val="0"/>
              <w:adjustRightInd w:val="0"/>
              <w:snapToGrid w:val="0"/>
              <w:spacing w:line="440" w:lineRule="exac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☑向甲方所在地人民法院或</w:t>
            </w:r>
            <w:r>
              <w:rPr>
                <w:rFonts w:hint="eastAsia" w:asciiTheme="minorEastAsia" w:hAnsiTheme="minorEastAsia" w:eastAsiaTheme="minorEastAsia" w:cstheme="minorEastAsia"/>
                <w:sz w:val="21"/>
                <w:szCs w:val="21"/>
                <w:highlight w:val="none"/>
                <w:u w:val="single"/>
              </w:rPr>
              <w:t>项目所在地有管辖权的</w:t>
            </w:r>
            <w:r>
              <w:rPr>
                <w:rFonts w:hint="eastAsia" w:asciiTheme="minorEastAsia" w:hAnsiTheme="minorEastAsia" w:eastAsiaTheme="minorEastAsia" w:cstheme="minorEastAsia"/>
                <w:sz w:val="21"/>
                <w:szCs w:val="21"/>
                <w:highlight w:val="none"/>
              </w:rPr>
              <w:t>人民法院提起诉讼</w:t>
            </w:r>
          </w:p>
        </w:tc>
      </w:tr>
    </w:tbl>
    <w:p>
      <w:pPr>
        <w:tabs>
          <w:tab w:val="left" w:pos="700"/>
        </w:tabs>
        <w:topLinePunct/>
        <w:autoSpaceDE w:val="0"/>
        <w:autoSpaceDN w:val="0"/>
        <w:spacing w:line="460" w:lineRule="exact"/>
        <w:rPr>
          <w:rFonts w:ascii="宋体" w:hAnsi="宋体" w:cs="宋体"/>
          <w:b/>
          <w:sz w:val="24"/>
        </w:rPr>
      </w:pPr>
      <w:r>
        <w:rPr>
          <w:rFonts w:hint="eastAsia" w:ascii="宋体" w:hAnsi="宋体" w:cs="宋体"/>
          <w:b/>
          <w:sz w:val="28"/>
        </w:rPr>
        <w:br w:type="page"/>
      </w:r>
    </w:p>
    <w:p>
      <w:pPr>
        <w:tabs>
          <w:tab w:val="left" w:pos="0"/>
        </w:tabs>
        <w:topLinePunct/>
        <w:autoSpaceDE w:val="0"/>
        <w:autoSpaceDN w:val="0"/>
        <w:spacing w:line="360" w:lineRule="auto"/>
        <w:jc w:val="center"/>
        <w:outlineLvl w:val="1"/>
        <w:rPr>
          <w:rFonts w:ascii="宋体" w:hAnsi="宋体" w:cs="宋体"/>
          <w:b/>
          <w:sz w:val="24"/>
        </w:rPr>
      </w:pPr>
      <w:bookmarkStart w:id="79" w:name="_Toc583"/>
      <w:bookmarkStart w:id="80" w:name="_Toc23372"/>
      <w:bookmarkStart w:id="81" w:name="_Toc14664"/>
      <w:r>
        <w:rPr>
          <w:rFonts w:hint="eastAsia" w:ascii="宋体" w:hAnsi="宋体" w:cs="宋体"/>
          <w:b/>
          <w:sz w:val="24"/>
        </w:rPr>
        <w:t>一   合  同</w:t>
      </w:r>
      <w:bookmarkEnd w:id="79"/>
      <w:bookmarkEnd w:id="80"/>
      <w:bookmarkEnd w:id="81"/>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国家税务总局南宁市税务局（以下简称“甲方”）通过</w:t>
      </w:r>
      <w:r>
        <w:rPr>
          <w:rFonts w:hint="eastAsia" w:asciiTheme="minorEastAsia" w:hAnsiTheme="minorEastAsia" w:eastAsiaTheme="minorEastAsia" w:cstheme="minorEastAsia"/>
          <w:szCs w:val="21"/>
          <w:highlight w:val="none"/>
          <w:u w:val="single"/>
        </w:rPr>
        <w:t xml:space="preserve"> 公开招标 方</w:t>
      </w:r>
      <w:r>
        <w:rPr>
          <w:rFonts w:hint="eastAsia" w:asciiTheme="minorEastAsia" w:hAnsiTheme="minorEastAsia" w:eastAsiaTheme="minorEastAsia" w:cstheme="minorEastAsia"/>
          <w:szCs w:val="21"/>
          <w:highlight w:val="none"/>
        </w:rPr>
        <w:t>式采购，确定_____公司（以下简称“乙方”）为《国家税务总局南宁市税务局职工食堂劳务外包项目》中标（成交）供应商。甲乙双方同意按照该项目招标（采购）文件约定的内容，签署《国家税务总局南宁市税务局职工食堂劳务外包合同书》（合同编号：，以下简称“合同”)。</w:t>
      </w:r>
    </w:p>
    <w:p>
      <w:pPr>
        <w:keepNext w:val="0"/>
        <w:keepLines w:val="0"/>
        <w:pageBreakBefore w:val="0"/>
        <w:widowControl w:val="0"/>
        <w:kinsoku/>
        <w:wordWrap/>
        <w:overflowPunct/>
        <w:topLinePunct/>
        <w:autoSpaceDE w:val="0"/>
        <w:autoSpaceDN w:val="0"/>
        <w:bidi w:val="0"/>
        <w:adjustRightInd/>
        <w:snapToGrid w:val="0"/>
        <w:spacing w:line="400" w:lineRule="exact"/>
        <w:ind w:firstLine="422" w:firstLineChars="200"/>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1.合同文件</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（3）招标（采购）文件；</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（4）投标（响应）文件。</w:t>
      </w:r>
    </w:p>
    <w:p>
      <w:pPr>
        <w:keepNext w:val="0"/>
        <w:keepLines w:val="0"/>
        <w:pageBreakBefore w:val="0"/>
        <w:widowControl w:val="0"/>
        <w:kinsoku/>
        <w:wordWrap/>
        <w:overflowPunct/>
        <w:topLinePunct/>
        <w:autoSpaceDE w:val="0"/>
        <w:autoSpaceDN w:val="0"/>
        <w:bidi w:val="0"/>
        <w:adjustRightInd/>
        <w:snapToGrid w:val="0"/>
        <w:spacing w:line="400" w:lineRule="exact"/>
        <w:ind w:firstLine="422" w:firstLineChars="200"/>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2.合同范围和条件</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13" w:firstLineChars="196"/>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3.合同总金额</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本合同总金额为人民币元整（¥）。本项目服务期</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年。</w:t>
      </w:r>
    </w:p>
    <w:p>
      <w:pPr>
        <w:keepNext w:val="0"/>
        <w:keepLines w:val="0"/>
        <w:pageBreakBefore w:val="0"/>
        <w:widowControl w:val="0"/>
        <w:tabs>
          <w:tab w:val="left" w:pos="700"/>
        </w:tabs>
        <w:kinsoku/>
        <w:wordWrap/>
        <w:overflowPunct/>
        <w:topLinePunct/>
        <w:autoSpaceDE w:val="0"/>
        <w:autoSpaceDN w:val="0"/>
        <w:bidi w:val="0"/>
        <w:adjustRightInd/>
        <w:snapToGrid w:val="0"/>
        <w:spacing w:line="400" w:lineRule="exact"/>
        <w:ind w:firstLine="422" w:firstLineChars="200"/>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4.付款条件</w:t>
      </w:r>
    </w:p>
    <w:p>
      <w:pPr>
        <w:keepNext w:val="0"/>
        <w:keepLines w:val="0"/>
        <w:pageBreakBefore w:val="0"/>
        <w:widowControl w:val="0"/>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甲方采取先服务后付款、按月考核并以人民币结算的方式。</w:t>
      </w:r>
    </w:p>
    <w:p>
      <w:pPr>
        <w:keepNext w:val="0"/>
        <w:keepLines w:val="0"/>
        <w:pageBreakBefore w:val="0"/>
        <w:widowControl w:val="0"/>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每月10日前，甲方根据《机关食堂管理考核细则》及合同罚责条款对乙方上月服务进行考核，考核结果经双方确认无异议后，甲方按考核结果对合同服务费进行汇总扣款后支付剩余款项。</w:t>
      </w:r>
    </w:p>
    <w:p>
      <w:pPr>
        <w:keepNext w:val="0"/>
        <w:keepLines w:val="0"/>
        <w:pageBreakBefore w:val="0"/>
        <w:widowControl w:val="0"/>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即：月服务费=年度合同总金额/12-月考核汇总扣款。</w:t>
      </w:r>
    </w:p>
    <w:p>
      <w:pPr>
        <w:keepNext w:val="0"/>
        <w:keepLines w:val="0"/>
        <w:pageBreakBefore w:val="0"/>
        <w:widowControl w:val="0"/>
        <w:kinsoku/>
        <w:wordWrap/>
        <w:overflowPunct/>
        <w:topLinePunct/>
        <w:autoSpaceDE w:val="0"/>
        <w:autoSpaceDN w:val="0"/>
        <w:bidi w:val="0"/>
        <w:adjustRightInd/>
        <w:snapToGrid w:val="0"/>
        <w:spacing w:line="400" w:lineRule="exact"/>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付款前，乙方应向甲方开具等额有效的增值税发票，甲方收到发票后10个工作日内将相应款项支付到合同约定的乙方账户；甲方未收到发票的，有权不予支付直至乙方提供合格发票，并不承担延迟付款责任。但乙方应按合同约定继续履行服务义务，确保甲方工作正常运转。当发生此等情况时，乙方有义务自行先向所派员工支付各种相关费用。 </w:t>
      </w:r>
    </w:p>
    <w:p>
      <w:pPr>
        <w:keepNext w:val="0"/>
        <w:keepLines w:val="0"/>
        <w:pageBreakBefore w:val="0"/>
        <w:widowControl w:val="0"/>
        <w:kinsoku/>
        <w:wordWrap/>
        <w:overflowPunct/>
        <w:topLinePunct/>
        <w:autoSpaceDE w:val="0"/>
        <w:autoSpaceDN w:val="0"/>
        <w:bidi w:val="0"/>
        <w:adjustRightInd/>
        <w:snapToGrid w:val="0"/>
        <w:spacing w:line="400" w:lineRule="exact"/>
        <w:ind w:firstLine="422" w:firstLineChars="200"/>
        <w:textAlignment w:val="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5.合同签订及生效</w:t>
      </w:r>
    </w:p>
    <w:p>
      <w:pPr>
        <w:pStyle w:val="30"/>
        <w:keepNext w:val="0"/>
        <w:keepLines w:val="0"/>
        <w:pageBreakBefore w:val="0"/>
        <w:widowControl w:val="0"/>
        <w:tabs>
          <w:tab w:val="left" w:pos="840"/>
        </w:tabs>
        <w:kinsoku/>
        <w:wordWrap/>
        <w:overflowPunct/>
        <w:bidi w:val="0"/>
        <w:adjustRightInd/>
        <w:snapToGrid w:val="0"/>
        <w:spacing w:line="400" w:lineRule="exact"/>
        <w:ind w:firstLine="420" w:firstLineChars="20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本合同一式</w:t>
      </w:r>
      <w:r>
        <w:rPr>
          <w:rFonts w:hint="eastAsia" w:asciiTheme="minorEastAsia" w:hAnsiTheme="minorEastAsia" w:eastAsiaTheme="minorEastAsia" w:cstheme="minorEastAsia"/>
          <w:sz w:val="21"/>
          <w:szCs w:val="21"/>
          <w:highlight w:val="none"/>
          <w:u w:val="single"/>
        </w:rPr>
        <w:t>七</w:t>
      </w:r>
      <w:r>
        <w:rPr>
          <w:rFonts w:hint="eastAsia" w:asciiTheme="minorEastAsia" w:hAnsiTheme="minorEastAsia" w:eastAsiaTheme="minorEastAsia" w:cstheme="minorEastAsia"/>
          <w:sz w:val="21"/>
          <w:szCs w:val="21"/>
          <w:highlight w:val="none"/>
        </w:rPr>
        <w:t>份，由甲乙双方法定代表人或被授权人签字并盖章后生效。</w:t>
      </w:r>
    </w:p>
    <w:p>
      <w:pPr>
        <w:pStyle w:val="30"/>
        <w:keepNext w:val="0"/>
        <w:keepLines w:val="0"/>
        <w:pageBreakBefore w:val="0"/>
        <w:widowControl w:val="0"/>
        <w:tabs>
          <w:tab w:val="left" w:pos="840"/>
        </w:tabs>
        <w:kinsoku/>
        <w:wordWrap/>
        <w:overflowPunct/>
        <w:bidi w:val="0"/>
        <w:adjustRightInd/>
        <w:snapToGrid w:val="0"/>
        <w:spacing w:line="400" w:lineRule="exact"/>
        <w:ind w:firstLine="420" w:firstLineChars="20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乙方由法定代表人签订合同的，应提供法定代表人身份证复印件；乙方由被授权人签订合同的，应提供授权委托书和法定代表人及被授权人身份证复印件。</w:t>
      </w:r>
    </w:p>
    <w:p>
      <w:pPr>
        <w:pStyle w:val="30"/>
        <w:keepNext w:val="0"/>
        <w:keepLines w:val="0"/>
        <w:pageBreakBefore w:val="0"/>
        <w:widowControl w:val="0"/>
        <w:tabs>
          <w:tab w:val="left" w:pos="840"/>
        </w:tabs>
        <w:kinsoku/>
        <w:wordWrap/>
        <w:overflowPunct/>
        <w:bidi w:val="0"/>
        <w:adjustRightInd/>
        <w:snapToGrid w:val="0"/>
        <w:spacing w:line="400" w:lineRule="exact"/>
        <w:ind w:firstLine="420" w:firstLineChars="200"/>
        <w:textAlignment w:val="auto"/>
        <w:rPr>
          <w:rFonts w:asciiTheme="minorEastAsia" w:hAnsiTheme="minorEastAsia" w:eastAsiaTheme="minorEastAsia" w:cstheme="minorEastAsia"/>
          <w:sz w:val="21"/>
          <w:szCs w:val="21"/>
          <w:highlight w:val="none"/>
        </w:rPr>
      </w:pPr>
    </w:p>
    <w:p>
      <w:pPr>
        <w:keepNext w:val="0"/>
        <w:keepLines w:val="0"/>
        <w:pageBreakBefore w:val="0"/>
        <w:widowControl w:val="0"/>
        <w:tabs>
          <w:tab w:val="left" w:pos="700"/>
        </w:tabs>
        <w:kinsoku/>
        <w:wordWrap/>
        <w:overflowPunct/>
        <w:topLinePunct/>
        <w:autoSpaceDE w:val="0"/>
        <w:autoSpaceDN w:val="0"/>
        <w:bidi w:val="0"/>
        <w:adjustRightInd/>
        <w:spacing w:line="400" w:lineRule="exac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甲方：国家税务总局南宁市税务局         乙方：</w:t>
      </w:r>
    </w:p>
    <w:p>
      <w:pPr>
        <w:keepNext w:val="0"/>
        <w:keepLines w:val="0"/>
        <w:pageBreakBefore w:val="0"/>
        <w:widowControl w:val="0"/>
        <w:tabs>
          <w:tab w:val="left" w:pos="700"/>
        </w:tabs>
        <w:kinsoku/>
        <w:wordWrap/>
        <w:overflowPunct/>
        <w:topLinePunct/>
        <w:autoSpaceDE w:val="0"/>
        <w:autoSpaceDN w:val="0"/>
        <w:bidi w:val="0"/>
        <w:adjustRightInd/>
        <w:spacing w:line="400" w:lineRule="exac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adjustRightInd/>
        <w:spacing w:line="400" w:lineRule="exac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adjustRightInd/>
        <w:spacing w:line="400" w:lineRule="exac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日期：    年    月    日               日期：     年   月   日</w:t>
      </w:r>
    </w:p>
    <w:p>
      <w:pPr>
        <w:topLinePunct/>
        <w:autoSpaceDE w:val="0"/>
        <w:autoSpaceDN w:val="0"/>
        <w:spacing w:line="360" w:lineRule="auto"/>
        <w:jc w:val="center"/>
        <w:rPr>
          <w:rFonts w:ascii="宋体" w:hAnsi="宋体" w:cs="宋体"/>
          <w:b/>
          <w:sz w:val="24"/>
        </w:rPr>
      </w:pPr>
      <w:r>
        <w:rPr>
          <w:rFonts w:ascii="宋体" w:hAnsi="宋体" w:cs="宋体"/>
          <w:b/>
          <w:sz w:val="24"/>
        </w:rPr>
        <w:br w:type="page"/>
      </w:r>
      <w:r>
        <w:rPr>
          <w:rFonts w:hint="eastAsia" w:ascii="宋体" w:hAnsi="宋体" w:cs="宋体"/>
          <w:b/>
          <w:sz w:val="24"/>
        </w:rPr>
        <w:t>二   合 同 通 用 条 款</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 定义</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本合同下列术语应解释为：</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1.1“甲方”是指国家税务总局南宁市税务局。</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1.1.1“甲方采购部门”见“合同条款前附表”第5项“甲方采购部门”。</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1.1.2“甲方需求部门”见“合同条款前附表”第5项“甲方需求部门”。</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1.2“乙方”见“合同条款前附表”第6项“乙方名称”。</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 “天”除非特别指出，“天”均为自然天。</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 标准</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 乙方为甲方交付或提供的服务应符合招标（采购）文件所述的标准，如果没有提及适用标准，则应符合相应的国家标准。这些标准必须是有关机构发布的最新版本的标准。</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 除非技术要求中另有规定，计量单位均采用中华人民共和国法定计量单位。</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 服务</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3.1 本项目的“服务”见“合同条款前附表”第8项“服务内容”。</w:t>
      </w:r>
    </w:p>
    <w:p>
      <w:pPr>
        <w:pStyle w:val="3"/>
        <w:keepNext w:val="0"/>
        <w:keepLines w:val="0"/>
        <w:pageBreakBefore w:val="0"/>
        <w:kinsoku/>
        <w:wordWrap/>
        <w:overflowPunct/>
        <w:bidi w:val="0"/>
        <w:adjustRightInd/>
        <w:snapToGrid/>
        <w:spacing w:line="440" w:lineRule="exact"/>
        <w:ind w:firstLine="407" w:firstLineChars="194"/>
        <w:textAlignment w:val="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3.2 拟投入本项目的人员已进驻其他项目致使无法参与本项目实施的，乙方应当征得甲方同意后，派遣等于或优于拟投入人员水平和资质的其他人员参与本项目。</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 乙方应保证所提供的服务符合合同规定的要求。如不符时，乙方应负全责并尽快处理解决，由此造成的损失和相关费用由乙方负责，甲方保留终止合同及索赔的权利。</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 乙方应保证通过执行合同中全部方案后，可以取得本合同约定的结果，达到本合同约定的预期目标。对任何情况下出现的问题，应尽快提出解决方案。</w:t>
      </w:r>
    </w:p>
    <w:p>
      <w:pPr>
        <w:keepNext w:val="0"/>
        <w:keepLines w:val="0"/>
        <w:pageBreakBefore w:val="0"/>
        <w:tabs>
          <w:tab w:val="left" w:pos="0"/>
          <w:tab w:val="left" w:pos="54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3.5如果乙方提供的服务和解决方案不符合甲方要求，或在规定的时间内没有弥补缺陷，甲方有权采取一切必要的补救措施，由此产生的费用全部由乙方负责。</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3.6除合同条款另行规定外，伴随服务的费用应含在合同价中，不单独进行支付。</w:t>
      </w:r>
    </w:p>
    <w:p>
      <w:pPr>
        <w:keepNext w:val="0"/>
        <w:keepLines w:val="0"/>
        <w:pageBreakBefore w:val="0"/>
        <w:tabs>
          <w:tab w:val="left" w:pos="0"/>
          <w:tab w:val="left" w:pos="540"/>
        </w:tabs>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 知识产权</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4.1 乙方应保证所提供的服务免受第三方提出侵犯其知识产权（专利权、商标权、软件著作权、版权等）的起诉。</w:t>
      </w:r>
    </w:p>
    <w:p>
      <w:pPr>
        <w:keepNext w:val="0"/>
        <w:keepLines w:val="0"/>
        <w:pageBreakBefore w:val="0"/>
        <w:tabs>
          <w:tab w:val="left" w:pos="0"/>
          <w:tab w:val="left" w:pos="540"/>
        </w:tabs>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tabs>
          <w:tab w:val="left" w:pos="0"/>
          <w:tab w:val="left" w:pos="540"/>
        </w:tabs>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 保密条款</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（1）应以审慎态度避免泄漏、公开或传播甲方的信息；</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（2）在开发过程中对数据的处理方式应事先得到甲方的许可；</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（3）未经甲方书面许可，不得对有关信息进行修改、补充、复制；</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（4）未经甲方书面许可，不得将信息以任何方式（如E-mail）携带出甲方场所；</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（5）未经甲方书面许可，不得将信息透露给任何其他人； </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（6）严禁在提交的软件产品中设置远程维护接口和后门程序；</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（7）不得进行系统软硬件设备的远程维护；</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（8）甲方以书面形式提出的其他保密措施。</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 保密期限不受合同有效期的限制，在合同有效期结束后，信息接受方仍应承担保密义务，直至该等信息成为公开信息。</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5.4 甲乙双方如出现泄密行为，泄密方应承担相关的法律责任，包括但是不限于对由此给对方造成的经济损失进行赔偿。</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6. 履约验收要求</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6.2具体履约验收要求详见招标（采购）文件。</w:t>
      </w:r>
    </w:p>
    <w:p>
      <w:pPr>
        <w:keepNext w:val="0"/>
        <w:keepLines w:val="0"/>
        <w:pageBreakBefore w:val="0"/>
        <w:tabs>
          <w:tab w:val="left" w:pos="0"/>
          <w:tab w:val="left" w:pos="540"/>
        </w:tabs>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7. 履约保证金</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7.1 需提交履约保证金的项目，乙方应按照“合同条款前附表”第 10 项“履约保证金及返还”提交履约保证金。</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7.2 履约保证金的金额可用于补偿甲方因乙方不能完成其合同义务而蒙受的损失。</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7.3如乙方未能按时支付合同约定的违约金、赔偿金、其他应付款项等的，甲方有权按照本合同的约定从履约保证金中扣除上述款项。乙方应在甲方扣除履约保证金后15天内，及时补充扣除部分金额。若逾期补充的，每日应按应补充金额的万分之五（0.05%）支付甲方违约金。</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7.4 乙方不履行合同、或者履行合同义务不符合约定使得合同目的不能实现，履约保证金不予退还，并应按合同约定支付违约金、赔偿金等。</w:t>
      </w:r>
    </w:p>
    <w:p>
      <w:pPr>
        <w:keepNext w:val="0"/>
        <w:keepLines w:val="0"/>
        <w:pageBreakBefore w:val="0"/>
        <w:tabs>
          <w:tab w:val="left" w:pos="700"/>
        </w:tabs>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7.5 履约保证金在合同履行期满后，扣除相应款项（如有）且双方无争议后，凭返还申请等资料一次性无息返还，详见“合同条款前附表”第10项“履约保证金及返还”。</w:t>
      </w:r>
    </w:p>
    <w:p>
      <w:pPr>
        <w:keepNext w:val="0"/>
        <w:keepLines w:val="0"/>
        <w:pageBreakBefore w:val="0"/>
        <w:tabs>
          <w:tab w:val="left" w:pos="0"/>
          <w:tab w:val="left" w:pos="540"/>
        </w:tabs>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8．履约延误</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8.1 乙方应按照本合同的规定提供服务。</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8.2 如乙方迟延履行合同义务，甲方将从应付合同总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8.4 除不可抗力和根据合同规定延期取得甲方同意而不收取误期违约金之外，乙方延误工期，将按合同规定被收取误期违约金。</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9. 违约责任</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9.3 除应支付甲方违约金等外，甲方有权根据合同或有关部门出具的检验证书向乙方提出索赔。</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9.4 如果乙方对差异负有责任而甲方提出索赔，乙方同意按照下列方式解决索赔事宜：</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10. 不可抗力</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10.1 本条所述的“不可抗力”系指双方不可预见、不可避免、不可克服的客观情况，但不包括双方的违约或疏忽。这些事件包括但不限于：战争、严重火灾、洪水、台风、地震等。</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10.2 如果乙方因不可抗力而导致合同实施延误或不能履行合同义务，不应承担误期赔偿或终止合同的责任。</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 争端的解决</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11.1 甲乙双方应首先通过友好协商解决在执行本合同中所发生的或与本合同有关的一切争端。如从协商开始</w:t>
      </w:r>
      <w:r>
        <w:rPr>
          <w:rFonts w:hint="eastAsia" w:asciiTheme="minorEastAsia" w:hAnsiTheme="minorEastAsia" w:eastAsiaTheme="minorEastAsia" w:cstheme="minorEastAsia"/>
          <w:sz w:val="21"/>
          <w:szCs w:val="21"/>
          <w:highlight w:val="none"/>
          <w:u w:val="single"/>
        </w:rPr>
        <w:t>30</w:t>
      </w:r>
      <w:r>
        <w:rPr>
          <w:rFonts w:hint="eastAsia" w:asciiTheme="minorEastAsia" w:hAnsiTheme="minorEastAsia" w:eastAsiaTheme="minorEastAsia" w:cstheme="minorEastAsia"/>
          <w:sz w:val="21"/>
          <w:szCs w:val="21"/>
          <w:highlight w:val="none"/>
        </w:rPr>
        <w:t>天内仍不能解决，可以按合同约定的方式提起仲裁或诉讼。</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11.2.1仲裁应向甲方所在地或仲裁委员会申请仲裁。</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11.2.2 仲裁裁决应为最终裁决，对双方均具有约束力。</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11.2.3 仲裁费除仲裁机关另有裁决外应由败诉方负担。</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11.2.4在仲裁期间，除正在进行仲裁部分外，本合同的其它部分应继续执行。</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11.3.1诉讼应向甲方所在地或</w:t>
      </w:r>
      <w:r>
        <w:rPr>
          <w:rFonts w:hint="eastAsia" w:asciiTheme="minorEastAsia" w:hAnsiTheme="minorEastAsia" w:eastAsiaTheme="minorEastAsia" w:cstheme="minorEastAsia"/>
          <w:sz w:val="21"/>
          <w:szCs w:val="21"/>
          <w:highlight w:val="none"/>
          <w:u w:val="single"/>
        </w:rPr>
        <w:t>项目所在地有管辖权的</w:t>
      </w:r>
      <w:r>
        <w:rPr>
          <w:rFonts w:hint="eastAsia" w:asciiTheme="minorEastAsia" w:hAnsiTheme="minorEastAsia" w:eastAsiaTheme="minorEastAsia" w:cstheme="minorEastAsia"/>
          <w:sz w:val="21"/>
          <w:szCs w:val="21"/>
          <w:highlight w:val="none"/>
        </w:rPr>
        <w:t>人民法院提起诉讼。</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11.3.2诉讼费除人民法院另有判决外，应由败诉方负担。</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11.3.3在诉讼期间，除正在进行诉讼部分外，本合同的其它部分应继续执行。</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 违约终止合同</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12.1.1 乙方不履行合同义务或者履行合同义务不符合合同约定累计达两次的；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12.1.2 如果乙方未能在合同规定的期限或甲方同意延长的期限内提供服务，迟延累计达20日的；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12.1.3 因乙方人员自身技术能力、经验不足等问题造成甲方发生重大紧急故障，带来重大影响和损失的；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12.1.4 乙方对重大紧急故障没有及时响应，或不能在规定时间内解决处理故障、恢复正常运行的；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12.1.5乙方不能满足本项目技术需求的管理要求和规范，且经两次整改无明显改进的；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12.1.7 乙方在本项目实施过程中发生违反网络安全规定行为造成不良后果的。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12.1.8 乙方提供的服务侵犯甲方、第三方知识产权等合法权益的；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12.1.9 乙方或乙方人员造成甲方或第三方经济损失而拒不赔偿的；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12.1.10 乙方转让其应履行的合同义务，或未经甲方同意采取分包方式履行合同</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12.1.11 乙方有其他严重违约行为的。</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13. 破产终止合同</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13.1 如果乙方破产或无清偿能力，甲方可在任何时候以书面形式通知乙方终止合同而不给乙方补偿。</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13.2该终止合同将不损害或影响甲方已经采取或将要采取的任何行动或补救措施的权利。</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14. 其他情况的终止合同</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14.1 乙方在执行合同的过程中发生重大事故或变故，对履行合同有直接影响的，甲方可以提出终止合同而不给予乙方任何补偿。</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14.2 在服务期内，由于甲方工作计划调整，推广使用新应用系统导致本项目相关服务停止的，甲方可以提出终止合同而不给予乙方任何补偿。</w:t>
      </w:r>
    </w:p>
    <w:p>
      <w:pPr>
        <w:keepNext w:val="0"/>
        <w:keepLines w:val="0"/>
        <w:pageBreakBefore w:val="0"/>
        <w:tabs>
          <w:tab w:val="left" w:pos="700"/>
        </w:tabs>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15. 合同修改或变更</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15.1 合同如有未尽事宜，须经甲乙双方共同协商，做出补充约定，并签订书面补充合同或变更协议。补充合同或变更协议作为本合同的一部分，与本合同具有同等效力。</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15.2 除了双方签署书面修改或变更协议，并成为本合同不可分割的一部分的情况之外，本合同的条款不得有任何变化或修改。</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15.3 由于采购人项目统一规划等原因导致本项目停止部分服务的，甲方将与乙方协商处理。</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16. 转让和分包</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16.1 除甲方事先书面同意外，乙方不得部分转让或全部转让其应履行的合同义务。</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16.2 未经甲方同意，乙方不得采取分包方式履行合同。经甲方同意分包履行合同的，乙方就采购项目及分包项目向甲方负责，分包供应商就分包项目承担责任。</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17. 合同语言</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17.1 本合同语言为中文。</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17.2 双方交换的与合同有关的信件和其他文件应用合同语言书写。</w:t>
      </w:r>
    </w:p>
    <w:p>
      <w:pPr>
        <w:keepNext w:val="0"/>
        <w:keepLines w:val="0"/>
        <w:pageBreakBefore w:val="0"/>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18. 适用法律</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18.1 本合同按照中华人民共和国现行法律进行解释。</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18.2 本合同的履行、违约责任和解决争议的方法等适用《中华人民共和国民法典（合同编）》。</w:t>
      </w:r>
    </w:p>
    <w:p>
      <w:pPr>
        <w:keepNext w:val="0"/>
        <w:keepLines w:val="0"/>
        <w:pageBreakBefore w:val="0"/>
        <w:kinsoku/>
        <w:wordWrap/>
        <w:overflowPunct/>
        <w:topLinePunct/>
        <w:autoSpaceDE w:val="0"/>
        <w:autoSpaceDN w:val="0"/>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19. 税费</w:t>
      </w:r>
    </w:p>
    <w:p>
      <w:pPr>
        <w:keepNext w:val="0"/>
        <w:keepLines w:val="0"/>
        <w:pageBreakBefore w:val="0"/>
        <w:kinsoku/>
        <w:wordWrap/>
        <w:overflowPunct/>
        <w:topLinePunct/>
        <w:autoSpaceDE w:val="0"/>
        <w:autoSpaceDN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19.1 乙方应依法缴纳的合同服务相关税费，均已包含于合同总金额中，甲方不再另行支付。</w:t>
      </w:r>
    </w:p>
    <w:p>
      <w:pPr>
        <w:keepNext w:val="0"/>
        <w:keepLines w:val="0"/>
        <w:pageBreakBefore w:val="0"/>
        <w:tabs>
          <w:tab w:val="left" w:pos="700"/>
        </w:tabs>
        <w:kinsoku/>
        <w:wordWrap/>
        <w:overflowPunct/>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20. 合同生效</w:t>
      </w:r>
    </w:p>
    <w:p>
      <w:pPr>
        <w:keepNext w:val="0"/>
        <w:keepLines w:val="0"/>
        <w:pageBreakBefore w:val="0"/>
        <w:kinsoku/>
        <w:wordWrap/>
        <w:overflowPunct/>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20.1 本合同一式</w:t>
      </w:r>
      <w:r>
        <w:rPr>
          <w:rFonts w:hint="eastAsia" w:asciiTheme="minorEastAsia" w:hAnsiTheme="minorEastAsia" w:eastAsiaTheme="minorEastAsia" w:cstheme="minorEastAsia"/>
          <w:sz w:val="21"/>
          <w:szCs w:val="21"/>
          <w:highlight w:val="none"/>
          <w:u w:val="single"/>
        </w:rPr>
        <w:t>七</w:t>
      </w:r>
      <w:r>
        <w:rPr>
          <w:rFonts w:hint="eastAsia" w:asciiTheme="minorEastAsia" w:hAnsiTheme="minorEastAsia" w:eastAsiaTheme="minorEastAsia" w:cstheme="minorEastAsia"/>
          <w:sz w:val="21"/>
          <w:szCs w:val="21"/>
          <w:highlight w:val="none"/>
        </w:rPr>
        <w:t>份，由甲乙双方法定代表人或被授权人签字并盖章后生效。</w:t>
      </w:r>
    </w:p>
    <w:p>
      <w:pPr>
        <w:keepNext w:val="0"/>
        <w:keepLines w:val="0"/>
        <w:pageBreakBefore w:val="0"/>
        <w:kinsoku/>
        <w:wordWrap/>
        <w:overflowPunct/>
        <w:bidi w:val="0"/>
        <w:adjustRightInd/>
        <w:snapToGrid/>
        <w:spacing w:line="4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pPr>
        <w:pStyle w:val="10"/>
      </w:pPr>
    </w:p>
    <w:p>
      <w:pPr>
        <w:topLinePunct/>
        <w:autoSpaceDE w:val="0"/>
        <w:autoSpaceDN w:val="0"/>
        <w:spacing w:line="360" w:lineRule="auto"/>
        <w:jc w:val="center"/>
        <w:rPr>
          <w:rFonts w:ascii="宋体" w:hAnsi="宋体" w:cs="宋体"/>
          <w:b/>
          <w:sz w:val="24"/>
        </w:rPr>
      </w:pPr>
      <w:bookmarkStart w:id="82" w:name="_Toc21375"/>
      <w:r>
        <w:rPr>
          <w:rFonts w:hint="eastAsia" w:ascii="宋体" w:hAnsi="宋体" w:cs="宋体"/>
          <w:b/>
          <w:sz w:val="24"/>
          <w:szCs w:val="24"/>
        </w:rPr>
        <w:t>三</w:t>
      </w:r>
      <w:bookmarkEnd w:id="82"/>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
          <w:sz w:val="24"/>
        </w:rPr>
        <w:t>招标（采购）文件及投标（响应）文件（如需要，可另附）</w:t>
      </w:r>
    </w:p>
    <w:p>
      <w:pPr>
        <w:topLinePunct/>
        <w:autoSpaceDE w:val="0"/>
        <w:autoSpaceDN w:val="0"/>
        <w:spacing w:line="360" w:lineRule="auto"/>
        <w:jc w:val="center"/>
        <w:outlineLvl w:val="0"/>
        <w:rPr>
          <w:rFonts w:ascii="宋体" w:hAnsi="宋体" w:cs="宋体"/>
          <w:b/>
          <w:sz w:val="24"/>
          <w:szCs w:val="24"/>
        </w:rPr>
      </w:pPr>
    </w:p>
    <w:p>
      <w:pPr>
        <w:spacing w:line="360" w:lineRule="auto"/>
        <w:jc w:val="center"/>
        <w:rPr>
          <w:sz w:val="24"/>
          <w:szCs w:val="24"/>
        </w:rPr>
      </w:pPr>
      <w:r>
        <w:rPr>
          <w:rFonts w:hint="eastAsia" w:ascii="宋体" w:hAnsi="宋体" w:cs="宋体"/>
          <w:sz w:val="24"/>
        </w:rPr>
        <w:br w:type="page"/>
      </w:r>
      <w:r>
        <w:rPr>
          <w:rFonts w:hint="eastAsia" w:ascii="宋体" w:hAnsi="宋体" w:cs="宋体"/>
          <w:b/>
          <w:sz w:val="24"/>
          <w:szCs w:val="24"/>
        </w:rPr>
        <w:t xml:space="preserve">四  </w:t>
      </w:r>
      <w:r>
        <w:rPr>
          <w:rFonts w:hint="eastAsia" w:ascii="宋体" w:hAnsi="宋体" w:cs="宋体"/>
          <w:b/>
          <w:sz w:val="24"/>
          <w:szCs w:val="24"/>
          <w:lang w:val="en-US" w:eastAsia="zh-CN"/>
        </w:rPr>
        <w:t xml:space="preserve"> </w:t>
      </w:r>
      <w:r>
        <w:rPr>
          <w:rFonts w:hint="eastAsia" w:ascii="宋体" w:hAnsi="宋体" w:cs="宋体"/>
          <w:b/>
          <w:sz w:val="24"/>
        </w:rPr>
        <w:t>报价表（总报价表和分项报价表，如有需要可另附）</w:t>
      </w:r>
    </w:p>
    <w:p>
      <w:pPr>
        <w:pStyle w:val="10"/>
        <w:sectPr>
          <w:pgSz w:w="11906" w:h="16838"/>
          <w:pgMar w:top="1417" w:right="1417" w:bottom="1417" w:left="1417" w:header="851" w:footer="992" w:gutter="0"/>
          <w:cols w:space="720" w:num="1"/>
          <w:titlePg/>
          <w:docGrid w:type="lines" w:linePitch="312" w:charSpace="0"/>
        </w:sectPr>
      </w:pPr>
      <w:r>
        <w:br w:type="page"/>
      </w:r>
    </w:p>
    <w:p>
      <w:pPr>
        <w:pStyle w:val="4"/>
        <w:jc w:val="center"/>
        <w:rPr>
          <w:rFonts w:ascii="黑体" w:hAnsi="黑体" w:eastAsia="黑体" w:cs="黑体"/>
          <w:szCs w:val="32"/>
        </w:rPr>
      </w:pPr>
      <w:bookmarkStart w:id="83" w:name="_Toc132880284"/>
      <w:bookmarkStart w:id="84" w:name="_Toc3278"/>
      <w:r>
        <w:rPr>
          <w:rFonts w:hint="eastAsia"/>
        </w:rPr>
        <w:t>第五章　投标文件格式</w:t>
      </w:r>
      <w:bookmarkEnd w:id="83"/>
      <w:bookmarkEnd w:id="84"/>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outlineLvl w:val="1"/>
        <w:rPr>
          <w:rFonts w:asciiTheme="minorEastAsia" w:hAnsiTheme="minorEastAsia" w:eastAsiaTheme="minorEastAsia" w:cstheme="minorEastAsia"/>
          <w:szCs w:val="21"/>
        </w:rPr>
      </w:pPr>
      <w:bookmarkStart w:id="85" w:name="_Toc14449"/>
      <w:bookmarkStart w:id="86" w:name="_Toc29571"/>
      <w:bookmarkStart w:id="87" w:name="_Toc27754"/>
      <w:r>
        <w:rPr>
          <w:rFonts w:hint="eastAsia" w:asciiTheme="minorEastAsia" w:hAnsiTheme="minorEastAsia" w:eastAsiaTheme="minorEastAsia" w:cstheme="minorEastAsia"/>
          <w:szCs w:val="21"/>
        </w:rPr>
        <w:t>2.所附表格中要求回答的全部问题和信息都必须正面回答。</w:t>
      </w:r>
      <w:bookmarkEnd w:id="85"/>
      <w:bookmarkEnd w:id="86"/>
      <w:bookmarkEnd w:id="87"/>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outlineLvl w:val="1"/>
        <w:rPr>
          <w:rFonts w:asciiTheme="minorEastAsia" w:hAnsiTheme="minorEastAsia" w:eastAsiaTheme="minorEastAsia" w:cstheme="minorEastAsia"/>
          <w:szCs w:val="21"/>
        </w:rPr>
      </w:pPr>
      <w:bookmarkStart w:id="88" w:name="_Toc13930"/>
      <w:bookmarkStart w:id="89" w:name="_Toc21270"/>
      <w:bookmarkStart w:id="90" w:name="_Toc3695"/>
      <w:r>
        <w:rPr>
          <w:rFonts w:hint="eastAsia" w:asciiTheme="minorEastAsia" w:hAnsiTheme="minorEastAsia" w:eastAsiaTheme="minorEastAsia" w:cstheme="minorEastAsia"/>
          <w:szCs w:val="21"/>
        </w:rPr>
        <w:t>5.全部文件应按投标人须知中规定的语言提交。</w:t>
      </w:r>
      <w:bookmarkEnd w:id="88"/>
      <w:bookmarkEnd w:id="89"/>
      <w:bookmarkEnd w:id="90"/>
    </w:p>
    <w:p>
      <w:pPr>
        <w:keepNext w:val="0"/>
        <w:keepLines w:val="0"/>
        <w:pageBreakBefore w:val="0"/>
        <w:widowControl w:val="0"/>
        <w:kinsoku/>
        <w:wordWrap/>
        <w:overflowPunct/>
        <w:topLinePunct/>
        <w:autoSpaceDE w:val="0"/>
        <w:autoSpaceDN w:val="0"/>
        <w:bidi w:val="0"/>
        <w:adjustRightInd w:val="0"/>
        <w:snapToGrid w:val="0"/>
        <w:spacing w:line="44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rPr>
      </w:pPr>
    </w:p>
    <w:p>
      <w:pPr>
        <w:ind w:firstLine="422" w:firstLineChars="200"/>
        <w:jc w:val="center"/>
        <w:rPr>
          <w:b/>
          <w:bCs/>
        </w:rPr>
      </w:pPr>
    </w:p>
    <w:p/>
    <w:p>
      <w:pPr>
        <w:rPr>
          <w:b/>
          <w:bCs/>
        </w:rPr>
      </w:pPr>
    </w:p>
    <w:p>
      <w:pPr>
        <w:adjustRightInd w:val="0"/>
        <w:snapToGrid w:val="0"/>
        <w:spacing w:line="360" w:lineRule="auto"/>
        <w:jc w:val="center"/>
        <w:rPr>
          <w:b/>
          <w:bCs/>
        </w:rPr>
      </w:pPr>
      <w:r>
        <w:rPr>
          <w:rFonts w:hint="eastAsia"/>
          <w:b/>
          <w:bCs/>
        </w:rPr>
        <w:br w:type="page"/>
      </w:r>
    </w:p>
    <w:p>
      <w:pPr>
        <w:spacing w:line="600" w:lineRule="auto"/>
        <w:jc w:val="center"/>
        <w:rPr>
          <w:rFonts w:ascii="华文中宋" w:hAnsi="华文中宋" w:eastAsia="华文中宋" w:cs="华文中宋"/>
          <w:bCs/>
          <w:kern w:val="0"/>
          <w:sz w:val="32"/>
          <w:szCs w:val="32"/>
        </w:rPr>
      </w:pPr>
    </w:p>
    <w:p>
      <w:pPr>
        <w:spacing w:line="600" w:lineRule="auto"/>
        <w:jc w:val="center"/>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投  标  文  件</w:t>
      </w:r>
    </w:p>
    <w:p>
      <w:pPr>
        <w:spacing w:line="600" w:lineRule="auto"/>
        <w:jc w:val="center"/>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商务部分</w:t>
      </w:r>
    </w:p>
    <w:p>
      <w:pPr>
        <w:spacing w:line="360" w:lineRule="auto"/>
        <w:ind w:firstLine="640" w:firstLineChars="200"/>
        <w:jc w:val="center"/>
        <w:rPr>
          <w:rFonts w:asciiTheme="minorEastAsia" w:hAnsiTheme="minorEastAsia" w:eastAsiaTheme="minorEastAsia" w:cstheme="minorEastAsia"/>
          <w:kern w:val="0"/>
          <w:sz w:val="32"/>
          <w:szCs w:val="32"/>
        </w:rPr>
      </w:pPr>
    </w:p>
    <w:p>
      <w:pPr>
        <w:pStyle w:val="8"/>
        <w:numPr>
          <w:ilvl w:val="0"/>
          <w:numId w:val="0"/>
        </w:numPr>
        <w:ind w:left="420" w:leftChars="200"/>
      </w:pPr>
    </w:p>
    <w:p>
      <w:pPr>
        <w:spacing w:line="360" w:lineRule="auto"/>
        <w:jc w:val="cente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（填写正本或副本）</w:t>
      </w:r>
    </w:p>
    <w:p>
      <w:pPr>
        <w:spacing w:line="360" w:lineRule="auto"/>
        <w:ind w:firstLine="480" w:firstLineChars="200"/>
        <w:jc w:val="center"/>
        <w:rPr>
          <w:rFonts w:asciiTheme="minorEastAsia" w:hAnsiTheme="minorEastAsia" w:eastAsiaTheme="minorEastAsia" w:cstheme="minorEastAsia"/>
          <w:bCs/>
          <w:kern w:val="0"/>
          <w:sz w:val="24"/>
          <w:szCs w:val="24"/>
        </w:rPr>
      </w:pPr>
    </w:p>
    <w:p>
      <w:pPr>
        <w:pStyle w:val="8"/>
        <w:numPr>
          <w:ilvl w:val="0"/>
          <w:numId w:val="0"/>
        </w:numPr>
        <w:ind w:left="420" w:leftChars="200"/>
      </w:pP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项目名称：</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项目编号：</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所投采购包：</w:t>
      </w:r>
    </w:p>
    <w:p>
      <w:pPr>
        <w:spacing w:line="360" w:lineRule="auto"/>
        <w:ind w:left="1470" w:leftChars="700" w:firstLine="480" w:firstLineChars="200"/>
        <w:jc w:val="center"/>
        <w:rPr>
          <w:rFonts w:asciiTheme="minorEastAsia" w:hAnsiTheme="minorEastAsia" w:eastAsiaTheme="minorEastAsia" w:cstheme="minorEastAsia"/>
          <w:bCs/>
          <w:kern w:val="0"/>
          <w:sz w:val="24"/>
          <w:szCs w:val="24"/>
        </w:rPr>
      </w:pP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投标人：</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日  期：</w:t>
      </w:r>
    </w:p>
    <w:p>
      <w:pPr>
        <w:widowControl/>
        <w:jc w:val="left"/>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adjustRightInd w:val="0"/>
        <w:snapToGrid w:val="0"/>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格式1  </w:t>
      </w:r>
      <w:r>
        <w:rPr>
          <w:rFonts w:hint="eastAsia" w:cs="宋体" w:asciiTheme="minorEastAsia" w:hAnsiTheme="minorEastAsia" w:eastAsiaTheme="minorEastAsia"/>
          <w:b/>
          <w:bCs/>
          <w:sz w:val="28"/>
          <w:szCs w:val="28"/>
        </w:rPr>
        <w:t>投标人基本情况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供应商名称</w:t>
            </w:r>
          </w:p>
        </w:tc>
        <w:tc>
          <w:tcPr>
            <w:tcW w:w="1229" w:type="pct"/>
            <w:gridSpan w:val="2"/>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法定代表人</w:t>
            </w: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统一社会信用代码</w:t>
            </w:r>
          </w:p>
        </w:tc>
        <w:tc>
          <w:tcPr>
            <w:tcW w:w="1229" w:type="pct"/>
            <w:gridSpan w:val="2"/>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邮政编码</w:t>
            </w: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授权代表</w:t>
            </w:r>
          </w:p>
        </w:tc>
        <w:tc>
          <w:tcPr>
            <w:tcW w:w="1229" w:type="pct"/>
            <w:gridSpan w:val="2"/>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联系电话</w:t>
            </w: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电子邮箱</w:t>
            </w:r>
          </w:p>
        </w:tc>
        <w:tc>
          <w:tcPr>
            <w:tcW w:w="1229" w:type="pct"/>
            <w:gridSpan w:val="2"/>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传真</w:t>
            </w: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上年营业收入</w:t>
            </w:r>
          </w:p>
        </w:tc>
        <w:tc>
          <w:tcPr>
            <w:tcW w:w="1229" w:type="pct"/>
            <w:gridSpan w:val="2"/>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员工总人数</w:t>
            </w: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r>
              <w:rPr>
                <w:rFonts w:hint="eastAsia" w:ascii="Times New Roman" w:hAnsi="Times New Roman"/>
              </w:rPr>
              <w:t>基本账户开户行及账号</w:t>
            </w:r>
          </w:p>
        </w:tc>
        <w:tc>
          <w:tcPr>
            <w:tcW w:w="3462" w:type="pct"/>
            <w:gridSpan w:val="3"/>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r>
              <w:rPr>
                <w:rFonts w:hint="eastAsia" w:ascii="Times New Roman" w:hAnsi="Times New Roman"/>
              </w:rPr>
              <w:t>税务登记机关</w:t>
            </w:r>
          </w:p>
        </w:tc>
        <w:tc>
          <w:tcPr>
            <w:tcW w:w="3462" w:type="pct"/>
            <w:gridSpan w:val="3"/>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r>
              <w:rPr>
                <w:rFonts w:hint="eastAsia" w:ascii="Times New Roman" w:hAnsi="Times New Roman"/>
              </w:rPr>
              <w:t>资质名称</w:t>
            </w:r>
          </w:p>
        </w:tc>
        <w:tc>
          <w:tcPr>
            <w:tcW w:w="902" w:type="pct"/>
            <w:noWrap/>
            <w:vAlign w:val="center"/>
          </w:tcPr>
          <w:p>
            <w:pPr>
              <w:pStyle w:val="13"/>
              <w:spacing w:line="360" w:lineRule="auto"/>
              <w:jc w:val="center"/>
              <w:rPr>
                <w:rFonts w:ascii="Times New Roman" w:hAnsi="Times New Roman"/>
              </w:rPr>
            </w:pPr>
            <w:r>
              <w:rPr>
                <w:rFonts w:hint="eastAsia" w:ascii="Times New Roman" w:hAnsi="Times New Roman"/>
              </w:rPr>
              <w:t>等级</w:t>
            </w:r>
          </w:p>
        </w:tc>
        <w:tc>
          <w:tcPr>
            <w:tcW w:w="986" w:type="pct"/>
            <w:noWrap/>
            <w:vAlign w:val="center"/>
          </w:tcPr>
          <w:p>
            <w:pPr>
              <w:pStyle w:val="13"/>
              <w:spacing w:line="360" w:lineRule="auto"/>
              <w:jc w:val="center"/>
              <w:rPr>
                <w:rFonts w:ascii="Times New Roman" w:hAnsi="Times New Roman"/>
              </w:rPr>
            </w:pPr>
            <w:r>
              <w:rPr>
                <w:rFonts w:hint="eastAsia" w:ascii="Times New Roman" w:hAnsi="Times New Roman"/>
              </w:rPr>
              <w:t>发证机关</w:t>
            </w:r>
          </w:p>
        </w:tc>
        <w:tc>
          <w:tcPr>
            <w:tcW w:w="1574" w:type="pct"/>
            <w:noWrap/>
            <w:vAlign w:val="center"/>
          </w:tcPr>
          <w:p>
            <w:pPr>
              <w:pStyle w:val="13"/>
              <w:spacing w:line="360" w:lineRule="auto"/>
              <w:jc w:val="center"/>
              <w:rPr>
                <w:rFonts w:ascii="Times New Roman" w:hAnsi="Times New Roman"/>
              </w:rPr>
            </w:pPr>
            <w:r>
              <w:rPr>
                <w:rFonts w:hint="eastAsia" w:ascii="Times New Roman" w:hAnsi="Times New Roma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p>
        </w:tc>
        <w:tc>
          <w:tcPr>
            <w:tcW w:w="902" w:type="pct"/>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p>
        </w:tc>
        <w:tc>
          <w:tcPr>
            <w:tcW w:w="902" w:type="pct"/>
            <w:noWrap/>
            <w:vAlign w:val="center"/>
          </w:tcPr>
          <w:p>
            <w:pPr>
              <w:pStyle w:val="13"/>
              <w:spacing w:line="360" w:lineRule="auto"/>
              <w:jc w:val="center"/>
              <w:rPr>
                <w:rFonts w:ascii="Times New Roman" w:hAnsi="Times New Roman"/>
              </w:rPr>
            </w:pPr>
          </w:p>
        </w:tc>
        <w:tc>
          <w:tcPr>
            <w:tcW w:w="986" w:type="pct"/>
            <w:noWrap/>
            <w:vAlign w:val="center"/>
          </w:tcPr>
          <w:p>
            <w:pPr>
              <w:pStyle w:val="13"/>
              <w:spacing w:line="360" w:lineRule="auto"/>
              <w:jc w:val="center"/>
              <w:rPr>
                <w:rFonts w:ascii="Times New Roman" w:hAnsi="Times New Roman"/>
              </w:rPr>
            </w:pPr>
          </w:p>
        </w:tc>
        <w:tc>
          <w:tcPr>
            <w:tcW w:w="1574" w:type="pct"/>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pStyle w:val="13"/>
              <w:spacing w:line="360" w:lineRule="auto"/>
              <w:jc w:val="center"/>
              <w:rPr>
                <w:rFonts w:ascii="Times New Roman" w:hAnsi="Times New Roman"/>
              </w:rPr>
            </w:pPr>
            <w:r>
              <w:rPr>
                <w:rFonts w:hint="eastAsia" w:hAnsi="宋体"/>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widowControl/>
              <w:spacing w:line="360" w:lineRule="auto"/>
              <w:contextualSpacing/>
              <w:jc w:val="center"/>
              <w:rPr>
                <w:rFonts w:ascii="Times New Roman" w:hAnsi="Times New Roman"/>
                <w:szCs w:val="21"/>
              </w:rPr>
            </w:pPr>
            <w:r>
              <w:rPr>
                <w:rFonts w:hint="eastAsia" w:ascii="宋体" w:hAnsi="宋体" w:cs="宋体"/>
                <w:bCs/>
                <w:kern w:val="0"/>
                <w:szCs w:val="21"/>
              </w:rPr>
              <w:t>直接控股股东名称</w:t>
            </w:r>
          </w:p>
        </w:tc>
        <w:tc>
          <w:tcPr>
            <w:tcW w:w="902" w:type="pct"/>
            <w:noWrap/>
            <w:vAlign w:val="center"/>
          </w:tcPr>
          <w:p>
            <w:pPr>
              <w:widowControl/>
              <w:spacing w:line="360" w:lineRule="auto"/>
              <w:contextualSpacing/>
              <w:jc w:val="center"/>
              <w:rPr>
                <w:rFonts w:ascii="Times New Roman" w:hAnsi="Times New Roman"/>
                <w:szCs w:val="21"/>
              </w:rPr>
            </w:pPr>
            <w:r>
              <w:rPr>
                <w:rFonts w:hint="eastAsia" w:ascii="宋体" w:hAnsi="宋体" w:cs="宋体"/>
                <w:bCs/>
                <w:kern w:val="0"/>
                <w:szCs w:val="21"/>
              </w:rPr>
              <w:t>出资比例</w:t>
            </w:r>
          </w:p>
        </w:tc>
        <w:tc>
          <w:tcPr>
            <w:tcW w:w="2560" w:type="pct"/>
            <w:gridSpan w:val="2"/>
            <w:noWrap/>
            <w:vAlign w:val="center"/>
          </w:tcPr>
          <w:p>
            <w:pPr>
              <w:widowControl/>
              <w:spacing w:line="360" w:lineRule="auto"/>
              <w:contextualSpacing/>
              <w:jc w:val="center"/>
              <w:rPr>
                <w:rFonts w:ascii="Times New Roman" w:hAnsi="Times New Roman"/>
                <w:szCs w:val="21"/>
              </w:rPr>
            </w:pPr>
            <w:r>
              <w:rPr>
                <w:rFonts w:hint="eastAsia" w:ascii="宋体" w:hAnsi="宋体" w:cs="宋体"/>
                <w:bCs/>
                <w:kern w:val="0"/>
                <w:szCs w:val="21"/>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p>
        </w:tc>
        <w:tc>
          <w:tcPr>
            <w:tcW w:w="902" w:type="pct"/>
            <w:noWrap/>
            <w:vAlign w:val="center"/>
          </w:tcPr>
          <w:p>
            <w:pPr>
              <w:pStyle w:val="13"/>
              <w:spacing w:line="360" w:lineRule="auto"/>
              <w:jc w:val="center"/>
              <w:rPr>
                <w:rFonts w:ascii="Times New Roman" w:hAnsi="Times New Roman"/>
              </w:rPr>
            </w:pPr>
          </w:p>
        </w:tc>
        <w:tc>
          <w:tcPr>
            <w:tcW w:w="2560" w:type="pct"/>
            <w:gridSpan w:val="2"/>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p>
        </w:tc>
        <w:tc>
          <w:tcPr>
            <w:tcW w:w="902" w:type="pct"/>
            <w:noWrap/>
            <w:vAlign w:val="center"/>
          </w:tcPr>
          <w:p>
            <w:pPr>
              <w:pStyle w:val="13"/>
              <w:spacing w:line="360" w:lineRule="auto"/>
              <w:jc w:val="center"/>
              <w:rPr>
                <w:rFonts w:ascii="Times New Roman" w:hAnsi="Times New Roman"/>
              </w:rPr>
            </w:pPr>
          </w:p>
        </w:tc>
        <w:tc>
          <w:tcPr>
            <w:tcW w:w="2560" w:type="pct"/>
            <w:gridSpan w:val="2"/>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13"/>
              <w:spacing w:line="360" w:lineRule="auto"/>
              <w:jc w:val="center"/>
              <w:rPr>
                <w:rFonts w:ascii="Times New Roman" w:hAnsi="Times New Roman"/>
              </w:rPr>
            </w:pPr>
          </w:p>
        </w:tc>
        <w:tc>
          <w:tcPr>
            <w:tcW w:w="902" w:type="pct"/>
            <w:noWrap/>
            <w:vAlign w:val="center"/>
          </w:tcPr>
          <w:p>
            <w:pPr>
              <w:pStyle w:val="13"/>
              <w:spacing w:line="360" w:lineRule="auto"/>
              <w:jc w:val="center"/>
              <w:rPr>
                <w:rFonts w:ascii="Times New Roman" w:hAnsi="Times New Roman"/>
              </w:rPr>
            </w:pPr>
          </w:p>
        </w:tc>
        <w:tc>
          <w:tcPr>
            <w:tcW w:w="2560" w:type="pct"/>
            <w:gridSpan w:val="2"/>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pStyle w:val="13"/>
              <w:spacing w:line="360" w:lineRule="auto"/>
              <w:jc w:val="center"/>
              <w:rPr>
                <w:rFonts w:ascii="Times New Roman" w:hAnsi="Times New Roman"/>
              </w:rPr>
            </w:pPr>
            <w:r>
              <w:rPr>
                <w:rFonts w:hint="eastAsia" w:hAnsi="宋体"/>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widowControl/>
              <w:spacing w:line="360" w:lineRule="auto"/>
              <w:contextualSpacing/>
              <w:jc w:val="center"/>
              <w:rPr>
                <w:rFonts w:ascii="Times New Roman" w:hAnsi="Times New Roman"/>
                <w:szCs w:val="21"/>
              </w:rPr>
            </w:pPr>
            <w:r>
              <w:rPr>
                <w:rFonts w:hint="eastAsia" w:ascii="宋体" w:hAnsi="宋体" w:cs="宋体"/>
                <w:bCs/>
                <w:kern w:val="0"/>
                <w:szCs w:val="21"/>
              </w:rPr>
              <w:t>直接管理关系单位名称</w:t>
            </w:r>
          </w:p>
        </w:tc>
        <w:tc>
          <w:tcPr>
            <w:tcW w:w="2560" w:type="pct"/>
            <w:gridSpan w:val="2"/>
            <w:noWrap/>
            <w:vAlign w:val="center"/>
          </w:tcPr>
          <w:p>
            <w:pPr>
              <w:pStyle w:val="13"/>
              <w:jc w:val="center"/>
              <w:rPr>
                <w:rFonts w:ascii="Times New Roman" w:hAnsi="Times New Roman"/>
              </w:rPr>
            </w:pPr>
            <w:r>
              <w:rPr>
                <w:rFonts w:hint="eastAsia" w:hAnsi="宋体"/>
                <w:bCs/>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13"/>
              <w:spacing w:line="360" w:lineRule="auto"/>
              <w:jc w:val="center"/>
              <w:rPr>
                <w:rFonts w:ascii="Times New Roman" w:hAnsi="Times New Roman"/>
              </w:rPr>
            </w:pPr>
          </w:p>
        </w:tc>
        <w:tc>
          <w:tcPr>
            <w:tcW w:w="2560" w:type="pct"/>
            <w:gridSpan w:val="2"/>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13"/>
              <w:spacing w:line="360" w:lineRule="auto"/>
              <w:jc w:val="center"/>
              <w:rPr>
                <w:rFonts w:ascii="Times New Roman" w:hAnsi="Times New Roman"/>
              </w:rPr>
            </w:pPr>
          </w:p>
        </w:tc>
        <w:tc>
          <w:tcPr>
            <w:tcW w:w="2560" w:type="pct"/>
            <w:gridSpan w:val="2"/>
            <w:noWrap/>
            <w:vAlign w:val="center"/>
          </w:tcPr>
          <w:p>
            <w:pPr>
              <w:pStyle w:val="13"/>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13"/>
              <w:spacing w:line="360" w:lineRule="auto"/>
              <w:jc w:val="center"/>
              <w:rPr>
                <w:rFonts w:ascii="Times New Roman" w:hAnsi="Times New Roman"/>
              </w:rPr>
            </w:pPr>
            <w:r>
              <w:rPr>
                <w:rFonts w:hint="eastAsia" w:ascii="Times New Roman" w:hAnsi="Times New Roman"/>
              </w:rPr>
              <w:t>备注</w:t>
            </w:r>
          </w:p>
        </w:tc>
        <w:tc>
          <w:tcPr>
            <w:tcW w:w="3789" w:type="pct"/>
            <w:gridSpan w:val="4"/>
            <w:noWrap/>
            <w:vAlign w:val="center"/>
          </w:tcPr>
          <w:p>
            <w:pPr>
              <w:pStyle w:val="13"/>
              <w:spacing w:line="360" w:lineRule="auto"/>
              <w:jc w:val="center"/>
              <w:rPr>
                <w:rFonts w:ascii="Times New Roman" w:hAnsi="Times New Roman"/>
              </w:rPr>
            </w:pPr>
          </w:p>
        </w:tc>
      </w:tr>
    </w:tbl>
    <w:p>
      <w:pPr>
        <w:topLinePunct/>
        <w:autoSpaceDE w:val="0"/>
        <w:autoSpaceDN w:val="0"/>
        <w:spacing w:line="500" w:lineRule="exact"/>
        <w:ind w:firstLine="211" w:firstLineChars="100"/>
        <w:rPr>
          <w:rFonts w:hAnsi="宋体"/>
          <w:b/>
          <w:bCs/>
          <w:sz w:val="24"/>
        </w:rPr>
      </w:pPr>
      <w:r>
        <w:rPr>
          <w:rFonts w:hint="eastAsia" w:ascii="Times New Roman" w:hAnsi="Times New Roman"/>
          <w:b/>
          <w:bCs/>
          <w:szCs w:val="21"/>
        </w:rPr>
        <w:t>（附</w:t>
      </w:r>
      <w:r>
        <w:rPr>
          <w:rFonts w:ascii="Times New Roman" w:hAnsi="Times New Roman"/>
          <w:b/>
          <w:bCs/>
          <w:szCs w:val="21"/>
        </w:rPr>
        <w:t>法人或者其他组织的营业执照等证明文件复印件</w:t>
      </w:r>
      <w:r>
        <w:rPr>
          <w:rFonts w:hint="eastAsia" w:ascii="Times New Roman" w:hAnsi="Times New Roman"/>
          <w:b/>
          <w:bCs/>
          <w:szCs w:val="21"/>
        </w:rPr>
        <w:t>；投标人如为</w:t>
      </w:r>
      <w:r>
        <w:rPr>
          <w:rFonts w:ascii="Times New Roman" w:hAnsi="Times New Roman"/>
          <w:b/>
          <w:bCs/>
          <w:szCs w:val="21"/>
        </w:rPr>
        <w:t>自然人</w:t>
      </w:r>
      <w:r>
        <w:rPr>
          <w:rFonts w:hint="eastAsia" w:ascii="Times New Roman" w:hAnsi="Times New Roman"/>
          <w:b/>
          <w:bCs/>
          <w:szCs w:val="21"/>
        </w:rPr>
        <w:t>，提供自然人</w:t>
      </w:r>
      <w:r>
        <w:rPr>
          <w:rFonts w:ascii="Times New Roman" w:hAnsi="Times New Roman"/>
          <w:b/>
          <w:bCs/>
          <w:szCs w:val="21"/>
        </w:rPr>
        <w:t>的身份证复印件</w:t>
      </w:r>
      <w:r>
        <w:rPr>
          <w:rFonts w:hint="eastAsia" w:ascii="Times New Roman" w:hAnsi="Times New Roman"/>
          <w:b/>
          <w:bCs/>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hint="eastAsia" w:ascii="宋体" w:hAnsi="宋体" w:cs="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投标人代表（签字）</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topLinePunct/>
        <w:autoSpaceDE w:val="0"/>
        <w:autoSpaceDN w:val="0"/>
        <w:adjustRightInd w:val="0"/>
        <w:snapToGrid w:val="0"/>
        <w:spacing w:line="360" w:lineRule="auto"/>
        <w:jc w:val="left"/>
        <w:rPr>
          <w:rFonts w:ascii="Times New Roman" w:hAnsi="Times New Roman"/>
        </w:rPr>
      </w:pPr>
    </w:p>
    <w:p>
      <w:pPr>
        <w:pStyle w:val="13"/>
        <w:ind w:firstLine="1785" w:firstLineChars="850"/>
        <w:rPr>
          <w:rFonts w:hAnsi="宋体" w:cs="宋体"/>
          <w:b/>
          <w:bCs/>
          <w:sz w:val="28"/>
          <w:szCs w:val="28"/>
        </w:rPr>
      </w:pPr>
      <w:r>
        <w:rPr>
          <w:rFonts w:ascii="Times New Roman" w:hAnsi="Times New Roman" w:eastAsia="仿宋_GB2312"/>
        </w:rPr>
        <w:br w:type="page"/>
      </w:r>
      <w:r>
        <w:rPr>
          <w:rFonts w:hint="eastAsia" w:hAnsi="宋体" w:cs="宋体"/>
          <w:b/>
          <w:bCs/>
          <w:sz w:val="28"/>
          <w:szCs w:val="28"/>
        </w:rPr>
        <w:t xml:space="preserve">格式2  </w:t>
      </w:r>
      <w:r>
        <w:rPr>
          <w:rFonts w:hint="eastAsia" w:ascii="Times New Roman" w:hAnsi="Times New Roman"/>
          <w:b/>
          <w:bCs/>
          <w:sz w:val="28"/>
          <w:szCs w:val="28"/>
        </w:rPr>
        <w:t>投标人具备投标资格证明文件</w:t>
      </w:r>
    </w:p>
    <w:p>
      <w:pPr>
        <w:widowControl/>
        <w:jc w:val="center"/>
        <w:rPr>
          <w:rFonts w:ascii="Times New Roman" w:hAnsi="Times New Roman"/>
          <w:b/>
          <w:bCs/>
          <w:sz w:val="28"/>
          <w:szCs w:val="28"/>
        </w:rPr>
      </w:pPr>
      <w:r>
        <w:rPr>
          <w:rFonts w:hint="eastAsia" w:ascii="宋体" w:hAnsi="宋体" w:cs="宋体"/>
          <w:b/>
          <w:bCs/>
          <w:sz w:val="28"/>
          <w:szCs w:val="28"/>
        </w:rPr>
        <w:t>2-1</w:t>
      </w:r>
      <w:r>
        <w:rPr>
          <w:rFonts w:hint="eastAsia" w:ascii="Times New Roman" w:hAnsi="Times New Roman" w:cs="宋体"/>
          <w:b/>
          <w:bCs/>
          <w:sz w:val="28"/>
          <w:szCs w:val="28"/>
        </w:rPr>
        <w:t>财务状况报告</w:t>
      </w:r>
    </w:p>
    <w:p>
      <w:pPr>
        <w:spacing w:line="360" w:lineRule="auto"/>
        <w:ind w:firstLine="420" w:firstLineChars="200"/>
        <w:jc w:val="left"/>
        <w:rPr>
          <w:rFonts w:ascii="Times New Roman" w:hAnsi="Times New Roman"/>
          <w:kern w:val="0"/>
          <w:szCs w:val="21"/>
        </w:rPr>
      </w:pPr>
      <w:r>
        <w:rPr>
          <w:rFonts w:hint="eastAsia" w:ascii="Times New Roman" w:hAnsi="Times New Roman" w:cs="宋体"/>
          <w:kern w:val="0"/>
          <w:szCs w:val="21"/>
        </w:rPr>
        <w:t>根据资格条件要求提供相应材料。</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spacing w:line="360" w:lineRule="auto"/>
        <w:jc w:val="center"/>
        <w:rPr>
          <w:rFonts w:ascii="Times New Roman" w:hAnsi="Times New Roman"/>
          <w:b/>
          <w:bCs/>
          <w:sz w:val="28"/>
          <w:szCs w:val="28"/>
        </w:rPr>
      </w:pPr>
      <w:r>
        <w:rPr>
          <w:rFonts w:hint="eastAsia" w:asciiTheme="minorEastAsia" w:hAnsiTheme="minorEastAsia" w:eastAsiaTheme="minorEastAsia" w:cstheme="minorEastAsia"/>
          <w:b/>
          <w:bCs/>
          <w:sz w:val="28"/>
          <w:szCs w:val="28"/>
        </w:rPr>
        <w:t>2-2</w:t>
      </w:r>
      <w:r>
        <w:rPr>
          <w:rFonts w:hint="eastAsia" w:ascii="Times New Roman" w:hAnsi="Times New Roman" w:cs="宋体"/>
          <w:b/>
          <w:bCs/>
          <w:sz w:val="28"/>
          <w:szCs w:val="28"/>
        </w:rPr>
        <w:t>依法缴纳税收的相关材料</w:t>
      </w:r>
    </w:p>
    <w:p>
      <w:pPr>
        <w:spacing w:line="360" w:lineRule="auto"/>
        <w:ind w:firstLine="420" w:firstLineChars="200"/>
        <w:jc w:val="left"/>
        <w:rPr>
          <w:rFonts w:ascii="Times New Roman" w:hAnsi="Times New Roman"/>
          <w:kern w:val="0"/>
          <w:szCs w:val="21"/>
        </w:rPr>
      </w:pPr>
      <w:r>
        <w:rPr>
          <w:rFonts w:hint="eastAsia" w:ascii="Times New Roman" w:hAnsi="Times New Roman" w:cs="宋体"/>
          <w:kern w:val="0"/>
          <w:szCs w:val="21"/>
        </w:rPr>
        <w:t>根据资格条件要求提供相应材料。</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spacing w:line="360" w:lineRule="auto"/>
        <w:jc w:val="center"/>
        <w:rPr>
          <w:rFonts w:ascii="Times New Roman" w:hAnsi="Times New Roman"/>
          <w:b/>
          <w:bCs/>
          <w:sz w:val="28"/>
          <w:szCs w:val="28"/>
        </w:rPr>
      </w:pPr>
      <w:r>
        <w:rPr>
          <w:rFonts w:hint="eastAsia" w:asciiTheme="minorEastAsia" w:hAnsiTheme="minorEastAsia" w:eastAsiaTheme="minorEastAsia" w:cstheme="minorEastAsia"/>
          <w:b/>
          <w:bCs/>
          <w:sz w:val="28"/>
          <w:szCs w:val="28"/>
        </w:rPr>
        <w:t>2-3</w:t>
      </w:r>
      <w:r>
        <w:rPr>
          <w:rFonts w:hint="eastAsia" w:ascii="Times New Roman" w:hAnsi="Times New Roman" w:cs="宋体"/>
          <w:b/>
          <w:bCs/>
          <w:sz w:val="28"/>
          <w:szCs w:val="28"/>
        </w:rPr>
        <w:t>依法缴纳社会保障资金的相关材料</w:t>
      </w:r>
    </w:p>
    <w:p>
      <w:pPr>
        <w:spacing w:line="360" w:lineRule="auto"/>
        <w:ind w:firstLine="420" w:firstLineChars="200"/>
        <w:jc w:val="left"/>
        <w:rPr>
          <w:rFonts w:ascii="Times New Roman" w:hAnsi="Times New Roman"/>
          <w:kern w:val="0"/>
          <w:szCs w:val="21"/>
        </w:rPr>
      </w:pPr>
      <w:r>
        <w:rPr>
          <w:rFonts w:hint="eastAsia" w:ascii="Times New Roman" w:hAnsi="Times New Roman" w:cs="宋体"/>
          <w:kern w:val="0"/>
          <w:szCs w:val="21"/>
        </w:rPr>
        <w:t>根据资格条件要求提供相应材料。</w:t>
      </w:r>
    </w:p>
    <w:p>
      <w:pPr>
        <w:adjustRightInd w:val="0"/>
        <w:snapToGrid w:val="0"/>
        <w:spacing w:line="360" w:lineRule="auto"/>
        <w:jc w:val="center"/>
        <w:rPr>
          <w:rFonts w:ascii="宋体" w:hAnsi="宋体" w:cs="宋体"/>
          <w:b/>
          <w:bCs/>
          <w:sz w:val="28"/>
          <w:szCs w:val="28"/>
        </w:rPr>
      </w:pPr>
    </w:p>
    <w:p>
      <w:pPr>
        <w:adjustRightInd w:val="0"/>
        <w:snapToGrid w:val="0"/>
        <w:spacing w:line="360" w:lineRule="auto"/>
        <w:rPr>
          <w:rFonts w:ascii="宋体" w:hAnsi="宋体" w:cs="宋体"/>
          <w:b/>
          <w:bCs/>
          <w:sz w:val="28"/>
          <w:szCs w:val="28"/>
        </w:rPr>
      </w:pPr>
    </w:p>
    <w:p>
      <w:pPr>
        <w:spacing w:line="360" w:lineRule="auto"/>
        <w:jc w:val="center"/>
        <w:rPr>
          <w:rFonts w:ascii="Times New Roman" w:hAnsi="Times New Roman"/>
          <w:b/>
          <w:bCs/>
          <w:sz w:val="28"/>
          <w:szCs w:val="28"/>
        </w:rPr>
      </w:pPr>
      <w:r>
        <w:rPr>
          <w:rFonts w:hint="eastAsia" w:asciiTheme="minorEastAsia" w:hAnsiTheme="minorEastAsia" w:eastAsiaTheme="minorEastAsia" w:cstheme="minorEastAsia"/>
          <w:b/>
          <w:bCs/>
          <w:sz w:val="28"/>
          <w:szCs w:val="28"/>
        </w:rPr>
        <w:t>2-4</w:t>
      </w:r>
      <w:r>
        <w:rPr>
          <w:rFonts w:hint="eastAsia" w:ascii="Times New Roman" w:hAnsi="Times New Roman" w:cs="宋体"/>
          <w:b/>
          <w:bCs/>
          <w:sz w:val="28"/>
          <w:szCs w:val="28"/>
        </w:rPr>
        <w:t>具备履行合同所必需的设备和专业技术能力的证明材料</w:t>
      </w:r>
    </w:p>
    <w:p>
      <w:pPr>
        <w:spacing w:line="360" w:lineRule="auto"/>
        <w:ind w:firstLine="420" w:firstLineChars="200"/>
        <w:jc w:val="left"/>
        <w:rPr>
          <w:rFonts w:ascii="Times New Roman" w:hAnsi="Times New Roman"/>
          <w:kern w:val="0"/>
          <w:szCs w:val="21"/>
        </w:rPr>
      </w:pPr>
      <w:r>
        <w:rPr>
          <w:rFonts w:hint="eastAsia" w:ascii="Times New Roman" w:hAnsi="Times New Roman" w:cs="宋体"/>
          <w:kern w:val="0"/>
          <w:szCs w:val="21"/>
        </w:rPr>
        <w:t>根据资格条件要求提供相应材料。</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rPr>
          <w:rFonts w:ascii="Times New Roman" w:hAnsi="Times New Roman"/>
          <w:b/>
          <w:bCs/>
          <w:sz w:val="28"/>
          <w:szCs w:val="28"/>
        </w:rPr>
      </w:pPr>
      <w:bookmarkStart w:id="91" w:name="_Toc18153"/>
      <w:bookmarkStart w:id="92" w:name="_Toc8860"/>
      <w:r>
        <w:rPr>
          <w:rFonts w:ascii="Times New Roman" w:hAnsi="Times New Roman"/>
          <w:b/>
          <w:bCs/>
          <w:sz w:val="28"/>
          <w:szCs w:val="28"/>
        </w:rPr>
        <w:br w:type="page"/>
      </w:r>
    </w:p>
    <w:p>
      <w:pPr>
        <w:adjustRightInd w:val="0"/>
        <w:snapToGrid w:val="0"/>
        <w:spacing w:line="360" w:lineRule="auto"/>
        <w:jc w:val="center"/>
        <w:rPr>
          <w:rFonts w:ascii="Times New Roman" w:hAnsi="Times New Roman"/>
          <w:b/>
          <w:bCs/>
          <w:sz w:val="28"/>
          <w:szCs w:val="28"/>
        </w:rPr>
      </w:pPr>
    </w:p>
    <w:p>
      <w:pPr>
        <w:adjustRightInd w:val="0"/>
        <w:snapToGrid w:val="0"/>
        <w:spacing w:line="360" w:lineRule="auto"/>
        <w:jc w:val="center"/>
        <w:rPr>
          <w:rFonts w:ascii="Times New Roman" w:hAnsi="Times New Roman"/>
          <w:b/>
          <w:bCs/>
          <w:sz w:val="28"/>
          <w:szCs w:val="28"/>
        </w:rPr>
      </w:pPr>
      <w:r>
        <w:rPr>
          <w:rFonts w:asciiTheme="minorEastAsia" w:hAnsiTheme="minorEastAsia" w:eastAsiaTheme="minorEastAsia"/>
          <w:b/>
          <w:bCs/>
          <w:sz w:val="28"/>
          <w:szCs w:val="28"/>
        </w:rPr>
        <w:t>格式3</w:t>
      </w:r>
      <w:r>
        <w:rPr>
          <w:rFonts w:ascii="Times New Roman" w:hAnsi="Times New Roman"/>
          <w:b/>
          <w:bCs/>
          <w:sz w:val="28"/>
          <w:szCs w:val="28"/>
        </w:rPr>
        <w:t xml:space="preserve">  </w:t>
      </w:r>
      <w:r>
        <w:rPr>
          <w:rFonts w:hint="eastAsia" w:ascii="Times New Roman" w:hAnsi="Times New Roman" w:cs="宋体"/>
          <w:b/>
          <w:bCs/>
          <w:sz w:val="28"/>
          <w:szCs w:val="28"/>
        </w:rPr>
        <w:t>参加本次政府采购活动前三年内在经营活动中</w:t>
      </w:r>
    </w:p>
    <w:p>
      <w:pPr>
        <w:snapToGrid w:val="0"/>
        <w:spacing w:line="360" w:lineRule="auto"/>
        <w:jc w:val="center"/>
        <w:rPr>
          <w:rFonts w:ascii="Times New Roman" w:hAnsi="Times New Roman"/>
          <w:b/>
          <w:bCs/>
          <w:sz w:val="28"/>
          <w:szCs w:val="28"/>
        </w:rPr>
      </w:pPr>
      <w:r>
        <w:rPr>
          <w:rFonts w:hint="eastAsia" w:ascii="Times New Roman" w:hAnsi="Times New Roman" w:cs="宋体"/>
          <w:b/>
          <w:bCs/>
          <w:sz w:val="28"/>
          <w:szCs w:val="28"/>
        </w:rPr>
        <w:t>没有重大违法记录的书面声明</w:t>
      </w:r>
    </w:p>
    <w:p>
      <w:pPr>
        <w:spacing w:line="360" w:lineRule="auto"/>
        <w:ind w:firstLine="420" w:firstLineChars="200"/>
      </w:pPr>
    </w:p>
    <w:p>
      <w:pPr>
        <w:spacing w:line="360" w:lineRule="auto"/>
      </w:pPr>
      <w:r>
        <w:rPr>
          <w:rFonts w:hint="eastAsia" w:cs="宋体"/>
        </w:rPr>
        <w:t>致</w:t>
      </w:r>
      <w:r>
        <w:t>________</w:t>
      </w:r>
      <w:r>
        <w:rPr>
          <w:rFonts w:hint="eastAsia" w:cs="宋体"/>
        </w:rPr>
        <w:t>（采购人或采购代理机构）：</w:t>
      </w:r>
    </w:p>
    <w:p>
      <w:pPr>
        <w:spacing w:line="360" w:lineRule="auto"/>
        <w:ind w:firstLine="420" w:firstLineChars="200"/>
      </w:pPr>
      <w:r>
        <w:rPr>
          <w:rFonts w:hint="eastAsia" w:cs="宋体"/>
        </w:rPr>
        <w:t>我单位在参加本次采购活动前三年内在经营活动中没有《政府采购法》第二十二条第一款第（五）项所称重大违法记录，包括：</w:t>
      </w:r>
    </w:p>
    <w:p>
      <w:pPr>
        <w:spacing w:line="360" w:lineRule="auto"/>
        <w:ind w:firstLine="420" w:firstLineChars="200"/>
      </w:pPr>
      <w:r>
        <w:rPr>
          <w:rFonts w:hint="eastAsia" w:cs="宋体"/>
        </w:rPr>
        <w:t>我单位未因经营活动中的违法行为受到刑事处罚或者责令停产停业、吊销许可证或者执照、较大数额罚款等行政处罚。</w:t>
      </w:r>
    </w:p>
    <w:p>
      <w:pPr>
        <w:spacing w:line="360" w:lineRule="auto"/>
        <w:ind w:firstLine="420" w:firstLineChars="200"/>
      </w:pPr>
      <w:r>
        <w:rPr>
          <w:rFonts w:hint="eastAsia" w:cs="宋体"/>
        </w:rPr>
        <w:t>特此声明！</w:t>
      </w:r>
    </w:p>
    <w:p>
      <w:pPr>
        <w:spacing w:line="360" w:lineRule="auto"/>
        <w:ind w:firstLine="420" w:firstLineChars="200"/>
      </w:pPr>
    </w:p>
    <w:p>
      <w:pPr>
        <w:spacing w:line="360" w:lineRule="auto"/>
        <w:ind w:firstLine="420" w:firstLineChars="200"/>
      </w:pPr>
      <w:r>
        <w:rPr>
          <w:rFonts w:hint="eastAsia" w:cs="宋体"/>
        </w:rPr>
        <w:t>（请投标人根据实际情况如实声明，否则视为提供虚假材料。）</w:t>
      </w:r>
    </w:p>
    <w:p>
      <w:pPr>
        <w:spacing w:line="360" w:lineRule="auto"/>
        <w:ind w:firstLine="420" w:firstLineChars="200"/>
      </w:pPr>
    </w:p>
    <w:p>
      <w:pPr>
        <w:spacing w:line="360" w:lineRule="auto"/>
        <w:ind w:firstLine="420" w:firstLineChars="200"/>
      </w:pPr>
      <w:r>
        <w:rPr>
          <w:rFonts w:hint="eastAsia" w:cs="宋体"/>
        </w:rPr>
        <w:t>投标人（全称并加盖公章）：</w:t>
      </w:r>
    </w:p>
    <w:p>
      <w:pPr>
        <w:tabs>
          <w:tab w:val="left" w:pos="1230"/>
        </w:tabs>
        <w:topLinePunct/>
        <w:autoSpaceDE w:val="0"/>
        <w:autoSpaceDN w:val="0"/>
        <w:adjustRightInd w:val="0"/>
        <w:snapToGrid w:val="0"/>
        <w:spacing w:line="360" w:lineRule="auto"/>
        <w:ind w:firstLine="420" w:firstLineChars="200"/>
      </w:pPr>
      <w:r>
        <w:rPr>
          <w:rFonts w:hint="eastAsia" w:ascii="宋体" w:hAnsi="宋体" w:cs="宋体"/>
          <w:kern w:val="0"/>
          <w:szCs w:val="21"/>
        </w:rPr>
        <w:t>投标人代表（签字）</w:t>
      </w:r>
      <w:r>
        <w:rPr>
          <w:rFonts w:hint="eastAsia" w:ascii="宋体" w:hAnsi="宋体" w:cs="宋体"/>
          <w:szCs w:val="21"/>
        </w:rPr>
        <w:t>：</w:t>
      </w:r>
    </w:p>
    <w:p>
      <w:pPr>
        <w:spacing w:line="360" w:lineRule="auto"/>
        <w:ind w:firstLine="420" w:firstLineChars="200"/>
      </w:pPr>
      <w:r>
        <w:rPr>
          <w:rFonts w:hint="eastAsia" w:cs="宋体"/>
        </w:rPr>
        <w:t>日期：</w:t>
      </w:r>
    </w:p>
    <w:p>
      <w:pPr>
        <w:adjustRightInd w:val="0"/>
        <w:snapToGrid w:val="0"/>
        <w:spacing w:line="360" w:lineRule="auto"/>
        <w:jc w:val="center"/>
        <w:rPr>
          <w:rFonts w:ascii="Times New Roman" w:hAnsi="Times New Roman"/>
          <w:b/>
          <w:bCs/>
          <w:sz w:val="28"/>
          <w:szCs w:val="28"/>
        </w:rPr>
      </w:pPr>
    </w:p>
    <w:p>
      <w:pPr>
        <w:rPr>
          <w:rFonts w:ascii="Times New Roman" w:hAnsi="Times New Roman"/>
          <w:b/>
          <w:bCs/>
          <w:sz w:val="28"/>
          <w:szCs w:val="28"/>
        </w:rPr>
      </w:pPr>
      <w:r>
        <w:rPr>
          <w:rFonts w:ascii="Times New Roman" w:hAnsi="Times New Roman"/>
          <w:b/>
          <w:bCs/>
          <w:sz w:val="28"/>
          <w:szCs w:val="28"/>
        </w:rPr>
        <w:br w:type="page"/>
      </w:r>
    </w:p>
    <w:p>
      <w:pPr>
        <w:pStyle w:val="2"/>
      </w:pPr>
    </w:p>
    <w:p>
      <w:pPr>
        <w:widowControl/>
        <w:jc w:val="center"/>
        <w:rPr>
          <w:rFonts w:ascii="宋体" w:hAnsi="宋体" w:cs="宋体"/>
          <w:b/>
          <w:bCs/>
          <w:sz w:val="28"/>
          <w:szCs w:val="28"/>
        </w:rPr>
      </w:pPr>
      <w:r>
        <w:rPr>
          <w:rFonts w:hint="eastAsia" w:asciiTheme="minorEastAsia" w:hAnsiTheme="minorEastAsia" w:eastAsiaTheme="minorEastAsia"/>
          <w:b/>
          <w:bCs/>
          <w:sz w:val="28"/>
          <w:szCs w:val="28"/>
        </w:rPr>
        <w:t xml:space="preserve">格式4 </w:t>
      </w:r>
      <w:r>
        <w:rPr>
          <w:rFonts w:hint="eastAsia" w:ascii="Times New Roman" w:hAnsi="Times New Roman"/>
          <w:b/>
          <w:bCs/>
          <w:sz w:val="28"/>
          <w:szCs w:val="28"/>
        </w:rPr>
        <w:t xml:space="preserve"> </w:t>
      </w:r>
      <w:r>
        <w:rPr>
          <w:rFonts w:hint="eastAsia" w:ascii="Times New Roman" w:hAnsi="Times New Roman" w:cs="宋体"/>
          <w:b/>
          <w:bCs/>
          <w:sz w:val="28"/>
          <w:szCs w:val="28"/>
        </w:rPr>
        <w:t>具备法律、行政法规规定的其他条件的证明材料</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adjustRightInd w:val="0"/>
        <w:snapToGrid w:val="0"/>
        <w:spacing w:line="360" w:lineRule="auto"/>
        <w:jc w:val="center"/>
        <w:rPr>
          <w:rFonts w:ascii="Times New Roman" w:hAnsi="Times New Roman"/>
          <w:b/>
          <w:bCs/>
          <w:sz w:val="28"/>
          <w:szCs w:val="28"/>
        </w:rPr>
      </w:pPr>
    </w:p>
    <w:p>
      <w:pPr>
        <w:rPr>
          <w:rFonts w:ascii="Times New Roman" w:hAnsi="Times New Roman"/>
          <w:b/>
          <w:bCs/>
          <w:sz w:val="28"/>
          <w:szCs w:val="28"/>
        </w:rPr>
      </w:pPr>
      <w:r>
        <w:rPr>
          <w:rFonts w:ascii="Times New Roman" w:hAnsi="Times New Roman"/>
          <w:b/>
          <w:bCs/>
          <w:sz w:val="28"/>
          <w:szCs w:val="28"/>
        </w:rPr>
        <w:br w:type="page"/>
      </w:r>
    </w:p>
    <w:p>
      <w:pPr>
        <w:widowControl/>
        <w:jc w:val="center"/>
        <w:rPr>
          <w:rFonts w:ascii="Times New Roman" w:hAnsi="Times New Roman"/>
          <w:b/>
          <w:bCs/>
          <w:sz w:val="28"/>
          <w:szCs w:val="28"/>
        </w:rPr>
      </w:pPr>
      <w:r>
        <w:rPr>
          <w:rFonts w:hint="eastAsia" w:asciiTheme="minorEastAsia" w:hAnsiTheme="minorEastAsia" w:eastAsiaTheme="minorEastAsia"/>
          <w:b/>
          <w:bCs/>
          <w:sz w:val="28"/>
          <w:szCs w:val="28"/>
        </w:rPr>
        <w:t>格式5</w:t>
      </w:r>
      <w:r>
        <w:rPr>
          <w:rFonts w:hint="eastAsia" w:ascii="Times New Roman" w:hAnsi="Times New Roman"/>
          <w:b/>
          <w:bCs/>
          <w:sz w:val="28"/>
          <w:szCs w:val="28"/>
        </w:rPr>
        <w:t xml:space="preserve">  </w:t>
      </w:r>
      <w:r>
        <w:rPr>
          <w:rFonts w:hint="eastAsia" w:ascii="Times New Roman" w:hAnsi="Times New Roman" w:cs="宋体"/>
          <w:b/>
          <w:bCs/>
          <w:sz w:val="28"/>
          <w:szCs w:val="28"/>
        </w:rPr>
        <w:t>联合体协议（若有）</w:t>
      </w:r>
    </w:p>
    <w:p>
      <w:pPr>
        <w:pStyle w:val="10"/>
        <w:widowControl w:val="0"/>
        <w:topLinePunct/>
        <w:autoSpaceDE w:val="0"/>
        <w:autoSpaceDN w:val="0"/>
        <w:snapToGrid w:val="0"/>
        <w:spacing w:before="0" w:beforeAutospacing="0" w:after="0" w:afterAutospacing="0" w:line="360" w:lineRule="auto"/>
        <w:jc w:val="center"/>
        <w:rPr>
          <w:b/>
          <w:w w:val="150"/>
          <w:szCs w:val="21"/>
        </w:rPr>
      </w:pPr>
    </w:p>
    <w:p>
      <w:pPr>
        <w:spacing w:line="360" w:lineRule="auto"/>
        <w:rPr>
          <w:rFonts w:ascii="Times New Roman" w:hAnsi="Times New Roman"/>
        </w:rPr>
      </w:pPr>
      <w:r>
        <w:rPr>
          <w:rFonts w:hint="eastAsia" w:ascii="Times New Roman" w:hAnsi="Times New Roman" w:cs="宋体"/>
        </w:rPr>
        <w:t>致</w:t>
      </w:r>
      <w:r>
        <w:rPr>
          <w:rFonts w:ascii="Times New Roman" w:hAnsi="Times New Roman"/>
        </w:rPr>
        <w:t>________</w:t>
      </w:r>
      <w:r>
        <w:rPr>
          <w:rFonts w:hint="eastAsia" w:ascii="Times New Roman" w:hAnsi="Times New Roman" w:cs="宋体"/>
        </w:rPr>
        <w:t>（采购人或采购代理机构）：</w:t>
      </w:r>
    </w:p>
    <w:p>
      <w:pPr>
        <w:spacing w:line="360" w:lineRule="auto"/>
        <w:ind w:firstLine="420" w:firstLineChars="200"/>
        <w:rPr>
          <w:rFonts w:ascii="Times New Roman" w:hAnsi="Times New Roman"/>
          <w:szCs w:val="21"/>
        </w:rPr>
      </w:pPr>
      <w:r>
        <w:rPr>
          <w:rFonts w:hint="eastAsia" w:ascii="Times New Roman" w:hAnsi="Times New Roman" w:cs="宋体"/>
          <w:szCs w:val="21"/>
        </w:rPr>
        <w:t>经研究，我方决定自愿组成联合体共同参加</w:t>
      </w:r>
      <w:r>
        <w:rPr>
          <w:rFonts w:ascii="Times New Roman" w:hAnsi="Times New Roman"/>
          <w:szCs w:val="21"/>
        </w:rPr>
        <w:t>____________(</w:t>
      </w:r>
      <w:r>
        <w:rPr>
          <w:rFonts w:hint="eastAsia" w:ascii="Times New Roman" w:hAnsi="Times New Roman" w:cs="宋体"/>
          <w:szCs w:val="21"/>
        </w:rPr>
        <w:t>项目名称、项目编号</w:t>
      </w:r>
      <w:r>
        <w:rPr>
          <w:rFonts w:ascii="Times New Roman" w:hAnsi="Times New Roman"/>
          <w:szCs w:val="21"/>
        </w:rPr>
        <w:t>)</w:t>
      </w:r>
      <w:r>
        <w:rPr>
          <w:rFonts w:hint="eastAsia" w:ascii="Times New Roman" w:hAnsi="Times New Roman" w:cs="宋体"/>
          <w:szCs w:val="21"/>
        </w:rPr>
        <w:t>项目的投标。现就联合体投标事宜订立如下协议：</w:t>
      </w:r>
    </w:p>
    <w:p>
      <w:pPr>
        <w:spacing w:line="360" w:lineRule="auto"/>
        <w:ind w:firstLine="420" w:firstLineChars="200"/>
        <w:rPr>
          <w:rFonts w:ascii="Times New Roman" w:hAnsi="Times New Roman"/>
          <w:szCs w:val="21"/>
        </w:rPr>
      </w:pPr>
      <w:r>
        <w:rPr>
          <w:rFonts w:hint="eastAsia" w:ascii="Times New Roman" w:hAnsi="Times New Roman" w:cs="宋体"/>
          <w:szCs w:val="21"/>
        </w:rPr>
        <w:t>一、联合体成员：</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1._________________</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2._________________</w:t>
      </w:r>
    </w:p>
    <w:p>
      <w:pPr>
        <w:spacing w:line="360" w:lineRule="auto"/>
        <w:ind w:firstLine="420" w:firstLineChars="200"/>
        <w:rPr>
          <w:rFonts w:ascii="Times New Roman" w:hAnsi="Times New Roman"/>
          <w:szCs w:val="21"/>
        </w:rPr>
      </w:pPr>
      <w:r>
        <w:rPr>
          <w:rFonts w:hint="eastAsia" w:asciiTheme="minorEastAsia" w:hAnsiTheme="minorEastAsia" w:eastAsiaTheme="minorEastAsia" w:cstheme="minorEastAsia"/>
          <w:szCs w:val="21"/>
        </w:rPr>
        <w:t>3.</w:t>
      </w:r>
      <w:r>
        <w:rPr>
          <w:rFonts w:ascii="Times New Roman" w:hAnsi="Times New Roman"/>
          <w:szCs w:val="21"/>
        </w:rPr>
        <w:t>_________________</w:t>
      </w:r>
    </w:p>
    <w:p>
      <w:pPr>
        <w:spacing w:line="360" w:lineRule="auto"/>
        <w:ind w:firstLine="420" w:firstLineChars="200"/>
        <w:rPr>
          <w:rFonts w:ascii="宋体" w:hAnsi="宋体" w:cs="宋体"/>
          <w:szCs w:val="21"/>
        </w:rPr>
      </w:pPr>
      <w:r>
        <w:rPr>
          <w:rFonts w:hint="eastAsia" w:ascii="Times New Roman" w:hAnsi="Times New Roman" w:cs="宋体"/>
          <w:szCs w:val="21"/>
        </w:rPr>
        <w:t>二、</w:t>
      </w:r>
      <w:r>
        <w:rPr>
          <w:rFonts w:ascii="Times New Roman" w:hAnsi="Times New Roman"/>
          <w:szCs w:val="21"/>
        </w:rPr>
        <w:t>____________(</w:t>
      </w:r>
      <w:r>
        <w:rPr>
          <w:rFonts w:hint="eastAsia" w:ascii="Times New Roman" w:hAnsi="Times New Roman" w:cs="宋体"/>
          <w:szCs w:val="21"/>
        </w:rPr>
        <w:t>某成员单位名称</w:t>
      </w:r>
      <w:r>
        <w:rPr>
          <w:rFonts w:ascii="Times New Roman" w:hAnsi="Times New Roman"/>
          <w:szCs w:val="21"/>
        </w:rPr>
        <w:t>)</w:t>
      </w:r>
      <w:r>
        <w:rPr>
          <w:rFonts w:hint="eastAsia" w:ascii="Times New Roman" w:hAnsi="Times New Roman" w:cs="宋体"/>
          <w:szCs w:val="21"/>
        </w:rPr>
        <w:t>为</w:t>
      </w:r>
      <w:r>
        <w:rPr>
          <w:rFonts w:ascii="Times New Roman" w:hAnsi="Times New Roman"/>
          <w:szCs w:val="21"/>
        </w:rPr>
        <w:t>____________(</w:t>
      </w:r>
      <w:r>
        <w:rPr>
          <w:rFonts w:hint="eastAsia" w:ascii="Times New Roman" w:hAnsi="Times New Roman" w:cs="宋体"/>
          <w:szCs w:val="21"/>
        </w:rPr>
        <w:t>联合</w:t>
      </w:r>
      <w:r>
        <w:rPr>
          <w:rFonts w:hint="eastAsia" w:ascii="宋体" w:hAnsi="宋体" w:cs="宋体"/>
          <w:szCs w:val="21"/>
        </w:rPr>
        <w:t>体名称)牵头人。</w:t>
      </w:r>
    </w:p>
    <w:p>
      <w:pPr>
        <w:spacing w:line="360" w:lineRule="auto"/>
        <w:ind w:firstLine="420" w:firstLineChars="200"/>
        <w:rPr>
          <w:rFonts w:ascii="宋体" w:hAnsi="宋体" w:cs="宋体"/>
          <w:szCs w:val="21"/>
        </w:rPr>
      </w:pPr>
      <w:r>
        <w:rPr>
          <w:rFonts w:hint="eastAsia" w:ascii="宋体" w:hAnsi="宋体" w:cs="宋体"/>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szCs w:val="21"/>
        </w:rPr>
      </w:pPr>
      <w:r>
        <w:rPr>
          <w:rFonts w:hint="eastAsia" w:ascii="宋体" w:hAnsi="宋体" w:cs="宋体"/>
          <w:szCs w:val="21"/>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szCs w:val="21"/>
        </w:rPr>
      </w:pPr>
      <w:r>
        <w:rPr>
          <w:rFonts w:hint="eastAsia" w:ascii="宋体" w:hAnsi="宋体" w:cs="宋体"/>
          <w:szCs w:val="21"/>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szCs w:val="21"/>
        </w:rPr>
      </w:pPr>
      <w:r>
        <w:rPr>
          <w:rFonts w:hint="eastAsia" w:ascii="宋体" w:hAnsi="宋体" w:cs="宋体"/>
          <w:szCs w:val="21"/>
        </w:rPr>
        <w:t>六、本协议书自签署之日起生效，合同履行完毕后自动失效。</w:t>
      </w:r>
    </w:p>
    <w:p>
      <w:pPr>
        <w:spacing w:line="360" w:lineRule="auto"/>
        <w:ind w:firstLine="420" w:firstLineChars="200"/>
        <w:rPr>
          <w:rFonts w:ascii="宋体" w:hAnsi="宋体" w:cs="宋体"/>
          <w:szCs w:val="21"/>
        </w:rPr>
      </w:pPr>
      <w:r>
        <w:rPr>
          <w:rFonts w:hint="eastAsia" w:ascii="宋体" w:hAnsi="宋体" w:cs="宋体"/>
          <w:szCs w:val="21"/>
        </w:rPr>
        <w:t>七、本协议书一式______份，联合体成员和采购人各执一份。</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牵头人名称(公章)：____________</w:t>
      </w:r>
    </w:p>
    <w:p>
      <w:pPr>
        <w:spacing w:line="360" w:lineRule="auto"/>
        <w:ind w:firstLine="420" w:firstLineChars="200"/>
        <w:rPr>
          <w:rFonts w:ascii="宋体" w:hAnsi="宋体" w:cs="宋体"/>
          <w:szCs w:val="21"/>
        </w:rPr>
      </w:pPr>
      <w:r>
        <w:rPr>
          <w:rFonts w:hint="eastAsia" w:ascii="宋体" w:hAnsi="宋体" w:cs="宋体"/>
          <w:szCs w:val="21"/>
        </w:rPr>
        <w:t>法定代表人或其授权代表(签字)：____________</w:t>
      </w:r>
    </w:p>
    <w:p>
      <w:pPr>
        <w:spacing w:line="360" w:lineRule="auto"/>
        <w:ind w:firstLine="420" w:firstLineChars="200"/>
        <w:rPr>
          <w:rFonts w:ascii="宋体" w:hAnsi="宋体" w:cs="宋体"/>
          <w:szCs w:val="21"/>
        </w:rPr>
      </w:pPr>
      <w:r>
        <w:rPr>
          <w:rFonts w:hint="eastAsia" w:ascii="宋体" w:hAnsi="宋体" w:cs="宋体"/>
          <w:szCs w:val="21"/>
        </w:rPr>
        <w:t>成员名称(公章)：____________</w:t>
      </w:r>
    </w:p>
    <w:p>
      <w:pPr>
        <w:spacing w:line="360" w:lineRule="auto"/>
        <w:ind w:firstLine="420" w:firstLineChars="200"/>
        <w:rPr>
          <w:rFonts w:ascii="宋体" w:hAnsi="宋体" w:cs="宋体"/>
          <w:szCs w:val="21"/>
        </w:rPr>
      </w:pPr>
      <w:r>
        <w:rPr>
          <w:rFonts w:hint="eastAsia" w:ascii="宋体" w:hAnsi="宋体" w:cs="宋体"/>
          <w:szCs w:val="21"/>
        </w:rPr>
        <w:t>法定代表人或其授权代表(签字)：____________</w:t>
      </w: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______年____月____日</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备注：本协议书由授权代表签字的，应附法定代表人签字的授权委托书。</w:t>
      </w:r>
    </w:p>
    <w:p>
      <w:pPr>
        <w:adjustRightInd w:val="0"/>
        <w:snapToGrid w:val="0"/>
        <w:spacing w:line="360" w:lineRule="auto"/>
        <w:jc w:val="center"/>
        <w:outlineLvl w:val="1"/>
        <w:rPr>
          <w:rFonts w:ascii="Times New Roman" w:hAnsi="Times New Roman"/>
          <w:b/>
          <w:bCs/>
          <w:sz w:val="28"/>
          <w:szCs w:val="28"/>
        </w:rPr>
      </w:pPr>
      <w:r>
        <w:rPr>
          <w:rFonts w:hAnsi="宋体" w:cs="宋体"/>
          <w:szCs w:val="21"/>
        </w:rPr>
        <w:br w:type="page"/>
      </w:r>
      <w:bookmarkStart w:id="93" w:name="_Toc3653"/>
      <w:bookmarkStart w:id="94" w:name="_Toc27885"/>
      <w:bookmarkStart w:id="95" w:name="_Toc31681"/>
      <w:r>
        <w:rPr>
          <w:rFonts w:hint="eastAsia" w:asciiTheme="minorEastAsia" w:hAnsiTheme="minorEastAsia" w:eastAsiaTheme="minorEastAsia"/>
          <w:b/>
          <w:bCs/>
          <w:sz w:val="28"/>
          <w:szCs w:val="28"/>
        </w:rPr>
        <w:t>格式6</w:t>
      </w:r>
      <w:r>
        <w:rPr>
          <w:rFonts w:hint="eastAsia" w:ascii="Times New Roman" w:hAnsi="Times New Roman"/>
          <w:b/>
          <w:bCs/>
          <w:sz w:val="28"/>
          <w:szCs w:val="28"/>
        </w:rPr>
        <w:t xml:space="preserve">  </w:t>
      </w:r>
      <w:r>
        <w:rPr>
          <w:rFonts w:hint="eastAsia" w:ascii="Times New Roman" w:hAnsi="Times New Roman" w:cs="宋体"/>
          <w:b/>
          <w:bCs/>
          <w:sz w:val="28"/>
          <w:szCs w:val="28"/>
        </w:rPr>
        <w:t>其他资格证明文件（若有）</w:t>
      </w:r>
      <w:bookmarkEnd w:id="93"/>
      <w:bookmarkEnd w:id="94"/>
      <w:bookmarkEnd w:id="95"/>
    </w:p>
    <w:p/>
    <w:p>
      <w:pPr>
        <w:spacing w:line="360" w:lineRule="auto"/>
        <w:ind w:firstLine="420" w:firstLineChars="200"/>
        <w:jc w:val="left"/>
        <w:rPr>
          <w:rFonts w:ascii="宋体" w:hAnsi="宋体" w:cs="宋体"/>
          <w:kern w:val="0"/>
          <w:szCs w:val="21"/>
        </w:rPr>
      </w:pPr>
      <w:r>
        <w:rPr>
          <w:rFonts w:hint="eastAsia" w:ascii="宋体" w:hAnsi="宋体" w:cs="宋体"/>
          <w:kern w:val="0"/>
          <w:szCs w:val="21"/>
        </w:rPr>
        <w:t>根据资格条件要求提供相应材料。</w:t>
      </w:r>
    </w:p>
    <w:p>
      <w:pPr>
        <w:rPr>
          <w:rFonts w:ascii="Times New Roman" w:hAnsi="Times New Roman"/>
          <w:b/>
          <w:bCs/>
          <w:sz w:val="28"/>
          <w:szCs w:val="28"/>
        </w:rPr>
      </w:pPr>
      <w:r>
        <w:rPr>
          <w:rFonts w:ascii="Times New Roman" w:hAnsi="Times New Roman"/>
          <w:b/>
          <w:bCs/>
          <w:sz w:val="28"/>
          <w:szCs w:val="28"/>
        </w:rPr>
        <w:br w:type="page"/>
      </w:r>
    </w:p>
    <w:p>
      <w:pPr>
        <w:jc w:val="center"/>
        <w:rPr>
          <w:rFonts w:ascii="Times New Roman" w:hAnsi="Times New Roman"/>
          <w:b/>
          <w:bCs/>
          <w:sz w:val="28"/>
          <w:szCs w:val="28"/>
        </w:rPr>
      </w:pPr>
      <w:r>
        <w:rPr>
          <w:rFonts w:hint="eastAsia" w:asciiTheme="minorEastAsia" w:hAnsiTheme="minorEastAsia" w:eastAsiaTheme="minorEastAsia"/>
          <w:b/>
          <w:bCs/>
          <w:sz w:val="28"/>
          <w:szCs w:val="28"/>
        </w:rPr>
        <w:t>格式7</w:t>
      </w:r>
      <w:r>
        <w:rPr>
          <w:rFonts w:hint="eastAsia" w:ascii="Times New Roman" w:hAnsi="Times New Roman"/>
          <w:b/>
          <w:bCs/>
          <w:sz w:val="28"/>
          <w:szCs w:val="28"/>
        </w:rPr>
        <w:t xml:space="preserve">  </w:t>
      </w:r>
      <w:r>
        <w:rPr>
          <w:rFonts w:ascii="Times New Roman" w:hAnsi="Times New Roman"/>
          <w:b/>
          <w:bCs/>
          <w:sz w:val="28"/>
          <w:szCs w:val="28"/>
        </w:rPr>
        <w:t>投标报价表</w:t>
      </w:r>
    </w:p>
    <w:bookmarkEnd w:id="91"/>
    <w:bookmarkEnd w:id="92"/>
    <w:p>
      <w:pPr>
        <w:tabs>
          <w:tab w:val="left" w:pos="1230"/>
        </w:tabs>
        <w:topLinePunct/>
        <w:autoSpaceDE w:val="0"/>
        <w:autoSpaceDN w:val="0"/>
        <w:adjustRightInd w:val="0"/>
        <w:snapToGrid w:val="0"/>
        <w:spacing w:line="360" w:lineRule="auto"/>
        <w:ind w:firstLine="562" w:firstLineChars="200"/>
        <w:jc w:val="center"/>
        <w:outlineLvl w:val="1"/>
        <w:rPr>
          <w:rFonts w:ascii="宋体" w:hAnsi="宋体" w:cs="宋体"/>
          <w:b/>
          <w:bCs/>
          <w:sz w:val="28"/>
          <w:szCs w:val="28"/>
        </w:rPr>
      </w:pPr>
      <w:bookmarkStart w:id="96" w:name="_Toc31123"/>
      <w:bookmarkStart w:id="97" w:name="_Toc23236"/>
      <w:bookmarkStart w:id="98" w:name="_Toc6139"/>
      <w:r>
        <w:rPr>
          <w:rFonts w:hint="eastAsia" w:cs="宋体" w:asciiTheme="minorEastAsia" w:hAnsiTheme="minorEastAsia" w:eastAsiaTheme="minorEastAsia"/>
          <w:b/>
          <w:bCs/>
          <w:sz w:val="28"/>
          <w:szCs w:val="28"/>
        </w:rPr>
        <w:t>1.</w:t>
      </w:r>
      <w:r>
        <w:rPr>
          <w:rFonts w:hint="eastAsia" w:ascii="宋体" w:hAnsi="宋体" w:cs="宋体"/>
          <w:b/>
          <w:bCs/>
          <w:sz w:val="28"/>
          <w:szCs w:val="28"/>
        </w:rPr>
        <w:t>开标一览表（总报价表）</w:t>
      </w:r>
      <w:bookmarkEnd w:id="96"/>
      <w:bookmarkEnd w:id="97"/>
      <w:bookmarkEnd w:id="98"/>
    </w:p>
    <w:p>
      <w:pPr>
        <w:pStyle w:val="13"/>
        <w:topLinePunct/>
        <w:autoSpaceDE w:val="0"/>
        <w:autoSpaceDN w:val="0"/>
        <w:adjustRightInd w:val="0"/>
        <w:snapToGrid w:val="0"/>
        <w:spacing w:line="360" w:lineRule="auto"/>
        <w:ind w:left="2"/>
        <w:jc w:val="center"/>
        <w:rPr>
          <w:rFonts w:hAnsi="宋体" w:cs="宋体"/>
        </w:rPr>
      </w:pPr>
      <w:r>
        <w:rPr>
          <w:rFonts w:hint="eastAsia" w:hAnsi="宋体" w:cs="宋体"/>
        </w:rPr>
        <w:t>(服务类项目适用)</w:t>
      </w: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项目名称：</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项目编号：</w:t>
      </w:r>
    </w:p>
    <w:p>
      <w:pPr>
        <w:adjustRightInd w:val="0"/>
        <w:snapToGrid w:val="0"/>
        <w:spacing w:line="360" w:lineRule="auto"/>
        <w:ind w:right="840"/>
        <w:rPr>
          <w:rFonts w:ascii="宋体" w:hAnsi="宋体" w:cs="宋体"/>
          <w:bCs/>
          <w:w w:val="150"/>
          <w:szCs w:val="21"/>
        </w:rPr>
      </w:pPr>
      <w:r>
        <w:rPr>
          <w:rFonts w:hint="eastAsia" w:ascii="宋体" w:hAnsi="宋体" w:cs="宋体"/>
        </w:rPr>
        <w:t xml:space="preserve">采购包号：                                </w:t>
      </w:r>
      <w:r>
        <w:rPr>
          <w:rFonts w:hint="eastAsia" w:ascii="宋体" w:hAnsi="宋体" w:cs="宋体"/>
          <w:lang w:val="en-US" w:eastAsia="zh-CN"/>
        </w:rPr>
        <w:t xml:space="preserve">  </w:t>
      </w:r>
      <w:r>
        <w:rPr>
          <w:rFonts w:hint="eastAsia" w:ascii="宋体" w:hAnsi="宋体" w:cs="宋体"/>
        </w:rPr>
        <w:t>价格单位：人民币：元</w:t>
      </w:r>
    </w:p>
    <w:tbl>
      <w:tblPr>
        <w:tblStyle w:val="22"/>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4918"/>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noWrap/>
            <w:vAlign w:val="center"/>
          </w:tcPr>
          <w:p>
            <w:pPr>
              <w:adjustRightInd w:val="0"/>
              <w:snapToGrid w:val="0"/>
              <w:spacing w:beforeLines="20" w:afterLines="20"/>
              <w:jc w:val="center"/>
              <w:rPr>
                <w:rFonts w:ascii="Times New Roman" w:hAnsi="Times New Roman"/>
                <w:b/>
                <w:szCs w:val="21"/>
              </w:rPr>
            </w:pPr>
            <w:r>
              <w:rPr>
                <w:rFonts w:ascii="Times New Roman" w:hAnsi="Times New Roman"/>
                <w:b/>
                <w:szCs w:val="21"/>
              </w:rPr>
              <w:t>序号</w:t>
            </w:r>
          </w:p>
        </w:tc>
        <w:tc>
          <w:tcPr>
            <w:tcW w:w="4918" w:type="dxa"/>
            <w:noWrap/>
            <w:vAlign w:val="center"/>
          </w:tcPr>
          <w:p>
            <w:pPr>
              <w:adjustRightInd w:val="0"/>
              <w:snapToGrid w:val="0"/>
              <w:spacing w:beforeLines="20" w:afterLines="20"/>
              <w:jc w:val="center"/>
              <w:rPr>
                <w:rFonts w:ascii="Times New Roman" w:hAnsi="Times New Roman"/>
                <w:b/>
                <w:szCs w:val="21"/>
              </w:rPr>
            </w:pPr>
            <w:r>
              <w:rPr>
                <w:rFonts w:ascii="Times New Roman" w:hAnsi="Times New Roman"/>
                <w:b/>
                <w:szCs w:val="21"/>
              </w:rPr>
              <w:t>内容</w:t>
            </w:r>
          </w:p>
        </w:tc>
        <w:tc>
          <w:tcPr>
            <w:tcW w:w="2097" w:type="dxa"/>
            <w:noWrap/>
            <w:vAlign w:val="center"/>
          </w:tcPr>
          <w:p>
            <w:pPr>
              <w:adjustRightInd w:val="0"/>
              <w:snapToGrid w:val="0"/>
              <w:spacing w:beforeLines="20" w:afterLines="20"/>
              <w:jc w:val="center"/>
              <w:rPr>
                <w:rFonts w:ascii="Times New Roman" w:hAnsi="Times New Roman"/>
                <w:b/>
                <w:szCs w:val="21"/>
              </w:rPr>
            </w:pPr>
            <w:r>
              <w:rPr>
                <w:rFonts w:ascii="Times New Roman" w:hAnsi="Times New Roman"/>
                <w:b/>
                <w:szCs w:val="21"/>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noWrap/>
            <w:vAlign w:val="center"/>
          </w:tcPr>
          <w:p>
            <w:pPr>
              <w:adjustRightInd w:val="0"/>
              <w:snapToGrid w:val="0"/>
              <w:spacing w:beforeLines="20" w:afterLines="20"/>
              <w:jc w:val="center"/>
              <w:rPr>
                <w:rFonts w:asciiTheme="minorEastAsia" w:hAnsiTheme="minorEastAsia" w:eastAsiaTheme="minorEastAsia"/>
                <w:b/>
                <w:szCs w:val="21"/>
              </w:rPr>
            </w:pPr>
            <w:r>
              <w:rPr>
                <w:rFonts w:asciiTheme="minorEastAsia" w:hAnsiTheme="minorEastAsia" w:eastAsiaTheme="minorEastAsia"/>
                <w:szCs w:val="21"/>
              </w:rPr>
              <w:t>1</w:t>
            </w:r>
          </w:p>
        </w:tc>
        <w:tc>
          <w:tcPr>
            <w:tcW w:w="4918" w:type="dxa"/>
            <w:noWrap/>
            <w:vAlign w:val="center"/>
          </w:tcPr>
          <w:p>
            <w:pPr>
              <w:adjustRightInd w:val="0"/>
              <w:snapToGrid w:val="0"/>
              <w:spacing w:line="360" w:lineRule="auto"/>
              <w:jc w:val="center"/>
              <w:rPr>
                <w:rFonts w:ascii="Times New Roman" w:hAnsi="Times New Roman"/>
                <w:szCs w:val="21"/>
              </w:rPr>
            </w:pPr>
          </w:p>
        </w:tc>
        <w:tc>
          <w:tcPr>
            <w:tcW w:w="2097" w:type="dxa"/>
            <w:noWrap/>
            <w:vAlign w:val="center"/>
          </w:tcPr>
          <w:p>
            <w:pPr>
              <w:adjustRightInd w:val="0"/>
              <w:snapToGrid w:val="0"/>
              <w:spacing w:beforeLines="20" w:afterLines="2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noWrap/>
            <w:vAlign w:val="center"/>
          </w:tcPr>
          <w:p>
            <w:pPr>
              <w:adjustRightInd w:val="0"/>
              <w:snapToGrid w:val="0"/>
              <w:spacing w:beforeLines="20" w:afterLines="20"/>
              <w:jc w:val="center"/>
              <w:rPr>
                <w:rFonts w:asciiTheme="minorEastAsia" w:hAnsiTheme="minorEastAsia" w:eastAsiaTheme="minorEastAsia"/>
                <w:szCs w:val="21"/>
              </w:rPr>
            </w:pPr>
            <w:r>
              <w:rPr>
                <w:rFonts w:asciiTheme="minorEastAsia" w:hAnsiTheme="minorEastAsia" w:eastAsiaTheme="minorEastAsia"/>
                <w:szCs w:val="21"/>
              </w:rPr>
              <w:t>2</w:t>
            </w:r>
          </w:p>
        </w:tc>
        <w:tc>
          <w:tcPr>
            <w:tcW w:w="4918" w:type="dxa"/>
            <w:noWrap/>
            <w:vAlign w:val="center"/>
          </w:tcPr>
          <w:p>
            <w:pPr>
              <w:spacing w:line="460" w:lineRule="exact"/>
              <w:jc w:val="left"/>
              <w:rPr>
                <w:rFonts w:ascii="Times New Roman" w:hAnsi="Times New Roman"/>
                <w:szCs w:val="21"/>
              </w:rPr>
            </w:pPr>
          </w:p>
        </w:tc>
        <w:tc>
          <w:tcPr>
            <w:tcW w:w="2097" w:type="dxa"/>
            <w:noWrap/>
            <w:vAlign w:val="center"/>
          </w:tcPr>
          <w:p>
            <w:pPr>
              <w:adjustRightInd w:val="0"/>
              <w:snapToGrid w:val="0"/>
              <w:spacing w:beforeLines="20"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9" w:type="dxa"/>
            <w:noWrap/>
            <w:vAlign w:val="center"/>
          </w:tcPr>
          <w:p>
            <w:pPr>
              <w:adjustRightInd w:val="0"/>
              <w:snapToGrid w:val="0"/>
              <w:spacing w:beforeLines="20" w:afterLines="20"/>
              <w:jc w:val="center"/>
              <w:rPr>
                <w:rFonts w:asciiTheme="minorEastAsia" w:hAnsiTheme="minorEastAsia" w:eastAsiaTheme="minorEastAsia"/>
                <w:szCs w:val="21"/>
              </w:rPr>
            </w:pPr>
            <w:r>
              <w:rPr>
                <w:rFonts w:asciiTheme="minorEastAsia" w:hAnsiTheme="minorEastAsia" w:eastAsiaTheme="minorEastAsia"/>
                <w:szCs w:val="21"/>
              </w:rPr>
              <w:t>3</w:t>
            </w:r>
          </w:p>
        </w:tc>
        <w:tc>
          <w:tcPr>
            <w:tcW w:w="4918" w:type="dxa"/>
            <w:noWrap/>
            <w:vAlign w:val="center"/>
          </w:tcPr>
          <w:p>
            <w:pPr>
              <w:spacing w:line="460" w:lineRule="exact"/>
              <w:jc w:val="left"/>
              <w:rPr>
                <w:rFonts w:ascii="Times New Roman" w:hAnsi="Times New Roman"/>
                <w:szCs w:val="21"/>
              </w:rPr>
            </w:pPr>
          </w:p>
        </w:tc>
        <w:tc>
          <w:tcPr>
            <w:tcW w:w="2097" w:type="dxa"/>
            <w:noWrap/>
            <w:vAlign w:val="center"/>
          </w:tcPr>
          <w:p>
            <w:pPr>
              <w:adjustRightInd w:val="0"/>
              <w:snapToGrid w:val="0"/>
              <w:spacing w:beforeLines="20"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07" w:type="dxa"/>
            <w:gridSpan w:val="2"/>
            <w:noWrap/>
            <w:vAlign w:val="center"/>
          </w:tcPr>
          <w:p>
            <w:pPr>
              <w:adjustRightInd w:val="0"/>
              <w:snapToGrid w:val="0"/>
              <w:spacing w:beforeLines="20" w:afterLines="20"/>
              <w:jc w:val="center"/>
              <w:rPr>
                <w:rFonts w:ascii="Times New Roman" w:hAnsi="Times New Roman"/>
                <w:szCs w:val="21"/>
              </w:rPr>
            </w:pPr>
            <w:r>
              <w:rPr>
                <w:rFonts w:ascii="Times New Roman" w:hAnsi="Times New Roman"/>
                <w:szCs w:val="21"/>
              </w:rPr>
              <w:t>报价合计（小写）</w:t>
            </w:r>
          </w:p>
        </w:tc>
        <w:tc>
          <w:tcPr>
            <w:tcW w:w="2097" w:type="dxa"/>
            <w:noWrap/>
            <w:vAlign w:val="center"/>
          </w:tcPr>
          <w:p>
            <w:pPr>
              <w:adjustRightInd w:val="0"/>
              <w:snapToGrid w:val="0"/>
              <w:spacing w:beforeLines="20" w:afterLines="20"/>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07" w:type="dxa"/>
            <w:gridSpan w:val="2"/>
            <w:noWrap/>
            <w:vAlign w:val="center"/>
          </w:tcPr>
          <w:p>
            <w:pPr>
              <w:adjustRightInd w:val="0"/>
              <w:snapToGrid w:val="0"/>
              <w:spacing w:beforeLines="20" w:afterLines="20"/>
              <w:jc w:val="center"/>
              <w:rPr>
                <w:rFonts w:ascii="Times New Roman" w:hAnsi="Times New Roman"/>
                <w:b/>
                <w:bCs/>
                <w:szCs w:val="21"/>
              </w:rPr>
            </w:pPr>
            <w:r>
              <w:rPr>
                <w:rFonts w:ascii="Times New Roman" w:hAnsi="Times New Roman"/>
                <w:szCs w:val="21"/>
              </w:rPr>
              <w:t>报价合计（大写）</w:t>
            </w:r>
          </w:p>
        </w:tc>
        <w:tc>
          <w:tcPr>
            <w:tcW w:w="2097" w:type="dxa"/>
            <w:noWrap/>
            <w:vAlign w:val="center"/>
          </w:tcPr>
          <w:p>
            <w:pPr>
              <w:adjustRightInd w:val="0"/>
              <w:snapToGrid w:val="0"/>
              <w:spacing w:beforeLines="20" w:afterLines="20"/>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07" w:type="dxa"/>
            <w:gridSpan w:val="2"/>
            <w:noWrap/>
            <w:vAlign w:val="center"/>
          </w:tcPr>
          <w:p>
            <w:pPr>
              <w:adjustRightInd w:val="0"/>
              <w:snapToGrid w:val="0"/>
              <w:spacing w:beforeLines="20" w:afterLines="20"/>
              <w:jc w:val="center"/>
              <w:rPr>
                <w:rFonts w:ascii="Times New Roman" w:hAnsi="Times New Roman"/>
                <w:szCs w:val="21"/>
              </w:rPr>
            </w:pPr>
            <w:r>
              <w:rPr>
                <w:rFonts w:ascii="Times New Roman" w:hAnsi="Times New Roman"/>
                <w:szCs w:val="21"/>
              </w:rPr>
              <w:t>服务期</w:t>
            </w:r>
          </w:p>
        </w:tc>
        <w:tc>
          <w:tcPr>
            <w:tcW w:w="2097" w:type="dxa"/>
            <w:noWrap/>
            <w:vAlign w:val="center"/>
          </w:tcPr>
          <w:p>
            <w:pPr>
              <w:adjustRightInd w:val="0"/>
              <w:snapToGrid w:val="0"/>
              <w:spacing w:beforeLines="20" w:afterLines="20"/>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07" w:type="dxa"/>
            <w:gridSpan w:val="2"/>
            <w:noWrap/>
            <w:vAlign w:val="center"/>
          </w:tcPr>
          <w:p>
            <w:pPr>
              <w:adjustRightInd w:val="0"/>
              <w:snapToGrid w:val="0"/>
              <w:spacing w:beforeLines="20" w:afterLines="20"/>
              <w:jc w:val="center"/>
              <w:rPr>
                <w:rFonts w:ascii="Times New Roman" w:hAnsi="Times New Roman"/>
                <w:szCs w:val="21"/>
              </w:rPr>
            </w:pPr>
            <w:r>
              <w:rPr>
                <w:rFonts w:ascii="Times New Roman" w:hAnsi="Times New Roman"/>
                <w:szCs w:val="21"/>
              </w:rPr>
              <w:t>…</w:t>
            </w:r>
          </w:p>
        </w:tc>
        <w:tc>
          <w:tcPr>
            <w:tcW w:w="2097" w:type="dxa"/>
            <w:noWrap/>
            <w:vAlign w:val="center"/>
          </w:tcPr>
          <w:p>
            <w:pPr>
              <w:adjustRightInd w:val="0"/>
              <w:snapToGrid w:val="0"/>
              <w:spacing w:beforeLines="20" w:afterLines="20"/>
              <w:jc w:val="center"/>
              <w:rPr>
                <w:rFonts w:ascii="Times New Roman" w:hAnsi="Times New Roman"/>
                <w:b/>
                <w:bCs/>
                <w:sz w:val="44"/>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1.本项目总价及分项报价均不接受任何形式的赠送、“零”报价和折扣报价。</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2.本项目执行中所发生的所有费用均计入投标报价中，采购人不再另行支付其他任何费用。</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3.投标人应根据《招标文件-技术部分》相关要求填报。</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4.如报价不一致，按照投标人须知“19.核价原则”进行修正。</w:t>
      </w:r>
    </w:p>
    <w:p>
      <w:pPr>
        <w:topLinePunct/>
        <w:autoSpaceDE w:val="0"/>
        <w:autoSpaceDN w:val="0"/>
        <w:adjustRightInd w:val="0"/>
        <w:snapToGrid w:val="0"/>
        <w:spacing w:line="360" w:lineRule="auto"/>
        <w:ind w:firstLine="525" w:firstLineChars="250"/>
        <w:jc w:val="left"/>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kern w:val="0"/>
          <w:szCs w:val="21"/>
        </w:rPr>
        <w:t>投标人代表（签字）</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widowControl/>
        <w:jc w:val="center"/>
        <w:outlineLvl w:val="1"/>
        <w:rPr>
          <w:rFonts w:ascii="Times New Roman" w:hAnsi="Times New Roman"/>
          <w:b/>
          <w:sz w:val="28"/>
        </w:rPr>
      </w:pPr>
      <w:r>
        <w:rPr>
          <w:rFonts w:hAnsi="宋体" w:cs="宋体"/>
          <w:szCs w:val="21"/>
        </w:rPr>
        <w:br w:type="page"/>
      </w:r>
      <w:bookmarkStart w:id="99" w:name="_Toc30907"/>
      <w:bookmarkStart w:id="100" w:name="_Toc31594"/>
      <w:bookmarkStart w:id="101" w:name="_Toc25014"/>
      <w:r>
        <w:rPr>
          <w:rFonts w:asciiTheme="minorEastAsia" w:hAnsiTheme="minorEastAsia" w:eastAsiaTheme="minorEastAsia"/>
          <w:b/>
          <w:sz w:val="28"/>
        </w:rPr>
        <w:t>2.</w:t>
      </w:r>
      <w:r>
        <w:rPr>
          <w:rFonts w:ascii="Times New Roman" w:hAnsi="Times New Roman"/>
          <w:b/>
          <w:sz w:val="28"/>
        </w:rPr>
        <w:t>分项报价表</w:t>
      </w:r>
      <w:bookmarkEnd w:id="99"/>
      <w:bookmarkEnd w:id="100"/>
      <w:bookmarkEnd w:id="101"/>
    </w:p>
    <w:p>
      <w:pPr>
        <w:widowControl/>
        <w:jc w:val="center"/>
        <w:rPr>
          <w:rFonts w:ascii="宋体" w:hAnsi="宋体" w:cs="宋体"/>
          <w:b/>
          <w:sz w:val="28"/>
        </w:rPr>
      </w:pPr>
    </w:p>
    <w:p>
      <w:pPr>
        <w:pStyle w:val="13"/>
        <w:topLinePunct/>
        <w:autoSpaceDE w:val="0"/>
        <w:autoSpaceDN w:val="0"/>
        <w:adjustRightInd w:val="0"/>
        <w:snapToGrid w:val="0"/>
        <w:spacing w:line="360" w:lineRule="auto"/>
        <w:ind w:left="2"/>
        <w:jc w:val="center"/>
        <w:rPr>
          <w:rFonts w:hAnsi="宋体" w:cs="宋体"/>
          <w:b/>
          <w:bCs/>
        </w:rPr>
      </w:pPr>
      <w:r>
        <w:rPr>
          <w:rFonts w:hint="eastAsia" w:hAnsi="宋体" w:cs="宋体"/>
        </w:rPr>
        <w:t>（服务类项目适用)</w:t>
      </w:r>
    </w:p>
    <w:p>
      <w:pPr>
        <w:topLinePunct/>
        <w:autoSpaceDE w:val="0"/>
        <w:autoSpaceDN w:val="0"/>
        <w:adjustRightInd w:val="0"/>
        <w:snapToGrid w:val="0"/>
        <w:spacing w:line="360" w:lineRule="auto"/>
        <w:jc w:val="left"/>
        <w:rPr>
          <w:rFonts w:ascii="宋体" w:hAnsi="宋体" w:cs="宋体"/>
        </w:rPr>
      </w:pPr>
      <w:r>
        <w:rPr>
          <w:rFonts w:hint="eastAsia" w:ascii="宋体" w:hAnsi="宋体" w:cs="宋体"/>
        </w:rPr>
        <w:t>项目名称：</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项目编号：</w:t>
      </w:r>
    </w:p>
    <w:p>
      <w:pPr>
        <w:adjustRightInd w:val="0"/>
        <w:snapToGrid w:val="0"/>
        <w:spacing w:line="360" w:lineRule="auto"/>
        <w:ind w:right="840"/>
        <w:rPr>
          <w:rFonts w:ascii="宋体" w:hAnsi="宋体" w:cs="宋体"/>
          <w:bCs/>
          <w:w w:val="150"/>
          <w:szCs w:val="21"/>
        </w:rPr>
      </w:pPr>
      <w:r>
        <w:rPr>
          <w:rFonts w:hint="eastAsia" w:ascii="宋体" w:hAnsi="宋体" w:cs="宋体"/>
        </w:rPr>
        <w:t>采购包号：                                价格单位：人民币：元</w:t>
      </w:r>
    </w:p>
    <w:tbl>
      <w:tblPr>
        <w:tblStyle w:val="22"/>
        <w:tblW w:w="8349" w:type="dxa"/>
        <w:jc w:val="center"/>
        <w:tblLayout w:type="fixed"/>
        <w:tblCellMar>
          <w:top w:w="0" w:type="dxa"/>
          <w:left w:w="108" w:type="dxa"/>
          <w:bottom w:w="0" w:type="dxa"/>
          <w:right w:w="108" w:type="dxa"/>
        </w:tblCellMar>
      </w:tblPr>
      <w:tblGrid>
        <w:gridCol w:w="705"/>
        <w:gridCol w:w="1441"/>
        <w:gridCol w:w="2051"/>
        <w:gridCol w:w="1010"/>
        <w:gridCol w:w="1170"/>
        <w:gridCol w:w="1230"/>
        <w:gridCol w:w="742"/>
      </w:tblGrid>
      <w:tr>
        <w:tblPrEx>
          <w:tblCellMar>
            <w:top w:w="0" w:type="dxa"/>
            <w:left w:w="108" w:type="dxa"/>
            <w:bottom w:w="0" w:type="dxa"/>
            <w:right w:w="108" w:type="dxa"/>
          </w:tblCellMar>
        </w:tblPrEx>
        <w:trPr>
          <w:trHeight w:val="409"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szCs w:val="21"/>
              </w:rPr>
            </w:pPr>
            <w:r>
              <w:rPr>
                <w:rFonts w:ascii="Times New Roman" w:hAnsi="Times New Roman"/>
                <w:b/>
                <w:szCs w:val="21"/>
              </w:rPr>
              <w:t>序号</w:t>
            </w:r>
          </w:p>
        </w:tc>
        <w:tc>
          <w:tcPr>
            <w:tcW w:w="1441" w:type="dxa"/>
            <w:tcBorders>
              <w:top w:val="single" w:color="auto" w:sz="4" w:space="0"/>
              <w:left w:val="nil"/>
              <w:bottom w:val="single" w:color="auto" w:sz="4" w:space="0"/>
              <w:right w:val="single" w:color="auto" w:sz="4" w:space="0"/>
            </w:tcBorders>
            <w:vAlign w:val="center"/>
          </w:tcPr>
          <w:p>
            <w:pPr>
              <w:widowControl/>
              <w:ind w:left="-84" w:leftChars="-40" w:firstLine="82" w:firstLineChars="39"/>
              <w:jc w:val="center"/>
              <w:rPr>
                <w:rFonts w:ascii="Times New Roman" w:hAnsi="Times New Roman"/>
                <w:b/>
                <w:szCs w:val="21"/>
              </w:rPr>
            </w:pPr>
            <w:r>
              <w:rPr>
                <w:rFonts w:ascii="Times New Roman" w:hAnsi="Times New Roman"/>
                <w:b/>
                <w:szCs w:val="21"/>
              </w:rPr>
              <w:t>项目名称</w:t>
            </w:r>
          </w:p>
        </w:tc>
        <w:tc>
          <w:tcPr>
            <w:tcW w:w="20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szCs w:val="21"/>
              </w:rPr>
            </w:pPr>
            <w:r>
              <w:rPr>
                <w:rFonts w:ascii="Times New Roman" w:hAnsi="Times New Roman"/>
                <w:b/>
                <w:szCs w:val="21"/>
              </w:rPr>
              <w:t>内容描述</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szCs w:val="21"/>
              </w:rPr>
            </w:pPr>
            <w:r>
              <w:rPr>
                <w:rFonts w:hint="eastAsia" w:ascii="Times New Roman" w:hAnsi="Times New Roman"/>
                <w:b/>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szCs w:val="21"/>
              </w:rPr>
            </w:pPr>
            <w:r>
              <w:rPr>
                <w:rFonts w:hint="eastAsia" w:ascii="Times New Roman" w:hAnsi="Times New Roman"/>
                <w:b/>
                <w:szCs w:val="21"/>
              </w:rPr>
              <w:t>单价</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szCs w:val="21"/>
              </w:rPr>
            </w:pPr>
            <w:r>
              <w:rPr>
                <w:rFonts w:ascii="Times New Roman" w:hAnsi="Times New Roman"/>
                <w:b/>
                <w:szCs w:val="21"/>
              </w:rPr>
              <w:t>小计</w:t>
            </w:r>
          </w:p>
          <w:p>
            <w:pPr>
              <w:widowControl/>
              <w:jc w:val="center"/>
              <w:rPr>
                <w:rFonts w:ascii="Times New Roman" w:hAnsi="Times New Roman"/>
                <w:b/>
                <w:szCs w:val="21"/>
              </w:rPr>
            </w:pPr>
            <w:r>
              <w:rPr>
                <w:rFonts w:ascii="Times New Roman" w:hAnsi="Times New Roman"/>
                <w:b/>
                <w:szCs w:val="21"/>
              </w:rPr>
              <w:t>（元）</w:t>
            </w:r>
          </w:p>
        </w:tc>
        <w:tc>
          <w:tcPr>
            <w:tcW w:w="742"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备注</w:t>
            </w: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05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05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1"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205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08" w:hRule="atLeast"/>
          <w:tblHeader/>
          <w:jc w:val="center"/>
        </w:trPr>
        <w:tc>
          <w:tcPr>
            <w:tcW w:w="705" w:type="dxa"/>
            <w:tcBorders>
              <w:top w:val="nil"/>
              <w:left w:val="single" w:color="auto" w:sz="4" w:space="0"/>
              <w:bottom w:val="single" w:color="auto" w:sz="4" w:space="0"/>
              <w:right w:val="single" w:color="auto" w:sz="4" w:space="0"/>
            </w:tcBorders>
            <w:vAlign w:val="center"/>
          </w:tcPr>
          <w:p>
            <w:pPr>
              <w:tabs>
                <w:tab w:val="left" w:pos="425"/>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441" w:type="dxa"/>
            <w:tcBorders>
              <w:top w:val="nil"/>
              <w:left w:val="nil"/>
              <w:bottom w:val="single" w:color="auto" w:sz="4" w:space="0"/>
              <w:right w:val="single" w:color="auto" w:sz="4" w:space="0"/>
            </w:tcBorders>
            <w:vAlign w:val="center"/>
          </w:tcPr>
          <w:p>
            <w:pPr>
              <w:jc w:val="center"/>
              <w:rPr>
                <w:rFonts w:ascii="Times New Roman" w:hAnsi="Times New Roman"/>
                <w:szCs w:val="21"/>
              </w:rPr>
            </w:pPr>
          </w:p>
        </w:tc>
        <w:tc>
          <w:tcPr>
            <w:tcW w:w="2051" w:type="dxa"/>
            <w:tcBorders>
              <w:top w:val="nil"/>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nil"/>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nil"/>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nil"/>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nil"/>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16"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44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205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10"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r>
              <w:rPr>
                <w:rFonts w:ascii="Times New Roman" w:hAnsi="Times New Roman"/>
                <w:szCs w:val="21"/>
              </w:rPr>
              <w:t>……</w:t>
            </w:r>
          </w:p>
        </w:tc>
        <w:tc>
          <w:tcPr>
            <w:tcW w:w="144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2051" w:type="dxa"/>
            <w:tcBorders>
              <w:top w:val="single" w:color="auto" w:sz="4" w:space="0"/>
              <w:left w:val="nil"/>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r>
        <w:tblPrEx>
          <w:tblCellMar>
            <w:top w:w="0" w:type="dxa"/>
            <w:left w:w="108" w:type="dxa"/>
            <w:bottom w:w="0" w:type="dxa"/>
            <w:right w:w="108" w:type="dxa"/>
          </w:tblCellMar>
        </w:tblPrEx>
        <w:trPr>
          <w:trHeight w:val="610" w:hRule="atLeast"/>
          <w:tblHeader/>
          <w:jc w:val="center"/>
        </w:trPr>
        <w:tc>
          <w:tcPr>
            <w:tcW w:w="4197" w:type="dxa"/>
            <w:gridSpan w:val="3"/>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b/>
                <w:szCs w:val="21"/>
              </w:rPr>
            </w:pPr>
            <w:r>
              <w:rPr>
                <w:rFonts w:ascii="Times New Roman" w:hAnsi="Times New Roman"/>
                <w:b/>
                <w:szCs w:val="21"/>
              </w:rPr>
              <w:t>合   计</w:t>
            </w: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c>
          <w:tcPr>
            <w:tcW w:w="74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jc w:val="center"/>
              <w:rPr>
                <w:rFonts w:ascii="Times New Roman" w:hAnsi="Times New Roman"/>
                <w:szCs w:val="21"/>
              </w:rPr>
            </w:pPr>
          </w:p>
        </w:tc>
      </w:tr>
    </w:tbl>
    <w:p>
      <w:pPr>
        <w:topLinePunct/>
        <w:autoSpaceDE w:val="0"/>
        <w:autoSpaceDN w:val="0"/>
        <w:spacing w:line="360" w:lineRule="auto"/>
        <w:rPr>
          <w:rFonts w:ascii="Times New Roman" w:hAnsi="Times New Roman"/>
          <w:szCs w:val="21"/>
        </w:rPr>
      </w:pPr>
      <w:r>
        <w:rPr>
          <w:rFonts w:ascii="Times New Roman" w:hAnsi="Times New Roman"/>
          <w:szCs w:val="21"/>
        </w:rPr>
        <w:t>特别说明：</w:t>
      </w:r>
    </w:p>
    <w:p>
      <w:pPr>
        <w:topLinePunct/>
        <w:autoSpaceDE w:val="0"/>
        <w:autoSpaceDN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1.本项目总价及分项报价均不接受任何形式的赠送、“零”报价和折扣报价。</w:t>
      </w:r>
    </w:p>
    <w:p>
      <w:pPr>
        <w:topLinePunct/>
        <w:autoSpaceDE w:val="0"/>
        <w:autoSpaceDN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2.如报价不一致，按照投标人须知“19.核价原则”进行修正。</w:t>
      </w:r>
    </w:p>
    <w:p>
      <w:pPr>
        <w:topLinePunct/>
        <w:autoSpaceDE w:val="0"/>
        <w:autoSpaceDN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3.本表中小计=数量×单价。</w:t>
      </w:r>
    </w:p>
    <w:p>
      <w:pPr>
        <w:topLinePunct/>
        <w:autoSpaceDE w:val="0"/>
        <w:autoSpaceDN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4.本表仅供参考，可扩展。</w:t>
      </w:r>
    </w:p>
    <w:p>
      <w:pPr>
        <w:pStyle w:val="13"/>
        <w:ind w:firstLine="420" w:firstLineChars="200"/>
        <w:rPr>
          <w:rFonts w:asciiTheme="minorEastAsia" w:hAnsiTheme="minorEastAsia" w:eastAsiaTheme="minorEastAsia" w:cstheme="minorEastAsia"/>
        </w:rPr>
      </w:pPr>
    </w:p>
    <w:p>
      <w:pPr>
        <w:tabs>
          <w:tab w:val="left" w:pos="1230"/>
        </w:tabs>
        <w:topLinePunct/>
        <w:autoSpaceDE w:val="0"/>
        <w:autoSpaceDN w:val="0"/>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w:t>
      </w:r>
      <w:r>
        <w:rPr>
          <w:rFonts w:hint="eastAsia" w:asciiTheme="minorEastAsia" w:hAnsiTheme="minorEastAsia" w:eastAsiaTheme="minorEastAsia" w:cstheme="minorEastAsia"/>
          <w:kern w:val="0"/>
          <w:szCs w:val="21"/>
        </w:rPr>
        <w:t>（全称并加盖公章</w:t>
      </w:r>
      <w:r>
        <w:rPr>
          <w:rFonts w:hint="eastAsia" w:asciiTheme="minorEastAsia" w:hAnsiTheme="minorEastAsia" w:eastAsiaTheme="minorEastAsia" w:cstheme="minorEastAsia"/>
          <w:szCs w:val="21"/>
        </w:rPr>
        <w:t>）：</w:t>
      </w:r>
    </w:p>
    <w:p>
      <w:pPr>
        <w:tabs>
          <w:tab w:val="left" w:pos="1230"/>
        </w:tabs>
        <w:topLinePunct/>
        <w:autoSpaceDE w:val="0"/>
        <w:autoSpaceDN w:val="0"/>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投标人代表（签字）</w:t>
      </w:r>
      <w:r>
        <w:rPr>
          <w:rFonts w:hint="eastAsia" w:asciiTheme="minorEastAsia" w:hAnsiTheme="minorEastAsia" w:eastAsiaTheme="minorEastAsia" w:cstheme="minorEastAsia"/>
          <w:szCs w:val="21"/>
        </w:rPr>
        <w:t>：</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日期：</w:t>
      </w:r>
    </w:p>
    <w:p>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hint="eastAsia" w:ascii="宋体" w:hAnsi="宋体" w:cs="宋体"/>
          <w:b/>
          <w:bCs/>
          <w:sz w:val="28"/>
          <w:szCs w:val="28"/>
        </w:rPr>
        <w:t xml:space="preserve">格式8  </w:t>
      </w:r>
      <w:r>
        <w:rPr>
          <w:rFonts w:hint="eastAsia" w:ascii="Times New Roman" w:hAnsi="Times New Roman" w:cs="宋体"/>
          <w:b/>
          <w:bCs/>
          <w:sz w:val="28"/>
          <w:szCs w:val="28"/>
        </w:rPr>
        <w:t>授权委托书</w:t>
      </w:r>
    </w:p>
    <w:p>
      <w:pPr>
        <w:adjustRightInd w:val="0"/>
        <w:snapToGrid w:val="0"/>
        <w:spacing w:line="360" w:lineRule="auto"/>
        <w:jc w:val="center"/>
        <w:rPr>
          <w:rFonts w:ascii="Times New Roman" w:hAnsi="Times New Roman"/>
          <w:b/>
          <w:bCs/>
          <w:sz w:val="28"/>
          <w:szCs w:val="28"/>
        </w:rPr>
      </w:pPr>
      <w:r>
        <w:rPr>
          <w:rFonts w:hint="eastAsia" w:asciiTheme="minorEastAsia" w:hAnsiTheme="minorEastAsia" w:eastAsiaTheme="minorEastAsia"/>
          <w:b/>
          <w:bCs/>
          <w:sz w:val="28"/>
          <w:szCs w:val="28"/>
        </w:rPr>
        <w:t>8</w:t>
      </w:r>
      <w:r>
        <w:rPr>
          <w:rFonts w:asciiTheme="minorEastAsia" w:hAnsiTheme="minorEastAsia" w:eastAsiaTheme="minorEastAsia"/>
          <w:b/>
          <w:bCs/>
          <w:sz w:val="28"/>
          <w:szCs w:val="28"/>
        </w:rPr>
        <w:t>-1</w:t>
      </w:r>
      <w:r>
        <w:rPr>
          <w:rFonts w:hint="eastAsia" w:ascii="Times New Roman" w:hAnsi="Times New Roman" w:cs="宋体"/>
          <w:b/>
          <w:bCs/>
          <w:sz w:val="28"/>
          <w:szCs w:val="28"/>
        </w:rPr>
        <w:t>法定代表人授权委托书</w:t>
      </w:r>
    </w:p>
    <w:p>
      <w:pPr>
        <w:adjustRightInd w:val="0"/>
        <w:snapToGrid w:val="0"/>
        <w:spacing w:line="360" w:lineRule="auto"/>
        <w:jc w:val="center"/>
        <w:rPr>
          <w:rFonts w:ascii="宋体" w:hAnsi="宋体" w:cs="宋体"/>
          <w:b/>
          <w:bCs/>
          <w:sz w:val="24"/>
        </w:rPr>
      </w:pPr>
      <w:r>
        <w:rPr>
          <w:rFonts w:hint="eastAsia" w:ascii="宋体" w:hAnsi="宋体" w:cs="宋体"/>
          <w:szCs w:val="21"/>
        </w:rPr>
        <w:t>(适用于授权代表参加投标)</w:t>
      </w:r>
    </w:p>
    <w:p>
      <w:pPr>
        <w:pStyle w:val="10"/>
        <w:widowControl w:val="0"/>
        <w:spacing w:before="0" w:beforeAutospacing="0" w:after="0" w:afterAutospacing="0"/>
        <w:jc w:val="both"/>
        <w:rPr>
          <w:rFonts w:ascii="Times New Roman" w:hAnsi="Times New Roman" w:eastAsia="仿宋_GB2312" w:cs="Courier New"/>
        </w:rPr>
      </w:pPr>
    </w:p>
    <w:p>
      <w:pPr>
        <w:spacing w:line="360" w:lineRule="auto"/>
      </w:pPr>
      <w:r>
        <w:rPr>
          <w:rFonts w:hint="eastAsia" w:cs="宋体"/>
        </w:rPr>
        <w:t>致</w:t>
      </w:r>
      <w:r>
        <w:t>____________(</w:t>
      </w:r>
      <w:r>
        <w:rPr>
          <w:rFonts w:hint="eastAsia" w:cs="宋体"/>
        </w:rPr>
        <w:t>采购人或采购代理机构</w:t>
      </w:r>
      <w:r>
        <w:t>)</w:t>
      </w:r>
      <w:r>
        <w:rPr>
          <w:rFonts w:hint="eastAsia" w:cs="宋体"/>
        </w:rPr>
        <w:t>：</w:t>
      </w:r>
    </w:p>
    <w:p>
      <w:pPr>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szCs w:val="21"/>
          <w:u w:val="single"/>
        </w:rPr>
        <w:t xml:space="preserve">          项目</w:t>
      </w:r>
      <w:r>
        <w:rPr>
          <w:rFonts w:hint="eastAsia" w:ascii="宋体" w:hAnsi="宋体" w:cs="宋体"/>
          <w:szCs w:val="21"/>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本授权书于______年______月_____日生效，特此声明。</w:t>
      </w:r>
    </w:p>
    <w:p>
      <w:pPr>
        <w:pStyle w:val="10"/>
        <w:widowControl w:val="0"/>
        <w:adjustRightInd w:val="0"/>
        <w:snapToGrid w:val="0"/>
        <w:spacing w:before="0" w:beforeAutospacing="0" w:after="0" w:afterAutospacing="0" w:line="360" w:lineRule="auto"/>
        <w:ind w:firstLine="420" w:firstLineChars="200"/>
        <w:jc w:val="both"/>
      </w:pPr>
      <w:r>
        <w:rPr>
          <w:rFonts w:hint="eastAsia"/>
          <w:kern w:val="2"/>
          <w:sz w:val="21"/>
          <w:szCs w:val="21"/>
        </w:rPr>
        <w:t>被授权投标代表无转委托权。</w:t>
      </w:r>
    </w:p>
    <w:p>
      <w:pPr>
        <w:pStyle w:val="10"/>
        <w:widowControl w:val="0"/>
        <w:adjustRightInd w:val="0"/>
        <w:snapToGrid w:val="0"/>
        <w:spacing w:before="0" w:beforeAutospacing="0" w:after="0" w:afterAutospacing="0" w:line="360" w:lineRule="auto"/>
        <w:jc w:val="both"/>
      </w:pPr>
    </w:p>
    <w:tbl>
      <w:tblPr>
        <w:tblStyle w:val="2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r>
              <w:rPr>
                <w:rFonts w:hint="eastAsia"/>
                <w:b/>
                <w:kern w:val="2"/>
                <w:sz w:val="21"/>
                <w:szCs w:val="21"/>
              </w:rPr>
              <w:t>被授权投标代表</w:t>
            </w:r>
            <w:r>
              <w:rPr>
                <w:rFonts w:hint="eastAsia"/>
                <w:kern w:val="2"/>
                <w:sz w:val="21"/>
                <w:szCs w:val="21"/>
              </w:rPr>
              <w:t>身份证复印件</w:t>
            </w: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tc>
      </w:tr>
    </w:tbl>
    <w:p>
      <w:pPr>
        <w:pStyle w:val="10"/>
        <w:widowControl w:val="0"/>
        <w:adjustRightInd w:val="0"/>
        <w:snapToGrid w:val="0"/>
        <w:spacing w:before="0" w:beforeAutospacing="0" w:after="0" w:afterAutospacing="0" w:line="360" w:lineRule="auto"/>
      </w:pP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投标人名称（公章）：________________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法定代表人（签字）：________________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被授权投标代表（签字）：________________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被授权投标代表联系电话：____________</w:t>
      </w:r>
    </w:p>
    <w:p>
      <w:pPr>
        <w:tabs>
          <w:tab w:val="left" w:pos="1230"/>
        </w:tabs>
        <w:topLinePunct/>
        <w:autoSpaceDE w:val="0"/>
        <w:autoSpaceDN w:val="0"/>
        <w:adjustRightInd w:val="0"/>
        <w:snapToGrid w:val="0"/>
        <w:spacing w:line="360" w:lineRule="auto"/>
        <w:ind w:left="363"/>
        <w:rPr>
          <w:rFonts w:ascii="宋体" w:hAnsi="宋体" w:cs="宋体"/>
          <w:szCs w:val="21"/>
        </w:rPr>
      </w:pPr>
      <w:r>
        <w:rPr>
          <w:rFonts w:hint="eastAsia" w:ascii="宋体" w:hAnsi="宋体" w:cs="宋体"/>
          <w:szCs w:val="21"/>
        </w:rPr>
        <w:t>日期：____________</w:t>
      </w:r>
    </w:p>
    <w:p>
      <w:pPr>
        <w:topLinePunct/>
        <w:autoSpaceDE w:val="0"/>
        <w:autoSpaceDN w:val="0"/>
        <w:adjustRightInd w:val="0"/>
        <w:snapToGrid w:val="0"/>
        <w:spacing w:line="360" w:lineRule="auto"/>
        <w:jc w:val="left"/>
        <w:rPr>
          <w:rFonts w:ascii="Times New Roman" w:hAnsi="Times New Roman"/>
        </w:rPr>
      </w:pPr>
    </w:p>
    <w:p>
      <w:pPr>
        <w:topLinePunct/>
        <w:autoSpaceDE w:val="0"/>
        <w:autoSpaceDN w:val="0"/>
        <w:adjustRightInd w:val="0"/>
        <w:snapToGrid w:val="0"/>
        <w:spacing w:line="360" w:lineRule="auto"/>
        <w:jc w:val="left"/>
        <w:rPr>
          <w:rFonts w:ascii="Times New Roman" w:hAnsi="Times New Roman"/>
          <w:i/>
          <w:iCs/>
        </w:rPr>
      </w:pPr>
      <w:r>
        <w:rPr>
          <w:rFonts w:hint="eastAsia" w:ascii="Times New Roman" w:hAnsi="Times New Roman" w:cs="宋体"/>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rPr>
      </w:pPr>
      <w:r>
        <w:rPr>
          <w:rFonts w:ascii="Times New Roman" w:hAnsi="Times New Roman"/>
        </w:rPr>
        <w:t>1.</w:t>
      </w:r>
      <w:r>
        <w:rPr>
          <w:rFonts w:hint="eastAsia" w:ascii="Times New Roman" w:hAnsi="Times New Roman" w:cs="宋体"/>
        </w:rPr>
        <w:t>投标人如由被授权投标代表参与投标活动的，须同时提供《法定代表人授权委托书》和被授权投标代表身份证复印件</w:t>
      </w:r>
      <w:r>
        <w:rPr>
          <w:rFonts w:hint="eastAsia" w:ascii="Times New Roman" w:hAnsi="Times New Roman" w:cs="宋体"/>
          <w:bCs/>
          <w:szCs w:val="21"/>
        </w:rPr>
        <w:t>（线上采购项目提供扫描件，下同）</w:t>
      </w:r>
      <w:r>
        <w:rPr>
          <w:rFonts w:hint="eastAsia" w:ascii="Times New Roman" w:hAnsi="Times New Roman" w:cs="宋体"/>
        </w:rPr>
        <w:t>。《法定代表人授权委托书》应当按本格式要求加盖与投标人名称全称一致的标准公章，并签署法定代表人或被授权投标代表的全名</w:t>
      </w:r>
      <w:r>
        <w:rPr>
          <w:rFonts w:hint="eastAsia" w:ascii="Times New Roman" w:hAnsi="Times New Roman" w:cs="宋体"/>
          <w:szCs w:val="21"/>
        </w:rPr>
        <w:t>。</w:t>
      </w:r>
      <w:r>
        <w:rPr>
          <w:rFonts w:ascii="Times New Roman" w:hAnsi="Times New Roman"/>
          <w:szCs w:val="21"/>
        </w:rPr>
        <w:t>(</w:t>
      </w:r>
      <w:r>
        <w:rPr>
          <w:rFonts w:hint="eastAsia" w:ascii="Times New Roman" w:hAnsi="Times New Roman" w:cs="宋体"/>
          <w:szCs w:val="21"/>
        </w:rPr>
        <w:t>线上采购项目应上传扫描件</w:t>
      </w:r>
      <w:r>
        <w:rPr>
          <w:rFonts w:ascii="Times New Roman" w:hAnsi="Times New Roman"/>
          <w:szCs w:val="21"/>
        </w:rPr>
        <w:t>)</w:t>
      </w:r>
      <w:r>
        <w:rPr>
          <w:rFonts w:hint="eastAsia" w:ascii="Times New Roman" w:hAnsi="Times New Roman" w:cs="宋体"/>
        </w:rPr>
        <w:t>。</w:t>
      </w:r>
    </w:p>
    <w:p>
      <w:pPr>
        <w:adjustRightInd w:val="0"/>
        <w:snapToGrid w:val="0"/>
        <w:spacing w:line="360" w:lineRule="auto"/>
        <w:jc w:val="center"/>
        <w:rPr>
          <w:rFonts w:ascii="Times New Roman" w:hAnsi="Times New Roman"/>
          <w:b/>
          <w:bCs/>
          <w:sz w:val="28"/>
          <w:szCs w:val="28"/>
        </w:rPr>
      </w:pPr>
      <w:r>
        <w:rPr>
          <w:rFonts w:hint="eastAsia" w:ascii="宋体" w:hAnsi="宋体" w:cs="宋体"/>
          <w:b/>
          <w:bCs/>
          <w:sz w:val="36"/>
          <w:szCs w:val="36"/>
        </w:rPr>
        <w:br w:type="page"/>
      </w:r>
      <w:r>
        <w:rPr>
          <w:rFonts w:hint="eastAsia" w:asciiTheme="minorEastAsia" w:hAnsiTheme="minorEastAsia" w:eastAsiaTheme="minorEastAsia"/>
          <w:b/>
          <w:bCs/>
          <w:sz w:val="28"/>
          <w:szCs w:val="28"/>
        </w:rPr>
        <w:t>8</w:t>
      </w:r>
      <w:r>
        <w:rPr>
          <w:rFonts w:asciiTheme="minorEastAsia" w:hAnsiTheme="minorEastAsia" w:eastAsiaTheme="minorEastAsia"/>
          <w:b/>
          <w:bCs/>
          <w:sz w:val="28"/>
          <w:szCs w:val="28"/>
        </w:rPr>
        <w:t>-2</w:t>
      </w:r>
      <w:r>
        <w:rPr>
          <w:rFonts w:hint="eastAsia" w:ascii="Times New Roman" w:hAnsi="Times New Roman" w:cs="宋体"/>
          <w:b/>
          <w:bCs/>
          <w:sz w:val="28"/>
          <w:szCs w:val="28"/>
        </w:rPr>
        <w:t>法定代表人身份证明复印件</w:t>
      </w:r>
    </w:p>
    <w:p>
      <w:pPr>
        <w:adjustRightInd w:val="0"/>
        <w:snapToGrid w:val="0"/>
        <w:spacing w:line="360" w:lineRule="auto"/>
        <w:jc w:val="center"/>
        <w:rPr>
          <w:rFonts w:ascii="宋体" w:hAnsi="宋体" w:cs="宋体"/>
          <w:szCs w:val="21"/>
        </w:rPr>
      </w:pPr>
      <w:r>
        <w:rPr>
          <w:rFonts w:hint="eastAsia" w:ascii="宋体" w:hAnsi="宋体" w:cs="宋体"/>
          <w:szCs w:val="21"/>
        </w:rPr>
        <w:t>(适用于法定代表人参加投标)</w:t>
      </w:r>
    </w:p>
    <w:p>
      <w:pPr>
        <w:topLinePunct/>
        <w:autoSpaceDE w:val="0"/>
        <w:autoSpaceDN w:val="0"/>
        <w:adjustRightInd w:val="0"/>
        <w:snapToGrid w:val="0"/>
        <w:spacing w:line="360" w:lineRule="auto"/>
        <w:ind w:firstLine="420" w:firstLineChars="200"/>
      </w:pPr>
    </w:p>
    <w:tbl>
      <w:tblPr>
        <w:tblStyle w:val="2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r>
              <w:rPr>
                <w:rFonts w:hint="eastAsia"/>
                <w:kern w:val="2"/>
                <w:sz w:val="21"/>
                <w:szCs w:val="21"/>
              </w:rPr>
              <w:t>法定代表人身份证明复印件</w:t>
            </w: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p>
            <w:pPr>
              <w:pStyle w:val="10"/>
              <w:widowControl w:val="0"/>
              <w:adjustRightInd w:val="0"/>
              <w:snapToGrid w:val="0"/>
              <w:spacing w:before="0" w:beforeAutospacing="0" w:after="0" w:afterAutospacing="0" w:line="360" w:lineRule="auto"/>
              <w:jc w:val="center"/>
            </w:pPr>
          </w:p>
        </w:tc>
      </w:tr>
    </w:tbl>
    <w:p>
      <w:pPr>
        <w:topLinePunct/>
        <w:autoSpaceDE w:val="0"/>
        <w:autoSpaceDN w:val="0"/>
        <w:adjustRightInd w:val="0"/>
        <w:snapToGrid w:val="0"/>
        <w:spacing w:line="360" w:lineRule="auto"/>
        <w:jc w:val="left"/>
        <w:rPr>
          <w:rFonts w:eastAsia="仿宋_GB2312"/>
        </w:rPr>
      </w:pPr>
    </w:p>
    <w:p>
      <w:pPr>
        <w:topLinePunct/>
        <w:autoSpaceDE w:val="0"/>
        <w:autoSpaceDN w:val="0"/>
        <w:adjustRightInd w:val="0"/>
        <w:snapToGrid w:val="0"/>
        <w:spacing w:line="360" w:lineRule="auto"/>
        <w:jc w:val="left"/>
        <w:rPr>
          <w:rFonts w:ascii="宋体" w:hAnsi="宋体" w:cs="宋体"/>
          <w:i/>
          <w:iCs/>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投标人如由</w:t>
      </w:r>
      <w:r>
        <w:rPr>
          <w:rFonts w:hint="eastAsia" w:ascii="宋体" w:hAnsi="宋体" w:cs="宋体"/>
          <w:b/>
          <w:bCs/>
        </w:rPr>
        <w:t>法定代表人作为投标代表参与投标活动的，仅须提供法定代表人身份证复印件</w:t>
      </w:r>
      <w:r>
        <w:rPr>
          <w:rFonts w:hint="eastAsia" w:ascii="宋体" w:hAnsi="宋体" w:cs="宋体"/>
          <w:bCs/>
          <w:szCs w:val="21"/>
        </w:rPr>
        <w:t>（线上采购项目提供扫描件，下同）</w:t>
      </w:r>
      <w:r>
        <w:rPr>
          <w:rFonts w:hint="eastAsia" w:ascii="宋体" w:hAnsi="宋体" w:cs="宋体"/>
        </w:rPr>
        <w:t>。</w:t>
      </w:r>
    </w:p>
    <w:p>
      <w:pPr>
        <w:pStyle w:val="10"/>
        <w:widowControl w:val="0"/>
        <w:spacing w:before="0" w:beforeAutospacing="0" w:after="0" w:afterAutospacing="0"/>
        <w:ind w:firstLine="480" w:firstLineChars="200"/>
        <w:jc w:val="both"/>
        <w:rPr>
          <w:rFonts w:ascii="Times New Roman" w:hAnsi="Times New Roman" w:eastAsia="仿宋_GB2312" w:cs="Courier New"/>
        </w:rPr>
      </w:pPr>
    </w:p>
    <w:p>
      <w:pPr>
        <w:widowControl/>
        <w:jc w:val="left"/>
        <w:rPr>
          <w:rFonts w:ascii="宋体" w:hAnsi="宋体" w:cs="宋体"/>
          <w:b/>
          <w:bCs/>
          <w:sz w:val="36"/>
          <w:szCs w:val="36"/>
        </w:rPr>
      </w:pPr>
      <w:r>
        <w:rPr>
          <w:rFonts w:hint="eastAsia" w:ascii="宋体" w:hAnsi="宋体" w:cs="宋体"/>
          <w:b/>
          <w:bCs/>
          <w:sz w:val="36"/>
          <w:szCs w:val="36"/>
        </w:rPr>
        <w:br w:type="page"/>
      </w:r>
    </w:p>
    <w:p>
      <w:pPr>
        <w:adjustRightInd w:val="0"/>
        <w:snapToGrid w:val="0"/>
        <w:spacing w:line="360" w:lineRule="auto"/>
        <w:jc w:val="center"/>
        <w:rPr>
          <w:rFonts w:ascii="Times New Roman" w:hAnsi="Times New Roman"/>
          <w:b/>
          <w:bCs/>
          <w:sz w:val="28"/>
          <w:szCs w:val="28"/>
        </w:rPr>
      </w:pPr>
      <w:r>
        <w:rPr>
          <w:rFonts w:hint="eastAsia" w:asciiTheme="minorEastAsia" w:hAnsiTheme="minorEastAsia" w:eastAsiaTheme="minorEastAsia"/>
          <w:b/>
          <w:bCs/>
          <w:sz w:val="28"/>
          <w:szCs w:val="28"/>
        </w:rPr>
        <w:t>8</w:t>
      </w:r>
      <w:r>
        <w:rPr>
          <w:rFonts w:asciiTheme="minorEastAsia" w:hAnsiTheme="minorEastAsia" w:eastAsiaTheme="minorEastAsia"/>
          <w:b/>
          <w:bCs/>
          <w:sz w:val="28"/>
          <w:szCs w:val="28"/>
        </w:rPr>
        <w:t>-3</w:t>
      </w:r>
      <w:r>
        <w:rPr>
          <w:rFonts w:hint="eastAsia" w:ascii="Times New Roman" w:hAnsi="Times New Roman" w:cs="宋体"/>
          <w:b/>
          <w:bCs/>
          <w:sz w:val="28"/>
          <w:szCs w:val="28"/>
        </w:rPr>
        <w:t>自然人授权委托书</w:t>
      </w:r>
    </w:p>
    <w:p>
      <w:pPr>
        <w:adjustRightInd w:val="0"/>
        <w:snapToGrid w:val="0"/>
        <w:spacing w:line="360" w:lineRule="auto"/>
        <w:jc w:val="center"/>
        <w:rPr>
          <w:rFonts w:ascii="宋体" w:hAnsi="宋体" w:cs="宋体"/>
          <w:szCs w:val="21"/>
        </w:rPr>
      </w:pPr>
      <w:r>
        <w:rPr>
          <w:rFonts w:hint="eastAsia" w:ascii="宋体" w:hAnsi="宋体" w:cs="宋体"/>
          <w:szCs w:val="21"/>
        </w:rPr>
        <w:t>(适用于自然人投标)</w:t>
      </w:r>
    </w:p>
    <w:p>
      <w:pPr>
        <w:pStyle w:val="10"/>
        <w:widowControl w:val="0"/>
        <w:spacing w:before="0" w:beforeAutospacing="0" w:after="0" w:afterAutospacing="0"/>
        <w:jc w:val="both"/>
        <w:rPr>
          <w:rFonts w:ascii="Times New Roman" w:hAnsi="Times New Roman" w:eastAsia="仿宋_GB2312" w:cs="Courier New"/>
        </w:rPr>
      </w:pPr>
    </w:p>
    <w:p>
      <w:pPr>
        <w:spacing w:line="360" w:lineRule="auto"/>
      </w:pPr>
      <w:r>
        <w:rPr>
          <w:rFonts w:hint="eastAsia" w:cs="宋体"/>
        </w:rPr>
        <w:t>致</w:t>
      </w:r>
      <w:r>
        <w:t>____________(</w:t>
      </w:r>
      <w:r>
        <w:rPr>
          <w:rFonts w:hint="eastAsia" w:cs="宋体"/>
        </w:rPr>
        <w:t>采购人或采购代理机构</w:t>
      </w:r>
      <w:r>
        <w:t>)</w:t>
      </w:r>
      <w:r>
        <w:rPr>
          <w:rFonts w:hint="eastAsia" w:cs="宋体"/>
        </w:rPr>
        <w:t>：</w:t>
      </w:r>
    </w:p>
    <w:p>
      <w:pPr>
        <w:spacing w:line="360" w:lineRule="auto"/>
        <w:ind w:firstLine="420" w:firstLineChars="200"/>
      </w:pPr>
      <w:r>
        <w:rPr>
          <w:rFonts w:hint="eastAsia" w:cs="宋体"/>
        </w:rPr>
        <w:t>本授权书声明：我</w:t>
      </w:r>
      <w:r>
        <w:t>________(</w:t>
      </w:r>
      <w:r>
        <w:rPr>
          <w:rFonts w:hint="eastAsia" w:cs="宋体"/>
        </w:rPr>
        <w:t>姓名、身份证号码</w:t>
      </w:r>
      <w:r>
        <w:t>)</w:t>
      </w:r>
      <w:r>
        <w:rPr>
          <w:rFonts w:hint="eastAsia" w:cs="宋体"/>
        </w:rPr>
        <w:t>系自然人，现授权委托</w:t>
      </w:r>
      <w:r>
        <w:t>____________(</w:t>
      </w:r>
      <w:r>
        <w:rPr>
          <w:rFonts w:hint="eastAsia" w:cs="宋体"/>
        </w:rPr>
        <w:t>姓名、身份证号码</w:t>
      </w:r>
      <w:r>
        <w:t>)</w:t>
      </w:r>
      <w:r>
        <w:rPr>
          <w:rFonts w:hint="eastAsia" w:cs="宋体"/>
        </w:rPr>
        <w:t>以本人名义参加《项目》（项目编号：）的投标活动，并代表本人全权办理针对上述项目的投标、签约等具体事务和签署相关文件。</w:t>
      </w:r>
    </w:p>
    <w:p>
      <w:pPr>
        <w:spacing w:line="360" w:lineRule="auto"/>
        <w:ind w:firstLine="420" w:firstLineChars="200"/>
      </w:pPr>
      <w:r>
        <w:rPr>
          <w:rFonts w:hint="eastAsia" w:cs="宋体"/>
        </w:rPr>
        <w:t>本人对被授权人的签字事项负全部责任。</w:t>
      </w:r>
    </w:p>
    <w:p>
      <w:pPr>
        <w:spacing w:line="360" w:lineRule="auto"/>
        <w:ind w:firstLine="420" w:firstLineChars="200"/>
      </w:pPr>
      <w:r>
        <w:rPr>
          <w:rFonts w:hint="eastAsia" w:cs="宋体"/>
        </w:rPr>
        <w:t>授权委托代理期限：从</w:t>
      </w:r>
      <w:r>
        <w:rPr>
          <w:rFonts w:hint="eastAsia" w:cs="宋体"/>
          <w:u w:val="single"/>
        </w:rPr>
        <w:t>　　</w:t>
      </w:r>
      <w:r>
        <w:rPr>
          <w:rFonts w:hint="eastAsia" w:cs="宋体"/>
        </w:rPr>
        <w:t>年</w:t>
      </w:r>
      <w:r>
        <w:rPr>
          <w:rFonts w:hint="eastAsia" w:cs="宋体"/>
          <w:u w:val="single"/>
        </w:rPr>
        <w:t>　　</w:t>
      </w:r>
      <w:r>
        <w:rPr>
          <w:rFonts w:hint="eastAsia" w:cs="宋体"/>
        </w:rPr>
        <w:t>月</w:t>
      </w:r>
      <w:r>
        <w:rPr>
          <w:rFonts w:hint="eastAsia" w:cs="宋体"/>
          <w:u w:val="single"/>
        </w:rPr>
        <w:t>　　</w:t>
      </w:r>
      <w:r>
        <w:rPr>
          <w:rFonts w:hint="eastAsia" w:cs="宋体"/>
        </w:rPr>
        <w:t>日起至</w:t>
      </w:r>
      <w:r>
        <w:rPr>
          <w:rFonts w:hint="eastAsia" w:cs="宋体"/>
          <w:u w:val="single"/>
        </w:rPr>
        <w:t>　　</w:t>
      </w:r>
      <w:r>
        <w:rPr>
          <w:rFonts w:hint="eastAsia" w:cs="宋体"/>
        </w:rPr>
        <w:t>年</w:t>
      </w:r>
      <w:r>
        <w:rPr>
          <w:rFonts w:hint="eastAsia" w:cs="宋体"/>
          <w:u w:val="single"/>
        </w:rPr>
        <w:t>　　</w:t>
      </w:r>
      <w:r>
        <w:rPr>
          <w:rFonts w:hint="eastAsia" w:cs="宋体"/>
        </w:rPr>
        <w:t>月</w:t>
      </w:r>
      <w:r>
        <w:rPr>
          <w:rFonts w:hint="eastAsia" w:cs="宋体"/>
          <w:u w:val="single"/>
        </w:rPr>
        <w:t>　　</w:t>
      </w:r>
      <w:r>
        <w:rPr>
          <w:rFonts w:hint="eastAsia" w:cs="宋体"/>
        </w:rPr>
        <w:t>日止。</w:t>
      </w:r>
    </w:p>
    <w:p>
      <w:pPr>
        <w:spacing w:line="360" w:lineRule="auto"/>
        <w:ind w:firstLine="420" w:firstLineChars="200"/>
      </w:pPr>
    </w:p>
    <w:p>
      <w:pPr>
        <w:spacing w:line="360" w:lineRule="auto"/>
        <w:ind w:firstLine="420" w:firstLineChars="200"/>
      </w:pPr>
      <w:r>
        <w:rPr>
          <w:rFonts w:hint="eastAsia" w:cs="宋体"/>
        </w:rPr>
        <w:t>代理人无转委托权，特此委托。</w:t>
      </w:r>
    </w:p>
    <w:p>
      <w:pPr>
        <w:spacing w:line="360" w:lineRule="auto"/>
        <w:ind w:firstLine="420" w:firstLineChars="200"/>
      </w:pPr>
    </w:p>
    <w:p>
      <w:pPr>
        <w:spacing w:line="360" w:lineRule="auto"/>
        <w:ind w:firstLine="420" w:firstLineChars="200"/>
      </w:pPr>
      <w:r>
        <w:rPr>
          <w:rFonts w:hint="eastAsia" w:cs="宋体"/>
        </w:rPr>
        <w:t>我已在下面签字，以资证明。</w:t>
      </w:r>
    </w:p>
    <w:p>
      <w:pPr>
        <w:spacing w:line="360" w:lineRule="auto"/>
        <w:ind w:firstLine="420" w:firstLineChars="200"/>
      </w:pPr>
    </w:p>
    <w:p>
      <w:pPr>
        <w:spacing w:line="360" w:lineRule="auto"/>
        <w:ind w:firstLine="420" w:firstLineChars="200"/>
      </w:pPr>
      <w:r>
        <w:rPr>
          <w:rFonts w:hint="eastAsia" w:cs="宋体"/>
        </w:rPr>
        <w:t>自然人签字并在签名处加盖食指指印：</w:t>
      </w:r>
      <w:r>
        <w:rPr>
          <w:rFonts w:hint="eastAsia" w:cs="宋体"/>
          <w:u w:val="single"/>
        </w:rPr>
        <w:t>　　　　</w:t>
      </w:r>
      <w:r>
        <w:rPr>
          <w:rFonts w:hint="eastAsia" w:cs="宋体"/>
        </w:rPr>
        <w:t>年</w:t>
      </w:r>
      <w:r>
        <w:rPr>
          <w:rFonts w:hint="eastAsia" w:cs="宋体"/>
          <w:u w:val="single"/>
        </w:rPr>
        <w:t>　　</w:t>
      </w:r>
      <w:r>
        <w:rPr>
          <w:rFonts w:hint="eastAsia" w:cs="宋体"/>
        </w:rPr>
        <w:t>月</w:t>
      </w:r>
      <w:r>
        <w:rPr>
          <w:rFonts w:hint="eastAsia" w:cs="宋体"/>
          <w:u w:val="single"/>
        </w:rPr>
        <w:t>　　</w:t>
      </w:r>
      <w:r>
        <w:rPr>
          <w:rFonts w:hint="eastAsia" w:cs="宋体"/>
        </w:rPr>
        <w:t>日</w:t>
      </w:r>
    </w:p>
    <w:p>
      <w:pPr>
        <w:pStyle w:val="10"/>
        <w:widowControl w:val="0"/>
        <w:spacing w:before="0" w:beforeAutospacing="0" w:after="0" w:afterAutospacing="0" w:line="360" w:lineRule="auto"/>
        <w:ind w:firstLine="480" w:firstLineChars="200"/>
        <w:jc w:val="both"/>
      </w:pPr>
    </w:p>
    <w:p>
      <w:pPr>
        <w:topLinePunct/>
        <w:autoSpaceDE w:val="0"/>
        <w:autoSpaceDN w:val="0"/>
        <w:adjustRightInd w:val="0"/>
        <w:snapToGrid w:val="0"/>
        <w:spacing w:line="360" w:lineRule="auto"/>
        <w:jc w:val="left"/>
        <w:rPr>
          <w:rFonts w:ascii="宋体" w:hAnsi="宋体" w:cs="宋体"/>
        </w:rPr>
      </w:pPr>
    </w:p>
    <w:p>
      <w:pPr>
        <w:topLinePunct/>
        <w:autoSpaceDE w:val="0"/>
        <w:autoSpaceDN w:val="0"/>
        <w:adjustRightInd w:val="0"/>
        <w:snapToGrid w:val="0"/>
        <w:spacing w:line="360" w:lineRule="auto"/>
        <w:jc w:val="left"/>
        <w:rPr>
          <w:rFonts w:ascii="宋体" w:hAnsi="宋体" w:cs="宋体"/>
          <w:i/>
          <w:iCs/>
        </w:rPr>
      </w:pPr>
      <w:r>
        <w:rPr>
          <w:rFonts w:hint="eastAsia" w:ascii="宋体" w:hAnsi="宋体" w:cs="宋体"/>
        </w:rPr>
        <w:t>特别说明：</w:t>
      </w:r>
    </w:p>
    <w:p>
      <w:pPr>
        <w:tabs>
          <w:tab w:val="left" w:pos="312"/>
        </w:tabs>
        <w:topLinePunct/>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投标人如由</w:t>
      </w:r>
      <w:r>
        <w:rPr>
          <w:rFonts w:hint="eastAsia" w:ascii="宋体" w:hAnsi="宋体" w:cs="宋体"/>
          <w:b/>
          <w:bCs/>
        </w:rPr>
        <w:t>被授权人参与投标活动的，</w:t>
      </w:r>
      <w:r>
        <w:rPr>
          <w:rFonts w:hint="eastAsia" w:ascii="宋体" w:hAnsi="宋体" w:cs="宋体"/>
        </w:rPr>
        <w:t>须提供《自然人授权委托书》，《自然人授权委托书》应当按本格式要求签字并由自然人在签名处加盖食指指印</w:t>
      </w:r>
      <w:r>
        <w:rPr>
          <w:rFonts w:hint="eastAsia" w:ascii="宋体" w:hAnsi="宋体" w:cs="宋体"/>
          <w:szCs w:val="21"/>
        </w:rPr>
        <w:t>。</w:t>
      </w:r>
    </w:p>
    <w:p>
      <w:pPr>
        <w:pStyle w:val="10"/>
        <w:widowControl w:val="0"/>
        <w:spacing w:before="0" w:beforeAutospacing="0" w:after="0" w:afterAutospacing="0" w:line="360" w:lineRule="auto"/>
        <w:ind w:firstLine="480" w:firstLineChars="200"/>
        <w:jc w:val="both"/>
      </w:pPr>
    </w:p>
    <w:p>
      <w:pPr>
        <w:pStyle w:val="10"/>
        <w:widowControl w:val="0"/>
        <w:spacing w:before="0" w:beforeAutospacing="0" w:after="0" w:afterAutospacing="0"/>
        <w:ind w:firstLine="420" w:firstLineChars="200"/>
        <w:jc w:val="both"/>
        <w:rPr>
          <w:b/>
          <w:bCs/>
          <w:sz w:val="36"/>
          <w:szCs w:val="36"/>
        </w:rPr>
      </w:pPr>
      <w:r>
        <w:rPr>
          <w:rFonts w:ascii="Times New Roman" w:hAnsi="Times New Roman" w:eastAsia="仿宋_GB2312" w:cs="Courier New"/>
          <w:kern w:val="2"/>
          <w:sz w:val="21"/>
          <w:szCs w:val="21"/>
        </w:rPr>
        <w:br w:type="page"/>
      </w:r>
    </w:p>
    <w:p>
      <w:pPr>
        <w:adjustRightInd w:val="0"/>
        <w:snapToGrid w:val="0"/>
        <w:spacing w:line="360" w:lineRule="auto"/>
        <w:jc w:val="center"/>
        <w:rPr>
          <w:rFonts w:ascii="宋体" w:hAnsi="宋体" w:cs="宋体"/>
          <w:b/>
          <w:bCs/>
          <w:sz w:val="28"/>
          <w:szCs w:val="28"/>
        </w:rPr>
      </w:pPr>
      <w:r>
        <w:rPr>
          <w:rFonts w:hint="eastAsia" w:cs="宋体" w:asciiTheme="minorEastAsia" w:hAnsiTheme="minorEastAsia" w:eastAsiaTheme="minorEastAsia"/>
          <w:b/>
          <w:bCs/>
          <w:sz w:val="28"/>
          <w:szCs w:val="28"/>
        </w:rPr>
        <w:t>格式9</w:t>
      </w:r>
      <w:r>
        <w:rPr>
          <w:rFonts w:hint="eastAsia" w:ascii="宋体" w:hAnsi="宋体" w:cs="宋体"/>
          <w:b/>
          <w:bCs/>
          <w:sz w:val="28"/>
          <w:szCs w:val="28"/>
        </w:rPr>
        <w:t xml:space="preserve">  投标函</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致________（采购人或采购代理机构）：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根据______（项目名称）（项目编号：______）的招标公告，______（姓名、职务）代表投标人______（投标人名称、地址）参加项目招标的有关活动。据此函，作如下承诺：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1.同意在本项目招标文件中规定的开标日起天遵守本投标文件中的承诺，且在期满之前均具有约束力。</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2.具备政府采购相关法律法规规定的参加政府采购活动的供应商应当具备的条件：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（5）参加此项采购活动前三年内，在经营活动中没有重大违法记录。</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（6）法律、行政法规规定的其他条件。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3.具备本项目招标文件中规定的其他要求和资质条件。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4.提供投标人须知规定的全部投标文件。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5.已详细审阅全部招标文件（包括招标文件澄清函），理解投标人须知的所有条款。</w:t>
      </w:r>
    </w:p>
    <w:p>
      <w:pPr>
        <w:spacing w:line="360" w:lineRule="auto"/>
        <w:ind w:firstLine="420" w:firstLineChars="200"/>
        <w:outlineLvl w:val="1"/>
        <w:rPr>
          <w:rFonts w:asciiTheme="minorEastAsia" w:hAnsiTheme="minorEastAsia" w:eastAsiaTheme="minorEastAsia" w:cstheme="minorEastAsia"/>
        </w:rPr>
      </w:pPr>
      <w:bookmarkStart w:id="102" w:name="_Toc15033"/>
      <w:bookmarkStart w:id="103" w:name="_Toc15199"/>
      <w:bookmarkStart w:id="104" w:name="_Toc25367"/>
      <w:r>
        <w:rPr>
          <w:rFonts w:hint="eastAsia" w:asciiTheme="minorEastAsia" w:hAnsiTheme="minorEastAsia" w:eastAsiaTheme="minorEastAsia" w:cstheme="minorEastAsia"/>
        </w:rPr>
        <w:t>6.完全理解贵方“最低报价不能作为中标的保证”的规定。</w:t>
      </w:r>
      <w:bookmarkEnd w:id="102"/>
      <w:bookmarkEnd w:id="103"/>
      <w:bookmarkEnd w:id="104"/>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7.接受招标文件中全部合同条款，且无任何异议；保证忠实地执行双方所签订的合同，并承担合同规定的责任和义务。</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8.完全满足和响应招标文件中的各项商务和技术要求，若有偏差，已在投标文件中明确说明。</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9.愿意提供任何与投标有关的数据、情况和技术资料等。若贵方需要，愿意提供一切证明材料。</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10.我方已详细审核全部投标文件、参考资料及有关附件，确认无误。</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11.对本次招标内容及与本项目有关的知识产权、技术资料、商业秘密及相关信息保密。</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投标人名称（公章）：____________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法定代表人（签字）/被授权投标代表（签字）：____________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投标人地址：____________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邮编：____________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电话：____________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传真：____________</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日  期：____________          </w:t>
      </w:r>
    </w:p>
    <w:p>
      <w:pPr>
        <w:spacing w:line="360" w:lineRule="auto"/>
        <w:ind w:firstLine="420" w:firstLineChars="200"/>
      </w:pPr>
    </w:p>
    <w:p>
      <w:pPr>
        <w:ind w:firstLine="480" w:firstLineChars="200"/>
        <w:rPr>
          <w:rFonts w:hAnsi="宋体" w:eastAsia="Times New Roman" w:cs="宋体"/>
          <w:sz w:val="24"/>
        </w:rPr>
      </w:pPr>
    </w:p>
    <w:p>
      <w:pPr>
        <w:adjustRightInd w:val="0"/>
        <w:snapToGrid w:val="0"/>
        <w:spacing w:line="360" w:lineRule="auto"/>
        <w:rPr>
          <w:rFonts w:ascii="宋体" w:hAnsi="宋体" w:cs="宋体"/>
        </w:rPr>
      </w:pPr>
      <w:r>
        <w:rPr>
          <w:rFonts w:hint="eastAsia" w:ascii="宋体" w:hAnsi="宋体" w:cs="宋体"/>
        </w:rPr>
        <w:t>特别说明：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投标人应当按上述格式要求加盖与投标人名称全称一致的标准公章，并签署法定代表人或</w:t>
      </w:r>
      <w:r>
        <w:rPr>
          <w:rFonts w:hint="eastAsia" w:ascii="宋体" w:hAnsi="宋体" w:cs="宋体"/>
          <w:bCs/>
          <w:szCs w:val="21"/>
        </w:rPr>
        <w:t>被授权投标代表</w:t>
      </w:r>
      <w:r>
        <w:rPr>
          <w:rFonts w:hint="eastAsia" w:ascii="宋体" w:hAnsi="宋体" w:cs="宋体"/>
          <w:szCs w:val="21"/>
        </w:rPr>
        <w:t>的全名，线上采购项目应上传扫描件。</w:t>
      </w:r>
    </w:p>
    <w:p>
      <w:pPr>
        <w:widowControl/>
        <w:jc w:val="center"/>
        <w:rPr>
          <w:rFonts w:ascii="宋体" w:hAnsi="宋体" w:cs="宋体"/>
          <w:b/>
          <w:bCs/>
          <w:sz w:val="28"/>
          <w:szCs w:val="28"/>
        </w:rPr>
      </w:pPr>
      <w:r>
        <w:rPr>
          <w:rFonts w:hAnsi="宋体" w:cs="宋体"/>
          <w:b/>
          <w:bCs/>
          <w:sz w:val="28"/>
          <w:szCs w:val="28"/>
        </w:rPr>
        <w:br w:type="page"/>
      </w:r>
    </w:p>
    <w:p>
      <w:pPr>
        <w:widowControl/>
        <w:jc w:val="center"/>
        <w:rPr>
          <w:rFonts w:ascii="宋体" w:hAnsi="宋体" w:cs="宋体"/>
          <w:b/>
          <w:bCs/>
          <w:sz w:val="28"/>
          <w:szCs w:val="28"/>
        </w:rPr>
      </w:pPr>
      <w:r>
        <w:rPr>
          <w:rFonts w:hint="eastAsia" w:ascii="宋体" w:hAnsi="宋体" w:cs="宋体"/>
          <w:b/>
          <w:bCs/>
          <w:sz w:val="28"/>
          <w:szCs w:val="28"/>
        </w:rPr>
        <w:t>格式10  商务条款偏离表</w:t>
      </w:r>
    </w:p>
    <w:tbl>
      <w:tblPr>
        <w:tblStyle w:val="22"/>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98"/>
        <w:gridCol w:w="1545"/>
        <w:gridCol w:w="1530"/>
        <w:gridCol w:w="15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招标文件</w:t>
            </w:r>
          </w:p>
          <w:p>
            <w:pPr>
              <w:topLinePunct/>
              <w:autoSpaceDE w:val="0"/>
              <w:autoSpaceDN w:val="0"/>
              <w:spacing w:beforeLines="20" w:after="4"/>
              <w:jc w:val="center"/>
              <w:rPr>
                <w:rFonts w:ascii="Times New Roman" w:hAnsi="Times New Roman"/>
                <w:b/>
                <w:szCs w:val="21"/>
              </w:rPr>
            </w:pPr>
            <w:r>
              <w:rPr>
                <w:rFonts w:ascii="Times New Roman" w:hAnsi="Times New Roman"/>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投标文件</w:t>
            </w:r>
          </w:p>
          <w:p>
            <w:pPr>
              <w:topLinePunct/>
              <w:autoSpaceDE w:val="0"/>
              <w:autoSpaceDN w:val="0"/>
              <w:spacing w:beforeLines="20" w:after="4"/>
              <w:jc w:val="center"/>
              <w:rPr>
                <w:rFonts w:ascii="Times New Roman" w:hAnsi="Times New Roman"/>
                <w:b/>
                <w:szCs w:val="21"/>
              </w:rPr>
            </w:pPr>
            <w:r>
              <w:rPr>
                <w:rFonts w:ascii="Times New Roman" w:hAnsi="Times New Roman"/>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偏离</w:t>
            </w:r>
          </w:p>
          <w:p>
            <w:pPr>
              <w:topLinePunct/>
              <w:autoSpaceDE w:val="0"/>
              <w:autoSpaceDN w:val="0"/>
              <w:spacing w:beforeLines="20" w:after="4"/>
              <w:jc w:val="center"/>
              <w:rPr>
                <w:rFonts w:ascii="Times New Roman" w:hAnsi="Times New Roman"/>
                <w:b/>
                <w:szCs w:val="21"/>
              </w:rPr>
            </w:pPr>
            <w:r>
              <w:rPr>
                <w:rFonts w:ascii="Times New Roman" w:hAnsi="Times New Roman"/>
                <w:b/>
                <w:szCs w:val="21"/>
              </w:rPr>
              <w:t>（无/正/负）</w:t>
            </w:r>
          </w:p>
        </w:tc>
        <w:tc>
          <w:tcPr>
            <w:tcW w:w="1086"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b/>
                <w:szCs w:val="21"/>
              </w:rPr>
            </w:pPr>
            <w:r>
              <w:rPr>
                <w:rFonts w:ascii="Times New Roman" w:hAnsi="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szCs w:val="21"/>
              </w:rPr>
            </w:pPr>
            <w:r>
              <w:rPr>
                <w:rFonts w:ascii="Times New Roman" w:hAnsi="Times New Roman"/>
                <w:szCs w:val="21"/>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086"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szCs w:val="21"/>
              </w:rPr>
            </w:pPr>
            <w:r>
              <w:rPr>
                <w:rFonts w:ascii="Times New Roman" w:hAnsi="Times New Roman"/>
                <w:szCs w:val="21"/>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086"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szCs w:val="21"/>
              </w:rPr>
            </w:pPr>
            <w:r>
              <w:rPr>
                <w:rFonts w:ascii="Times New Roman" w:hAnsi="Times New Roman"/>
                <w:szCs w:val="21"/>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086"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szCs w:val="21"/>
              </w:rPr>
            </w:pPr>
            <w:r>
              <w:rPr>
                <w:rFonts w:ascii="Times New Roman" w:hAnsi="Times New Roman"/>
                <w:szCs w:val="21"/>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086"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jc w:val="center"/>
              <w:rPr>
                <w:rFonts w:ascii="Times New Roman" w:hAnsi="Times New Roman"/>
                <w:szCs w:val="21"/>
              </w:rPr>
            </w:pPr>
            <w:r>
              <w:rPr>
                <w:rFonts w:ascii="Times New Roman" w:hAnsi="Times New Roman"/>
                <w:szCs w:val="21"/>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c>
          <w:tcPr>
            <w:tcW w:w="1086"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jc w:val="center"/>
              <w:rPr>
                <w:rFonts w:ascii="Times New Roman" w:hAnsi="Times New Roman"/>
                <w:b/>
                <w:bCs/>
                <w:sz w:val="44"/>
                <w:szCs w:val="21"/>
              </w:rPr>
            </w:pPr>
          </w:p>
        </w:tc>
      </w:tr>
    </w:tbl>
    <w:p>
      <w:pPr>
        <w:topLinePunct/>
        <w:autoSpaceDE w:val="0"/>
        <w:autoSpaceDN w:val="0"/>
        <w:spacing w:line="360" w:lineRule="auto"/>
        <w:rPr>
          <w:rFonts w:ascii="Times New Roman" w:hAnsi="Times New Roman"/>
        </w:rPr>
      </w:pPr>
      <w:r>
        <w:rPr>
          <w:rFonts w:ascii="Times New Roman" w:hAnsi="Times New Roman"/>
          <w:szCs w:val="21"/>
        </w:rPr>
        <w:t>特别说明：</w:t>
      </w:r>
      <w:bookmarkStart w:id="105" w:name="_Hlk55382356"/>
    </w:p>
    <w:p>
      <w:pPr>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1.投标人应按招标文件《第六章　项目采购需求》中的商务要求，结合自身投标情况对商务条款逐条响应，未逐条响应的视为投标无效。</w:t>
      </w:r>
      <w:bookmarkEnd w:id="105"/>
    </w:p>
    <w:p>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2.投标文件响应的商务内容完全响应招标文件要求的，投标人应注明“无偏离”；不满足或不响应招标文件要求的，应注明“负偏离”；优于招标文件要求的，应注明“正偏离”。</w:t>
      </w:r>
    </w:p>
    <w:p>
      <w:pPr>
        <w:ind w:firstLine="420" w:firstLineChars="200"/>
        <w:outlineLvl w:val="1"/>
      </w:pPr>
      <w:bookmarkStart w:id="106" w:name="_Toc18890"/>
      <w:bookmarkStart w:id="107" w:name="_Toc18982"/>
      <w:bookmarkStart w:id="108" w:name="_Toc31372"/>
      <w:r>
        <w:rPr>
          <w:rFonts w:hint="eastAsia" w:asciiTheme="minorEastAsia" w:hAnsiTheme="minorEastAsia" w:eastAsiaTheme="minorEastAsia" w:cstheme="minorEastAsia"/>
        </w:rPr>
        <w:t>3.本表可扩展。</w:t>
      </w:r>
      <w:bookmarkEnd w:id="106"/>
      <w:bookmarkEnd w:id="107"/>
      <w:bookmarkEnd w:id="108"/>
    </w:p>
    <w:p>
      <w:pPr>
        <w:topLinePunct/>
        <w:autoSpaceDE w:val="0"/>
        <w:autoSpaceDN w:val="0"/>
        <w:spacing w:line="500" w:lineRule="exact"/>
        <w:rPr>
          <w:rFonts w:hAnsi="宋体"/>
          <w:sz w:val="24"/>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kern w:val="0"/>
          <w:szCs w:val="21"/>
        </w:rPr>
        <w:t>投标人代表（签字）</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rPr>
          <w:rFonts w:hAnsi="宋体" w:cs="宋体"/>
          <w:b/>
          <w:bCs/>
          <w:sz w:val="28"/>
          <w:szCs w:val="28"/>
        </w:rPr>
      </w:pPr>
    </w:p>
    <w:p>
      <w:pPr>
        <w:snapToGrid w:val="0"/>
        <w:spacing w:line="360" w:lineRule="auto"/>
        <w:jc w:val="center"/>
        <w:rPr>
          <w:rFonts w:ascii="宋体" w:hAnsi="宋体" w:cs="宋体"/>
          <w:b/>
          <w:bCs/>
          <w:sz w:val="28"/>
          <w:szCs w:val="28"/>
        </w:rPr>
      </w:pPr>
      <w:r>
        <w:rPr>
          <w:rFonts w:hAnsi="宋体" w:cs="宋体"/>
          <w:b/>
          <w:bCs/>
          <w:sz w:val="28"/>
          <w:szCs w:val="28"/>
        </w:rPr>
        <w:br w:type="page"/>
      </w:r>
      <w:r>
        <w:rPr>
          <w:rFonts w:asciiTheme="minorEastAsia" w:hAnsiTheme="minorEastAsia" w:eastAsiaTheme="minorEastAsia"/>
          <w:b/>
          <w:bCs/>
          <w:sz w:val="28"/>
          <w:szCs w:val="28"/>
        </w:rPr>
        <w:t>格式</w:t>
      </w:r>
      <w:r>
        <w:rPr>
          <w:rFonts w:hint="eastAsia" w:asciiTheme="minorEastAsia" w:hAnsiTheme="minorEastAsia" w:eastAsiaTheme="minorEastAsia"/>
          <w:b/>
          <w:bCs/>
          <w:sz w:val="28"/>
          <w:szCs w:val="28"/>
        </w:rPr>
        <w:t>11</w:t>
      </w:r>
      <w:r>
        <w:rPr>
          <w:rFonts w:hint="eastAsia" w:ascii="宋体" w:hAnsi="宋体" w:cs="宋体"/>
          <w:b/>
          <w:bCs/>
          <w:sz w:val="28"/>
          <w:szCs w:val="28"/>
        </w:rPr>
        <w:t>中小企业声明函</w:t>
      </w:r>
    </w:p>
    <w:p>
      <w:pPr>
        <w:widowControl/>
        <w:jc w:val="center"/>
        <w:rPr>
          <w:rFonts w:ascii="宋体" w:hAnsi="宋体" w:cs="宋体"/>
          <w:b/>
          <w:bCs/>
          <w:sz w:val="28"/>
          <w:szCs w:val="28"/>
        </w:rPr>
      </w:pPr>
      <w:r>
        <w:rPr>
          <w:rFonts w:hint="eastAsia" w:ascii="宋体" w:hAnsi="宋体" w:cs="宋体"/>
          <w:b/>
          <w:bCs/>
          <w:sz w:val="28"/>
          <w:szCs w:val="28"/>
        </w:rPr>
        <w:t>中小企业声明函（服务）</w:t>
      </w:r>
    </w:p>
    <w:p>
      <w:pPr>
        <w:widowControl/>
        <w:spacing w:line="360" w:lineRule="auto"/>
        <w:ind w:firstLine="480" w:firstLineChars="200"/>
        <w:jc w:val="left"/>
        <w:rPr>
          <w:rFonts w:ascii="宋体" w:hAnsi="宋体" w:cs="宋体"/>
          <w:kern w:val="0"/>
          <w:sz w:val="24"/>
        </w:rPr>
      </w:pP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rPr>
        <w:t>本公司（联合体）郑重声明，根据《政府采购促进中小企业发展管理办法》（财库﹝</w:t>
      </w:r>
      <w:r>
        <w:rPr>
          <w:rFonts w:ascii="Times New Roman" w:hAnsi="Times New Roman" w:cs="Times New Roman"/>
          <w:kern w:val="2"/>
          <w:sz w:val="21"/>
          <w:szCs w:val="21"/>
        </w:rPr>
        <w:t>2020</w:t>
      </w:r>
      <w:r>
        <w:rPr>
          <w:rFonts w:hint="eastAsia" w:ascii="Times New Roman" w:hAnsi="Times New Roman" w:cs="Times New Roman"/>
          <w:kern w:val="2"/>
          <w:sz w:val="21"/>
          <w:szCs w:val="21"/>
        </w:rPr>
        <w:t>﹞</w:t>
      </w:r>
      <w:r>
        <w:rPr>
          <w:rFonts w:ascii="Times New Roman" w:hAnsi="Times New Roman" w:cs="Times New Roman"/>
          <w:kern w:val="2"/>
          <w:sz w:val="21"/>
          <w:szCs w:val="21"/>
        </w:rPr>
        <w:t xml:space="preserve">46 </w:t>
      </w:r>
      <w:r>
        <w:rPr>
          <w:rFonts w:hint="eastAsia" w:ascii="Times New Roman" w:hAnsi="Times New Roman" w:cs="Times New Roman"/>
          <w:kern w:val="2"/>
          <w:sz w:val="21"/>
          <w:szCs w:val="21"/>
        </w:rPr>
        <w:t>号）的规定，本公司（联合体）参加</w:t>
      </w:r>
      <w:r>
        <w:rPr>
          <w:rFonts w:ascii="Times New Roman" w:hAnsi="Times New Roman" w:cs="Times New Roman"/>
          <w:sz w:val="21"/>
          <w:szCs w:val="21"/>
          <w:u w:val="single"/>
        </w:rPr>
        <w:t>国家税务总局南宁市税务局</w:t>
      </w:r>
      <w:r>
        <w:rPr>
          <w:rFonts w:ascii="Times New Roman" w:hAnsi="Times New Roman" w:cs="Times New Roman"/>
          <w:sz w:val="21"/>
          <w:szCs w:val="21"/>
        </w:rPr>
        <w:t>的</w:t>
      </w:r>
      <w:r>
        <w:rPr>
          <w:rFonts w:ascii="Times New Roman" w:hAnsi="Times New Roman" w:cs="Times New Roman"/>
          <w:sz w:val="21"/>
          <w:szCs w:val="21"/>
          <w:u w:val="single"/>
        </w:rPr>
        <w:t>国家税务总局南宁市税务局职工食堂劳务外包</w:t>
      </w:r>
      <w:r>
        <w:rPr>
          <w:rFonts w:hint="eastAsia" w:ascii="Times New Roman" w:hAnsi="Times New Roman" w:cs="Times New Roman"/>
          <w:kern w:val="2"/>
          <w:sz w:val="21"/>
          <w:szCs w:val="21"/>
        </w:rPr>
        <w:t>采购活动，服务全部由符合政策要求的中小企业承接。相关企业（含联合体中的中小企业、签订分包意向协议的中小企业）的具体情况如下：</w:t>
      </w: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ascii="Times New Roman" w:hAnsi="Times New Roman" w:cs="Times New Roman"/>
          <w:kern w:val="2"/>
          <w:sz w:val="21"/>
          <w:szCs w:val="21"/>
        </w:rPr>
        <w:t>1.</w:t>
      </w:r>
      <w:r>
        <w:rPr>
          <w:rFonts w:hint="eastAsia" w:ascii="Times New Roman" w:hAnsi="Times New Roman" w:cs="Times New Roman"/>
          <w:kern w:val="2"/>
          <w:sz w:val="21"/>
          <w:szCs w:val="21"/>
          <w:u w:val="single"/>
        </w:rPr>
        <w:t>国家税务总局南宁市税务局职工食堂劳务外包</w:t>
      </w:r>
      <w:r>
        <w:rPr>
          <w:rFonts w:hint="eastAsia" w:ascii="Times New Roman" w:hAnsi="Times New Roman" w:cs="Times New Roman"/>
          <w:kern w:val="2"/>
          <w:sz w:val="21"/>
          <w:szCs w:val="21"/>
        </w:rPr>
        <w:t>，属于</w:t>
      </w:r>
      <w:r>
        <w:rPr>
          <w:rFonts w:hint="eastAsia" w:ascii="Times New Roman" w:hAnsi="Times New Roman" w:cs="Times New Roman"/>
          <w:kern w:val="2"/>
          <w:sz w:val="21"/>
          <w:szCs w:val="21"/>
          <w:u w:val="single"/>
        </w:rPr>
        <w:t>餐饮业</w:t>
      </w:r>
      <w:r>
        <w:rPr>
          <w:rFonts w:hint="eastAsia" w:ascii="Times New Roman" w:hAnsi="Times New Roman" w:cs="Times New Roman"/>
          <w:kern w:val="2"/>
          <w:sz w:val="21"/>
          <w:szCs w:val="21"/>
        </w:rPr>
        <w:t>；承建（承接）企业为</w:t>
      </w:r>
      <w:r>
        <w:rPr>
          <w:rFonts w:hint="eastAsia" w:ascii="Times New Roman" w:hAnsi="Times New Roman" w:cs="Times New Roman"/>
          <w:kern w:val="2"/>
          <w:sz w:val="21"/>
          <w:szCs w:val="21"/>
          <w:u w:val="single"/>
        </w:rPr>
        <w:t>（企业名称）</w:t>
      </w:r>
      <w:r>
        <w:rPr>
          <w:rFonts w:hint="eastAsia" w:ascii="Times New Roman" w:hAnsi="Times New Roman" w:cs="Times New Roman"/>
          <w:kern w:val="2"/>
          <w:sz w:val="21"/>
          <w:szCs w:val="21"/>
        </w:rPr>
        <w:t>，从业人员</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人，营业收入为</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万元，资产总额为</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万元</w:t>
      </w:r>
      <w:r>
        <w:rPr>
          <w:rFonts w:ascii="Times New Roman" w:hAnsi="Times New Roman" w:cs="Times New Roman"/>
          <w:kern w:val="2"/>
          <w:sz w:val="21"/>
          <w:szCs w:val="21"/>
          <w:vertAlign w:val="superscript"/>
        </w:rPr>
        <w:t>1</w:t>
      </w:r>
      <w:r>
        <w:rPr>
          <w:rFonts w:hint="eastAsia" w:ascii="Times New Roman" w:hAnsi="Times New Roman" w:cs="Times New Roman"/>
          <w:kern w:val="2"/>
          <w:sz w:val="21"/>
          <w:szCs w:val="21"/>
        </w:rPr>
        <w:t>，属于</w:t>
      </w:r>
      <w:r>
        <w:rPr>
          <w:rFonts w:hint="eastAsia" w:ascii="Times New Roman" w:hAnsi="Times New Roman" w:cs="Times New Roman"/>
          <w:kern w:val="2"/>
          <w:sz w:val="21"/>
          <w:szCs w:val="21"/>
          <w:u w:val="single"/>
        </w:rPr>
        <w:t>（中型企业、小型企业、微型企业）</w:t>
      </w:r>
      <w:r>
        <w:rPr>
          <w:rFonts w:hint="eastAsia" w:ascii="Times New Roman" w:hAnsi="Times New Roman" w:cs="Times New Roman"/>
          <w:kern w:val="2"/>
          <w:sz w:val="21"/>
          <w:szCs w:val="21"/>
        </w:rPr>
        <w:t>；</w:t>
      </w: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ascii="Times New Roman" w:hAnsi="Times New Roman" w:cs="Times New Roman"/>
          <w:kern w:val="2"/>
          <w:sz w:val="21"/>
          <w:szCs w:val="21"/>
        </w:rPr>
        <w:t>2.</w:t>
      </w:r>
      <w:r>
        <w:rPr>
          <w:rFonts w:hint="eastAsia" w:ascii="Times New Roman" w:hAnsi="Times New Roman" w:cs="Times New Roman"/>
          <w:kern w:val="2"/>
          <w:sz w:val="21"/>
          <w:szCs w:val="21"/>
          <w:u w:val="single"/>
        </w:rPr>
        <w:t>（标的名称）</w:t>
      </w:r>
      <w:r>
        <w:rPr>
          <w:rFonts w:hint="eastAsia" w:ascii="Times New Roman" w:hAnsi="Times New Roman" w:cs="Times New Roman"/>
          <w:kern w:val="2"/>
          <w:sz w:val="21"/>
          <w:szCs w:val="21"/>
        </w:rPr>
        <w:t>，属于</w:t>
      </w:r>
      <w:r>
        <w:rPr>
          <w:rFonts w:hint="eastAsia" w:ascii="Times New Roman" w:hAnsi="Times New Roman" w:cs="Times New Roman"/>
          <w:kern w:val="2"/>
          <w:sz w:val="21"/>
          <w:szCs w:val="21"/>
          <w:u w:val="single"/>
        </w:rPr>
        <w:t>（采购文件中明确的所属行业）</w:t>
      </w:r>
      <w:r>
        <w:rPr>
          <w:rFonts w:hint="eastAsia" w:ascii="Times New Roman" w:hAnsi="Times New Roman" w:cs="Times New Roman"/>
          <w:kern w:val="2"/>
          <w:sz w:val="21"/>
          <w:szCs w:val="21"/>
        </w:rPr>
        <w:t>；承建（承接）企业为</w:t>
      </w:r>
      <w:r>
        <w:rPr>
          <w:rFonts w:hint="eastAsia" w:ascii="Times New Roman" w:hAnsi="Times New Roman" w:cs="Times New Roman"/>
          <w:kern w:val="2"/>
          <w:sz w:val="21"/>
          <w:szCs w:val="21"/>
          <w:u w:val="single"/>
        </w:rPr>
        <w:t>（企业名称）</w:t>
      </w:r>
      <w:r>
        <w:rPr>
          <w:rFonts w:hint="eastAsia" w:ascii="Times New Roman" w:hAnsi="Times New Roman" w:cs="Times New Roman"/>
          <w:kern w:val="2"/>
          <w:sz w:val="21"/>
          <w:szCs w:val="21"/>
        </w:rPr>
        <w:t>，从业人员</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人，营业收入为</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万元，资产总额为</w:t>
      </w:r>
      <w:r>
        <w:rPr>
          <w:rFonts w:ascii="Times New Roman" w:hAnsi="Times New Roman" w:cs="Times New Roman"/>
          <w:kern w:val="2"/>
          <w:sz w:val="21"/>
          <w:szCs w:val="21"/>
          <w:u w:val="single"/>
        </w:rPr>
        <w:tab/>
      </w:r>
      <w:r>
        <w:rPr>
          <w:rFonts w:hint="eastAsia" w:ascii="Times New Roman" w:hAnsi="Times New Roman" w:cs="Times New Roman"/>
          <w:kern w:val="2"/>
          <w:sz w:val="21"/>
          <w:szCs w:val="21"/>
        </w:rPr>
        <w:t>万元</w:t>
      </w:r>
      <w:r>
        <w:rPr>
          <w:rFonts w:ascii="Times New Roman" w:hAnsi="Times New Roman" w:cs="Times New Roman"/>
          <w:kern w:val="2"/>
          <w:sz w:val="21"/>
          <w:szCs w:val="21"/>
          <w:vertAlign w:val="superscript"/>
        </w:rPr>
        <w:t>1</w:t>
      </w:r>
      <w:r>
        <w:rPr>
          <w:rFonts w:hint="eastAsia" w:ascii="Times New Roman" w:hAnsi="Times New Roman" w:cs="Times New Roman"/>
          <w:kern w:val="2"/>
          <w:sz w:val="21"/>
          <w:szCs w:val="21"/>
        </w:rPr>
        <w:t>，属于</w:t>
      </w:r>
      <w:r>
        <w:rPr>
          <w:rFonts w:hint="eastAsia" w:ascii="Times New Roman" w:hAnsi="Times New Roman" w:cs="Times New Roman"/>
          <w:kern w:val="2"/>
          <w:sz w:val="21"/>
          <w:szCs w:val="21"/>
          <w:u w:val="single"/>
        </w:rPr>
        <w:t>（中型企业、小型企业、微型企业）</w:t>
      </w:r>
      <w:r>
        <w:rPr>
          <w:rFonts w:hint="eastAsia" w:ascii="Times New Roman" w:hAnsi="Times New Roman" w:cs="Times New Roman"/>
          <w:kern w:val="2"/>
          <w:sz w:val="21"/>
          <w:szCs w:val="21"/>
        </w:rPr>
        <w:t>；</w:t>
      </w: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ascii="Times New Roman" w:hAnsi="Times New Roman" w:cs="Times New Roman"/>
          <w:kern w:val="2"/>
          <w:sz w:val="21"/>
          <w:szCs w:val="21"/>
        </w:rPr>
        <w:t>……</w:t>
      </w: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rPr>
        <w:t>以上企业，不属于大企业的分支机构，不存在控股股东为大企业的情形，也不存在与大企业的负责人为同一人的情形。</w:t>
      </w:r>
    </w:p>
    <w:p>
      <w:pPr>
        <w:pStyle w:val="10"/>
        <w:widowControl w:val="0"/>
        <w:snapToGrid w:val="0"/>
        <w:spacing w:before="0" w:beforeAutospacing="0" w:after="0" w:afterAutospacing="0" w:line="360" w:lineRule="auto"/>
        <w:ind w:firstLine="420" w:firstLineChars="200"/>
        <w:jc w:val="both"/>
        <w:rPr>
          <w:rFonts w:ascii="Times New Roman" w:hAnsi="Times New Roman" w:cs="Times New Roman"/>
        </w:rPr>
      </w:pPr>
      <w:r>
        <w:rPr>
          <w:rFonts w:hint="eastAsia" w:ascii="Times New Roman" w:hAnsi="Times New Roman" w:cs="Times New Roman"/>
          <w:kern w:val="2"/>
          <w:sz w:val="21"/>
          <w:szCs w:val="21"/>
        </w:rPr>
        <w:t>本企业对上述声明内容的真实性负责。如有虚假，将依法承担相应责任。</w:t>
      </w:r>
    </w:p>
    <w:p>
      <w:pPr>
        <w:pStyle w:val="10"/>
        <w:widowControl w:val="0"/>
        <w:snapToGrid w:val="0"/>
        <w:spacing w:before="0" w:beforeAutospacing="0" w:after="0" w:afterAutospacing="0" w:line="360" w:lineRule="auto"/>
        <w:ind w:firstLine="480" w:firstLineChars="200"/>
        <w:jc w:val="both"/>
        <w:rPr>
          <w:rFonts w:ascii="Times New Roman" w:hAnsi="Times New Roman" w:cs="Times New Roman"/>
        </w:rPr>
      </w:pPr>
    </w:p>
    <w:p>
      <w:pPr>
        <w:pStyle w:val="10"/>
        <w:widowControl w:val="0"/>
        <w:snapToGrid w:val="0"/>
        <w:spacing w:before="0" w:beforeAutospacing="0" w:after="0" w:afterAutospacing="0" w:line="360" w:lineRule="auto"/>
        <w:ind w:firstLine="480" w:firstLineChars="200"/>
        <w:jc w:val="both"/>
        <w:rPr>
          <w:rFonts w:ascii="Times New Roman" w:hAnsi="Times New Roman" w:cs="Times New Roman"/>
        </w:rPr>
      </w:pP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hint="eastAsia" w:ascii="Times New Roman" w:hAnsi="Times New Roman" w:cs="宋体"/>
          <w:szCs w:val="21"/>
        </w:rPr>
        <w:t>投标人</w:t>
      </w:r>
      <w:r>
        <w:rPr>
          <w:rFonts w:hint="eastAsia" w:ascii="Times New Roman" w:hAnsi="Times New Roman" w:cs="宋体"/>
          <w:kern w:val="0"/>
          <w:szCs w:val="21"/>
        </w:rPr>
        <w:t>（全称并加盖公章</w:t>
      </w:r>
      <w:r>
        <w:rPr>
          <w:rFonts w:hint="eastAsia" w:ascii="Times New Roman" w:hAnsi="Times New Roman" w:cs="宋体"/>
          <w:szCs w:val="21"/>
        </w:rPr>
        <w:t>）：</w:t>
      </w:r>
    </w:p>
    <w:p>
      <w:pPr>
        <w:tabs>
          <w:tab w:val="left" w:pos="1230"/>
        </w:tabs>
        <w:topLinePunct/>
        <w:autoSpaceDE w:val="0"/>
        <w:autoSpaceDN w:val="0"/>
        <w:adjustRightInd w:val="0"/>
        <w:snapToGrid w:val="0"/>
        <w:spacing w:line="360" w:lineRule="auto"/>
        <w:ind w:firstLine="420" w:firstLineChars="200"/>
        <w:rPr>
          <w:rFonts w:ascii="Times New Roman" w:hAnsi="Times New Roman"/>
          <w:szCs w:val="21"/>
        </w:rPr>
      </w:pPr>
      <w:r>
        <w:rPr>
          <w:rFonts w:hint="eastAsia" w:ascii="Times New Roman" w:hAnsi="Times New Roman" w:cs="宋体"/>
          <w:szCs w:val="21"/>
        </w:rPr>
        <w:t>日期：</w:t>
      </w:r>
    </w:p>
    <w:p>
      <w:pPr>
        <w:pStyle w:val="10"/>
        <w:widowControl w:val="0"/>
        <w:snapToGrid w:val="0"/>
        <w:spacing w:before="0" w:beforeAutospacing="0" w:after="0" w:afterAutospacing="0" w:line="360" w:lineRule="auto"/>
        <w:ind w:firstLine="480" w:firstLineChars="200"/>
        <w:jc w:val="both"/>
      </w:pPr>
    </w:p>
    <w:p>
      <w:pPr>
        <w:pStyle w:val="10"/>
        <w:widowControl w:val="0"/>
        <w:snapToGrid w:val="0"/>
        <w:spacing w:before="0" w:beforeAutospacing="0" w:after="0" w:afterAutospacing="0" w:line="360" w:lineRule="auto"/>
        <w:ind w:firstLine="480" w:firstLineChars="200"/>
        <w:jc w:val="both"/>
      </w:pPr>
    </w:p>
    <w:p>
      <w:pPr>
        <w:widowControl/>
      </w:pPr>
    </w:p>
    <w:p>
      <w:pPr>
        <w:widowControl/>
        <w:jc w:val="left"/>
      </w:pPr>
      <w:r>
        <w:rPr>
          <w:rFonts w:hint="eastAsia" w:ascii="宋体" w:hAnsi="宋体" w:cs="宋体"/>
          <w:kern w:val="0"/>
          <w:sz w:val="18"/>
          <w:szCs w:val="18"/>
        </w:rPr>
        <w:t>1从业人员、营业收入、资产总额填报上一年度数据，无上一年度数据的新成立企业可不填报。</w:t>
      </w:r>
    </w:p>
    <w:p>
      <w:pPr>
        <w:pStyle w:val="10"/>
        <w:widowControl w:val="0"/>
        <w:snapToGrid w:val="0"/>
        <w:spacing w:before="0" w:beforeAutospacing="0" w:after="0" w:afterAutospacing="0" w:line="360" w:lineRule="auto"/>
        <w:ind w:firstLine="480" w:firstLineChars="200"/>
        <w:jc w:val="both"/>
      </w:pPr>
    </w:p>
    <w:p>
      <w:pPr>
        <w:rPr>
          <w:rFonts w:hAnsi="宋体" w:cs="宋体"/>
          <w:b/>
          <w:bCs/>
          <w:sz w:val="28"/>
          <w:szCs w:val="28"/>
        </w:rPr>
      </w:pPr>
      <w:r>
        <w:rPr>
          <w:sz w:val="24"/>
        </w:rPr>
        <w:br w:type="page"/>
      </w:r>
    </w:p>
    <w:p>
      <w:bookmarkStart w:id="109" w:name="_Toc1403531177"/>
      <w:bookmarkStart w:id="110" w:name="_Toc38030071"/>
      <w:bookmarkStart w:id="111" w:name="_Toc113393336"/>
      <w:bookmarkStart w:id="112" w:name="_Toc386861148"/>
      <w:bookmarkStart w:id="113" w:name="_Toc38030154"/>
      <w:bookmarkStart w:id="114" w:name="_Toc1652355655"/>
    </w:p>
    <w:p>
      <w:pPr>
        <w:pStyle w:val="13"/>
        <w:ind w:firstLine="1968" w:firstLineChars="700"/>
        <w:rPr>
          <w:rFonts w:hAnsi="宋体"/>
          <w:b/>
          <w:bCs/>
          <w:sz w:val="28"/>
          <w:szCs w:val="28"/>
        </w:rPr>
      </w:pPr>
      <w:r>
        <w:rPr>
          <w:rFonts w:hint="eastAsia" w:hAnsi="宋体"/>
          <w:b/>
          <w:bCs/>
          <w:sz w:val="28"/>
          <w:szCs w:val="28"/>
        </w:rPr>
        <w:t>格式12  监狱企业的证明材料文件</w:t>
      </w:r>
    </w:p>
    <w:p>
      <w:pPr>
        <w:pStyle w:val="13"/>
        <w:spacing w:line="440" w:lineRule="exact"/>
        <w:ind w:firstLine="420" w:firstLineChars="200"/>
        <w:rPr>
          <w:rFonts w:hAnsi="宋体"/>
        </w:rPr>
      </w:pPr>
      <w:r>
        <w:rPr>
          <w:rFonts w:hint="eastAsia" w:hAnsi="宋体"/>
        </w:rPr>
        <w:t>说明：</w:t>
      </w:r>
    </w:p>
    <w:p>
      <w:pPr>
        <w:pStyle w:val="13"/>
        <w:spacing w:line="440" w:lineRule="exact"/>
        <w:ind w:firstLine="420" w:firstLineChars="200"/>
        <w:rPr>
          <w:rFonts w:hAnsi="宋体"/>
        </w:rPr>
      </w:pPr>
      <w:r>
        <w:rPr>
          <w:rFonts w:hint="eastAsia" w:hAnsi="宋体"/>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13"/>
        <w:spacing w:line="440" w:lineRule="exact"/>
        <w:ind w:firstLine="420" w:firstLineChars="200"/>
        <w:outlineLvl w:val="1"/>
        <w:rPr>
          <w:rFonts w:hAnsi="宋体"/>
        </w:rPr>
      </w:pPr>
      <w:bookmarkStart w:id="115" w:name="_Toc21827"/>
      <w:bookmarkStart w:id="116" w:name="_Toc22702"/>
      <w:bookmarkStart w:id="117" w:name="_Toc19611"/>
      <w:r>
        <w:rPr>
          <w:rFonts w:hint="eastAsia" w:hAnsi="宋体"/>
        </w:rPr>
        <w:t>2.未按上述要求提供、填写的，评标时不予以考虑。</w:t>
      </w:r>
      <w:bookmarkEnd w:id="115"/>
      <w:bookmarkEnd w:id="116"/>
      <w:bookmarkEnd w:id="117"/>
    </w:p>
    <w:p>
      <w:pPr>
        <w:pStyle w:val="13"/>
        <w:spacing w:line="440" w:lineRule="exact"/>
        <w:ind w:firstLine="420" w:firstLineChars="200"/>
        <w:rPr>
          <w:rFonts w:hAnsi="宋体"/>
        </w:rPr>
      </w:pPr>
      <w:r>
        <w:rPr>
          <w:rFonts w:hAnsi="宋体"/>
        </w:rPr>
        <w:t>(</w:t>
      </w:r>
      <w:r>
        <w:rPr>
          <w:rFonts w:hint="eastAsia" w:hAnsi="宋体"/>
        </w:rPr>
        <w:t>示例略</w:t>
      </w:r>
      <w:r>
        <w:rPr>
          <w:rFonts w:hAnsi="宋体"/>
        </w:rPr>
        <w:t>)</w:t>
      </w:r>
    </w:p>
    <w:p>
      <w:pPr>
        <w:rPr>
          <w:rFonts w:cs="宋体"/>
          <w:sz w:val="28"/>
          <w:szCs w:val="28"/>
        </w:rPr>
      </w:pPr>
      <w:r>
        <w:rPr>
          <w:rFonts w:hint="eastAsia" w:cs="宋体"/>
          <w:sz w:val="28"/>
          <w:szCs w:val="28"/>
        </w:rPr>
        <w:br w:type="page"/>
      </w:r>
    </w:p>
    <w:p>
      <w:pPr>
        <w:pStyle w:val="13"/>
        <w:topLinePunct/>
        <w:autoSpaceDE w:val="0"/>
        <w:autoSpaceDN w:val="0"/>
        <w:spacing w:line="460" w:lineRule="exact"/>
        <w:ind w:firstLine="562"/>
        <w:jc w:val="center"/>
        <w:rPr>
          <w:rFonts w:ascii="Times New Roman" w:hAnsi="Times New Roman" w:cs="Times New Roman"/>
          <w:b/>
          <w:bCs/>
          <w:sz w:val="28"/>
          <w:szCs w:val="28"/>
        </w:rPr>
      </w:pPr>
      <w:r>
        <w:rPr>
          <w:rFonts w:cs="Times New Roman" w:asciiTheme="minorEastAsia" w:hAnsiTheme="minorEastAsia" w:eastAsiaTheme="minorEastAsia"/>
          <w:b/>
          <w:bCs/>
          <w:sz w:val="28"/>
          <w:szCs w:val="28"/>
        </w:rPr>
        <w:t>格式</w:t>
      </w:r>
      <w:r>
        <w:rPr>
          <w:rFonts w:hint="eastAsia" w:cs="Times New Roman" w:asciiTheme="minorEastAsia" w:hAnsiTheme="minorEastAsia" w:eastAsiaTheme="minorEastAsia"/>
          <w:b/>
          <w:bCs/>
          <w:sz w:val="28"/>
          <w:szCs w:val="28"/>
        </w:rPr>
        <w:t>13</w:t>
      </w:r>
      <w:r>
        <w:rPr>
          <w:rFonts w:ascii="Times New Roman" w:hAnsi="Times New Roman" w:cs="Times New Roman"/>
          <w:b/>
          <w:bCs/>
          <w:sz w:val="28"/>
          <w:szCs w:val="28"/>
        </w:rPr>
        <w:t xml:space="preserve">  残疾人福利性单位声明函</w:t>
      </w:r>
    </w:p>
    <w:p>
      <w:pPr>
        <w:spacing w:line="588" w:lineRule="exact"/>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pacing w:line="588" w:lineRule="exact"/>
        <w:ind w:firstLine="444" w:firstLineChars="200"/>
        <w:rPr>
          <w:rFonts w:hint="eastAsia" w:asciiTheme="minorEastAsia" w:hAnsiTheme="minorEastAsia" w:eastAsiaTheme="minorEastAsia" w:cstheme="minorEastAsia"/>
          <w:spacing w:val="6"/>
          <w:szCs w:val="21"/>
        </w:rPr>
      </w:pPr>
    </w:p>
    <w:p>
      <w:pPr>
        <w:tabs>
          <w:tab w:val="left" w:pos="1230"/>
        </w:tabs>
        <w:topLinePunct/>
        <w:autoSpaceDE w:val="0"/>
        <w:autoSpaceDN w:val="0"/>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w:t>
      </w:r>
      <w:r>
        <w:rPr>
          <w:rFonts w:hint="eastAsia" w:asciiTheme="minorEastAsia" w:hAnsiTheme="minorEastAsia" w:eastAsiaTheme="minorEastAsia" w:cstheme="minorEastAsia"/>
          <w:kern w:val="0"/>
          <w:szCs w:val="21"/>
        </w:rPr>
        <w:t>（全称并加盖公章</w:t>
      </w:r>
      <w:r>
        <w:rPr>
          <w:rFonts w:hint="eastAsia" w:asciiTheme="minorEastAsia" w:hAnsiTheme="minorEastAsia" w:eastAsiaTheme="minorEastAsia" w:cstheme="minorEastAsia"/>
          <w:szCs w:val="21"/>
        </w:rPr>
        <w:t>）：</w:t>
      </w:r>
    </w:p>
    <w:p>
      <w:pPr>
        <w:tabs>
          <w:tab w:val="left" w:pos="1230"/>
        </w:tabs>
        <w:topLinePunct/>
        <w:autoSpaceDE w:val="0"/>
        <w:autoSpaceDN w:val="0"/>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pPr>
        <w:topLinePunct/>
        <w:autoSpaceDE w:val="0"/>
        <w:autoSpaceDN w:val="0"/>
        <w:spacing w:line="460" w:lineRule="exact"/>
        <w:jc w:val="center"/>
        <w:rPr>
          <w:rFonts w:ascii="Times New Roman" w:hAnsi="Times New Roman"/>
          <w:spacing w:val="6"/>
          <w:szCs w:val="21"/>
        </w:rPr>
      </w:pPr>
    </w:p>
    <w:p>
      <w:pPr>
        <w:pStyle w:val="30"/>
        <w:tabs>
          <w:tab w:val="left" w:pos="420"/>
        </w:tabs>
        <w:snapToGrid w:val="0"/>
        <w:spacing w:line="460" w:lineRule="atLeast"/>
        <w:rPr>
          <w:rFonts w:ascii="Times New Roman" w:hAnsi="Times New Roman"/>
          <w:b/>
          <w:bCs/>
          <w:sz w:val="28"/>
          <w:szCs w:val="28"/>
        </w:rPr>
      </w:pPr>
      <w:r>
        <w:rPr>
          <w:rFonts w:hint="eastAsia" w:cs="宋体"/>
          <w:sz w:val="28"/>
          <w:szCs w:val="28"/>
        </w:rPr>
        <w:br w:type="page"/>
      </w:r>
      <w:bookmarkStart w:id="118" w:name="_Toc78504842"/>
      <w:bookmarkStart w:id="119" w:name="_Toc1615545750"/>
      <w:bookmarkStart w:id="120" w:name="_Toc220361175"/>
      <w:bookmarkStart w:id="121" w:name="_Toc598152851"/>
      <w:bookmarkStart w:id="122" w:name="_Toc1381122819"/>
      <w:bookmarkStart w:id="123" w:name="_Toc1097421187"/>
      <w:bookmarkStart w:id="124" w:name="_Toc1749127877"/>
      <w:bookmarkStart w:id="125" w:name="_Toc681730266"/>
      <w:bookmarkStart w:id="126" w:name="_Toc680706022"/>
      <w:r>
        <w:rPr>
          <w:rFonts w:hint="eastAsia" w:asciiTheme="minorEastAsia" w:hAnsiTheme="minorEastAsia" w:eastAsiaTheme="minorEastAsia" w:cstheme="minorEastAsia"/>
          <w:b/>
          <w:bCs/>
          <w:sz w:val="28"/>
          <w:szCs w:val="28"/>
        </w:rPr>
        <w:t>格式14  成功案例一览表</w:t>
      </w:r>
      <w:bookmarkEnd w:id="118"/>
      <w:bookmarkEnd w:id="119"/>
      <w:bookmarkEnd w:id="120"/>
      <w:bookmarkEnd w:id="121"/>
      <w:bookmarkEnd w:id="122"/>
      <w:bookmarkEnd w:id="123"/>
      <w:bookmarkEnd w:id="124"/>
      <w:bookmarkEnd w:id="125"/>
      <w:bookmarkEnd w:id="126"/>
    </w:p>
    <w:p>
      <w:pPr>
        <w:jc w:val="center"/>
      </w:pPr>
      <w:r>
        <w:rPr>
          <w:rFonts w:hint="eastAsia"/>
        </w:rPr>
        <w:t>（根据招标文件要求调整）</w:t>
      </w:r>
    </w:p>
    <w:tbl>
      <w:tblPr>
        <w:tblStyle w:val="22"/>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合同主要</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  户</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用户联</w:t>
            </w:r>
          </w:p>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系电话</w:t>
            </w: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r>
              <w:rPr>
                <w:rFonts w:ascii="Times New Roman" w:hAnsi="Times New Roman"/>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jc w:val="center"/>
              <w:rPr>
                <w:rFonts w:ascii="Times New Roman" w:hAnsi="Times New Roman"/>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c>
          <w:tcPr>
            <w:tcW w:w="12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jc w:val="center"/>
              <w:rPr>
                <w:rFonts w:ascii="Times New Roman" w:hAnsi="Times New Roman"/>
                <w:szCs w:val="21"/>
              </w:rPr>
            </w:pPr>
          </w:p>
        </w:tc>
      </w:tr>
    </w:tbl>
    <w:p>
      <w:pPr>
        <w:topLinePunct/>
        <w:autoSpaceDE w:val="0"/>
        <w:autoSpaceDN w:val="0"/>
        <w:spacing w:line="360" w:lineRule="auto"/>
        <w:rPr>
          <w:rFonts w:ascii="Times New Roman" w:hAnsi="Times New Roman"/>
          <w:szCs w:val="21"/>
        </w:rPr>
      </w:pPr>
      <w:r>
        <w:rPr>
          <w:rFonts w:ascii="Times New Roman" w:hAnsi="Times New Roman"/>
          <w:szCs w:val="21"/>
        </w:rPr>
        <w:t>特别说明：</w:t>
      </w:r>
    </w:p>
    <w:p>
      <w:pPr>
        <w:topLinePunct/>
        <w:autoSpaceDE w:val="0"/>
        <w:autoSpaceDN w:val="0"/>
        <w:spacing w:line="360" w:lineRule="auto"/>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szCs w:val="21"/>
        </w:rPr>
        <w:t>1.提供2021年5月1日以来（以合同签订日期为准），投标人独立承</w:t>
      </w:r>
      <w:r>
        <w:rPr>
          <w:rFonts w:hint="eastAsia" w:asciiTheme="minorEastAsia" w:hAnsiTheme="minorEastAsia" w:eastAsiaTheme="minorEastAsia" w:cstheme="minorEastAsia"/>
          <w:szCs w:val="21"/>
          <w:highlight w:val="none"/>
        </w:rPr>
        <w:t>担的</w:t>
      </w:r>
      <w:r>
        <w:rPr>
          <w:rFonts w:hint="eastAsia" w:asciiTheme="minorEastAsia" w:hAnsiTheme="minorEastAsia" w:eastAsiaTheme="minorEastAsia" w:cstheme="minorEastAsia"/>
          <w:color w:val="000000" w:themeColor="text1"/>
          <w:szCs w:val="21"/>
          <w:highlight w:val="none"/>
        </w:rPr>
        <w:t>机关企事业单位食堂服务外包的项目案例。</w:t>
      </w:r>
    </w:p>
    <w:bookmarkEnd w:id="109"/>
    <w:bookmarkEnd w:id="110"/>
    <w:bookmarkEnd w:id="111"/>
    <w:bookmarkEnd w:id="112"/>
    <w:bookmarkEnd w:id="113"/>
    <w:bookmarkEnd w:id="114"/>
    <w:p>
      <w:pPr>
        <w:topLinePunct/>
        <w:autoSpaceDE w:val="0"/>
        <w:autoSpaceDN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2.应提供合同复印件（线上采购项目提供扫描件，下同）。合同复印件应能清晰体现合同甲乙双方、合同时间、合同</w:t>
      </w:r>
      <w:r>
        <w:rPr>
          <w:rFonts w:hint="eastAsia" w:asciiTheme="minorEastAsia" w:hAnsiTheme="minorEastAsia" w:eastAsiaTheme="minorEastAsia" w:cstheme="minorEastAsia"/>
          <w:szCs w:val="21"/>
          <w:highlight w:val="none"/>
          <w:lang w:eastAsia="zh-CN"/>
        </w:rPr>
        <w:t>总</w:t>
      </w:r>
      <w:r>
        <w:rPr>
          <w:rFonts w:hint="eastAsia" w:asciiTheme="minorEastAsia" w:hAnsiTheme="minorEastAsia" w:eastAsiaTheme="minorEastAsia" w:cstheme="minorEastAsia"/>
          <w:szCs w:val="21"/>
          <w:highlight w:val="none"/>
        </w:rPr>
        <w:t>金额、合同主要内容等，并提供对方联系人</w:t>
      </w:r>
      <w:r>
        <w:rPr>
          <w:rFonts w:hint="eastAsia" w:asciiTheme="minorEastAsia" w:hAnsiTheme="minorEastAsia" w:eastAsiaTheme="minorEastAsia" w:cstheme="minorEastAsia"/>
          <w:szCs w:val="21"/>
        </w:rPr>
        <w:t>及联系方式，否则不能获得相应分值。</w:t>
      </w:r>
    </w:p>
    <w:p>
      <w:pPr>
        <w:pStyle w:val="13"/>
        <w:topLinePunct/>
        <w:autoSpaceDE w:val="0"/>
        <w:autoSpaceDN w:val="0"/>
        <w:spacing w:line="460" w:lineRule="exact"/>
        <w:ind w:firstLine="723"/>
        <w:jc w:val="center"/>
        <w:rPr>
          <w:rFonts w:hAnsi="宋体" w:cs="宋体"/>
          <w:b/>
          <w:bCs/>
          <w:sz w:val="36"/>
          <w:szCs w:val="36"/>
        </w:rPr>
      </w:pPr>
    </w:p>
    <w:p>
      <w:pPr>
        <w:rPr>
          <w:rFonts w:hAnsi="宋体" w:cs="宋体"/>
          <w:b/>
          <w:bCs/>
          <w:sz w:val="36"/>
          <w:szCs w:val="36"/>
        </w:rPr>
      </w:pPr>
      <w:r>
        <w:rPr>
          <w:rFonts w:hint="eastAsia" w:hAnsi="宋体" w:cs="宋体"/>
          <w:b/>
          <w:bCs/>
          <w:sz w:val="36"/>
          <w:szCs w:val="36"/>
        </w:rPr>
        <w:br w:type="page"/>
      </w:r>
    </w:p>
    <w:p>
      <w:pPr>
        <w:spacing w:line="600" w:lineRule="auto"/>
        <w:jc w:val="center"/>
        <w:rPr>
          <w:rFonts w:ascii="宋体" w:hAnsi="宋体"/>
          <w:b/>
          <w:kern w:val="0"/>
          <w:sz w:val="44"/>
          <w:szCs w:val="44"/>
        </w:rPr>
      </w:pPr>
    </w:p>
    <w:p>
      <w:pPr>
        <w:spacing w:line="600" w:lineRule="auto"/>
        <w:jc w:val="center"/>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投  标  文  件</w:t>
      </w:r>
    </w:p>
    <w:p>
      <w:pPr>
        <w:spacing w:line="600" w:lineRule="auto"/>
        <w:jc w:val="center"/>
        <w:rPr>
          <w:rFonts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技术部分</w:t>
      </w:r>
    </w:p>
    <w:p>
      <w:pPr>
        <w:spacing w:line="360" w:lineRule="auto"/>
        <w:jc w:val="center"/>
        <w:rPr>
          <w:rFonts w:asciiTheme="minorEastAsia" w:hAnsiTheme="minorEastAsia" w:eastAsiaTheme="minorEastAsia" w:cstheme="minorEastAsia"/>
          <w:kern w:val="0"/>
          <w:sz w:val="32"/>
          <w:szCs w:val="32"/>
        </w:rPr>
      </w:pPr>
    </w:p>
    <w:p>
      <w:pPr>
        <w:spacing w:line="360" w:lineRule="auto"/>
        <w:jc w:val="cente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（填写正本或副本）</w:t>
      </w:r>
    </w:p>
    <w:p>
      <w:pPr>
        <w:spacing w:line="360" w:lineRule="auto"/>
        <w:ind w:firstLine="480" w:firstLineChars="200"/>
        <w:jc w:val="center"/>
        <w:rPr>
          <w:rFonts w:asciiTheme="minorEastAsia" w:hAnsiTheme="minorEastAsia" w:eastAsiaTheme="minorEastAsia" w:cstheme="minorEastAsia"/>
          <w:bCs/>
          <w:kern w:val="0"/>
          <w:sz w:val="24"/>
          <w:szCs w:val="24"/>
        </w:rPr>
      </w:pPr>
    </w:p>
    <w:p>
      <w:pPr>
        <w:pStyle w:val="12"/>
        <w:rPr>
          <w:rFonts w:asciiTheme="minorEastAsia" w:hAnsiTheme="minorEastAsia" w:eastAsiaTheme="minorEastAsia" w:cstheme="minorEastAsia"/>
          <w:b w:val="0"/>
          <w:bCs/>
          <w:kern w:val="0"/>
          <w:sz w:val="24"/>
        </w:rPr>
      </w:pPr>
    </w:p>
    <w:p>
      <w:pPr>
        <w:rPr>
          <w:rFonts w:asciiTheme="minorEastAsia" w:hAnsiTheme="minorEastAsia" w:eastAsiaTheme="minorEastAsia" w:cstheme="minorEastAsia"/>
        </w:rPr>
      </w:pP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项目名称：</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项目编号：</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所投采购包：</w:t>
      </w:r>
    </w:p>
    <w:p>
      <w:pPr>
        <w:spacing w:line="360" w:lineRule="auto"/>
        <w:ind w:left="1470" w:leftChars="700" w:firstLine="480" w:firstLineChars="200"/>
        <w:jc w:val="center"/>
        <w:rPr>
          <w:rFonts w:asciiTheme="minorEastAsia" w:hAnsiTheme="minorEastAsia" w:eastAsiaTheme="minorEastAsia" w:cstheme="minorEastAsia"/>
          <w:bCs/>
          <w:kern w:val="0"/>
          <w:sz w:val="24"/>
          <w:szCs w:val="24"/>
        </w:rPr>
      </w:pP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投标人：</w:t>
      </w:r>
    </w:p>
    <w:p>
      <w:pPr>
        <w:spacing w:line="360" w:lineRule="auto"/>
        <w:ind w:left="1470" w:leftChars="700" w:firstLine="1680" w:firstLineChars="700"/>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日  期：</w:t>
      </w:r>
    </w:p>
    <w:p>
      <w:pPr>
        <w:widowControl/>
        <w:jc w:val="center"/>
        <w:rPr>
          <w:rFonts w:ascii="宋体" w:hAnsi="宋体" w:cs="宋体"/>
          <w:b/>
          <w:bCs/>
          <w:sz w:val="28"/>
          <w:szCs w:val="28"/>
        </w:rPr>
      </w:pPr>
      <w:r>
        <w:rPr>
          <w:rFonts w:ascii="宋体" w:hAnsi="宋体" w:cs="宋体"/>
          <w:b/>
          <w:bCs/>
          <w:sz w:val="36"/>
          <w:szCs w:val="36"/>
        </w:rPr>
        <w:br w:type="page"/>
      </w:r>
      <w:r>
        <w:rPr>
          <w:rFonts w:asciiTheme="minorEastAsia" w:hAnsiTheme="minorEastAsia" w:eastAsiaTheme="minorEastAsia"/>
          <w:b/>
          <w:bCs/>
          <w:sz w:val="28"/>
          <w:szCs w:val="28"/>
        </w:rPr>
        <w:t>格式</w:t>
      </w:r>
      <w:r>
        <w:rPr>
          <w:rFonts w:hint="eastAsia" w:asciiTheme="minorEastAsia" w:hAnsiTheme="minorEastAsia" w:eastAsiaTheme="minorEastAsia"/>
          <w:b/>
          <w:bCs/>
          <w:sz w:val="28"/>
          <w:szCs w:val="28"/>
        </w:rPr>
        <w:t>15</w:t>
      </w:r>
      <w:r>
        <w:rPr>
          <w:rFonts w:ascii="Times New Roman" w:hAnsi="Times New Roman"/>
          <w:b/>
          <w:bCs/>
          <w:sz w:val="28"/>
          <w:szCs w:val="28"/>
        </w:rPr>
        <w:t xml:space="preserve">  技术</w:t>
      </w:r>
      <w:r>
        <w:rPr>
          <w:rFonts w:hint="eastAsia" w:ascii="Times New Roman" w:hAnsi="Times New Roman"/>
          <w:b/>
          <w:bCs/>
          <w:sz w:val="28"/>
          <w:szCs w:val="28"/>
        </w:rPr>
        <w:t>条款偏离表</w:t>
      </w:r>
    </w:p>
    <w:tbl>
      <w:tblPr>
        <w:tblStyle w:val="22"/>
        <w:tblW w:w="85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7"/>
        <w:gridCol w:w="1516"/>
        <w:gridCol w:w="2116"/>
        <w:gridCol w:w="1684"/>
        <w:gridCol w:w="1879"/>
        <w:gridCol w:w="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516" w:type="dxa"/>
            <w:noWrap/>
          </w:tcPr>
          <w:p>
            <w:pPr>
              <w:adjustRightInd w:val="0"/>
              <w:snapToGrid w:val="0"/>
              <w:jc w:val="center"/>
              <w:rPr>
                <w:rFonts w:ascii="Times New Roman" w:hAnsi="Times New Roman"/>
                <w:b/>
                <w:szCs w:val="21"/>
              </w:rPr>
            </w:pPr>
            <w:r>
              <w:rPr>
                <w:rFonts w:ascii="Times New Roman" w:hAnsi="Times New Roman"/>
                <w:b/>
                <w:szCs w:val="21"/>
              </w:rPr>
              <w:t>招标文件</w:t>
            </w:r>
          </w:p>
          <w:p>
            <w:pPr>
              <w:adjustRightInd w:val="0"/>
              <w:snapToGrid w:val="0"/>
              <w:jc w:val="center"/>
              <w:rPr>
                <w:rFonts w:ascii="Times New Roman" w:hAnsi="Times New Roman"/>
                <w:b/>
                <w:szCs w:val="21"/>
              </w:rPr>
            </w:pPr>
            <w:r>
              <w:rPr>
                <w:rFonts w:ascii="Times New Roman" w:hAnsi="Times New Roman"/>
                <w:b/>
                <w:szCs w:val="21"/>
              </w:rPr>
              <w:t>技术部分序号</w:t>
            </w:r>
          </w:p>
        </w:tc>
        <w:tc>
          <w:tcPr>
            <w:tcW w:w="2116" w:type="dxa"/>
            <w:noWrap/>
            <w:vAlign w:val="center"/>
          </w:tcPr>
          <w:p>
            <w:pPr>
              <w:adjustRightInd w:val="0"/>
              <w:snapToGrid w:val="0"/>
              <w:jc w:val="center"/>
              <w:rPr>
                <w:rFonts w:ascii="Times New Roman" w:hAnsi="Times New Roman"/>
                <w:b/>
                <w:szCs w:val="21"/>
              </w:rPr>
            </w:pPr>
            <w:r>
              <w:rPr>
                <w:rFonts w:ascii="Times New Roman" w:hAnsi="Times New Roman"/>
                <w:b/>
                <w:szCs w:val="21"/>
              </w:rPr>
              <w:t>招标文件</w:t>
            </w:r>
          </w:p>
          <w:p>
            <w:pPr>
              <w:adjustRightInd w:val="0"/>
              <w:snapToGrid w:val="0"/>
              <w:jc w:val="center"/>
              <w:rPr>
                <w:rFonts w:ascii="Times New Roman" w:hAnsi="Times New Roman"/>
                <w:b/>
                <w:szCs w:val="21"/>
              </w:rPr>
            </w:pPr>
            <w:r>
              <w:rPr>
                <w:rFonts w:ascii="Times New Roman" w:hAnsi="Times New Roman"/>
                <w:b/>
                <w:szCs w:val="21"/>
              </w:rPr>
              <w:t>技术部分内容要求</w:t>
            </w:r>
          </w:p>
        </w:tc>
        <w:tc>
          <w:tcPr>
            <w:tcW w:w="1684" w:type="dxa"/>
            <w:noWrap/>
            <w:vAlign w:val="center"/>
          </w:tcPr>
          <w:p>
            <w:pPr>
              <w:adjustRightInd w:val="0"/>
              <w:snapToGrid w:val="0"/>
              <w:jc w:val="center"/>
              <w:rPr>
                <w:rFonts w:ascii="Times New Roman" w:hAnsi="Times New Roman"/>
                <w:b/>
                <w:szCs w:val="21"/>
              </w:rPr>
            </w:pPr>
            <w:r>
              <w:rPr>
                <w:rFonts w:ascii="Times New Roman" w:hAnsi="Times New Roman"/>
                <w:b/>
                <w:szCs w:val="21"/>
              </w:rPr>
              <w:t>投标文件</w:t>
            </w:r>
          </w:p>
          <w:p>
            <w:pPr>
              <w:adjustRightInd w:val="0"/>
              <w:snapToGrid w:val="0"/>
              <w:jc w:val="center"/>
              <w:rPr>
                <w:rFonts w:ascii="Times New Roman" w:hAnsi="Times New Roman"/>
                <w:b/>
                <w:szCs w:val="21"/>
              </w:rPr>
            </w:pPr>
            <w:r>
              <w:rPr>
                <w:rFonts w:ascii="Times New Roman" w:hAnsi="Times New Roman"/>
                <w:b/>
                <w:szCs w:val="21"/>
              </w:rPr>
              <w:t>应答情况</w:t>
            </w:r>
          </w:p>
        </w:tc>
        <w:tc>
          <w:tcPr>
            <w:tcW w:w="1879" w:type="dxa"/>
            <w:noWrap/>
            <w:vAlign w:val="center"/>
          </w:tcPr>
          <w:p>
            <w:pPr>
              <w:adjustRightInd w:val="0"/>
              <w:snapToGrid w:val="0"/>
              <w:jc w:val="center"/>
              <w:rPr>
                <w:rFonts w:ascii="Times New Roman" w:hAnsi="Times New Roman"/>
                <w:b/>
                <w:szCs w:val="21"/>
              </w:rPr>
            </w:pPr>
            <w:r>
              <w:rPr>
                <w:rFonts w:ascii="Times New Roman" w:hAnsi="Times New Roman"/>
                <w:b/>
                <w:szCs w:val="21"/>
              </w:rPr>
              <w:t>偏离（无/正/负）</w:t>
            </w:r>
          </w:p>
        </w:tc>
        <w:tc>
          <w:tcPr>
            <w:tcW w:w="759" w:type="dxa"/>
            <w:noWrap/>
            <w:vAlign w:val="center"/>
          </w:tcPr>
          <w:p>
            <w:pPr>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16" w:type="dxa"/>
            <w:noWrap/>
            <w:vAlign w:val="center"/>
          </w:tcPr>
          <w:p>
            <w:pPr>
              <w:adjustRightInd w:val="0"/>
              <w:snapToGrid w:val="0"/>
              <w:ind w:left="50" w:leftChars="24" w:right="55" w:rightChars="26"/>
              <w:jc w:val="center"/>
              <w:rPr>
                <w:rFonts w:ascii="Times New Roman" w:hAnsi="Times New Roman"/>
                <w:szCs w:val="21"/>
              </w:rPr>
            </w:pPr>
          </w:p>
        </w:tc>
        <w:tc>
          <w:tcPr>
            <w:tcW w:w="2116" w:type="dxa"/>
            <w:noWrap/>
            <w:vAlign w:val="center"/>
          </w:tcPr>
          <w:p>
            <w:pPr>
              <w:adjustRightInd w:val="0"/>
              <w:snapToGrid w:val="0"/>
              <w:ind w:left="50" w:leftChars="24" w:right="55" w:rightChars="26"/>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516" w:type="dxa"/>
            <w:noWrap/>
            <w:vAlign w:val="center"/>
          </w:tcPr>
          <w:p>
            <w:pPr>
              <w:adjustRightInd w:val="0"/>
              <w:snapToGrid w:val="0"/>
              <w:jc w:val="center"/>
              <w:rPr>
                <w:rFonts w:ascii="Times New Roman" w:hAnsi="Times New Roman"/>
                <w:szCs w:val="21"/>
              </w:rPr>
            </w:pPr>
          </w:p>
        </w:tc>
        <w:tc>
          <w:tcPr>
            <w:tcW w:w="2116" w:type="dxa"/>
            <w:noWrap/>
            <w:vAlign w:val="center"/>
          </w:tcPr>
          <w:p>
            <w:pPr>
              <w:adjustRightInd w:val="0"/>
              <w:snapToGrid w:val="0"/>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516" w:type="dxa"/>
            <w:noWrap/>
            <w:vAlign w:val="center"/>
          </w:tcPr>
          <w:p>
            <w:pPr>
              <w:adjustRightInd w:val="0"/>
              <w:snapToGrid w:val="0"/>
              <w:jc w:val="center"/>
              <w:rPr>
                <w:rFonts w:ascii="Times New Roman" w:hAnsi="Times New Roman"/>
                <w:szCs w:val="21"/>
              </w:rPr>
            </w:pPr>
          </w:p>
        </w:tc>
        <w:tc>
          <w:tcPr>
            <w:tcW w:w="2116" w:type="dxa"/>
            <w:noWrap/>
            <w:vAlign w:val="center"/>
          </w:tcPr>
          <w:p>
            <w:pPr>
              <w:adjustRightInd w:val="0"/>
              <w:snapToGrid w:val="0"/>
              <w:jc w:val="center"/>
              <w:rPr>
                <w:rFonts w:ascii="Times New Roman" w:hAnsi="Times New Roman"/>
                <w:szCs w:val="21"/>
              </w:rPr>
            </w:pPr>
          </w:p>
        </w:tc>
        <w:tc>
          <w:tcPr>
            <w:tcW w:w="1684" w:type="dxa"/>
            <w:noWrap/>
            <w:vAlign w:val="center"/>
          </w:tcPr>
          <w:p>
            <w:pPr>
              <w:adjustRightInd w:val="0"/>
              <w:snapToGrid w:val="0"/>
              <w:jc w:val="center"/>
              <w:rPr>
                <w:rFonts w:ascii="Times New Roman" w:hAnsi="Times New Roman"/>
                <w:szCs w:val="21"/>
              </w:rPr>
            </w:pPr>
          </w:p>
        </w:tc>
        <w:tc>
          <w:tcPr>
            <w:tcW w:w="1879" w:type="dxa"/>
            <w:noWrap/>
            <w:vAlign w:val="center"/>
          </w:tcPr>
          <w:p>
            <w:pPr>
              <w:adjustRightInd w:val="0"/>
              <w:snapToGrid w:val="0"/>
              <w:jc w:val="center"/>
              <w:rPr>
                <w:rFonts w:ascii="Times New Roman" w:hAnsi="Times New Roman"/>
                <w:szCs w:val="21"/>
              </w:rPr>
            </w:pPr>
          </w:p>
        </w:tc>
        <w:tc>
          <w:tcPr>
            <w:tcW w:w="759" w:type="dxa"/>
            <w:noWrap/>
            <w:vAlign w:val="center"/>
          </w:tcPr>
          <w:p>
            <w:pPr>
              <w:adjustRightInd w:val="0"/>
              <w:snapToGrid w:val="0"/>
              <w:jc w:val="center"/>
              <w:rPr>
                <w:rFonts w:ascii="Times New Roman" w:hAnsi="Times New Roman"/>
                <w:szCs w:val="21"/>
              </w:rPr>
            </w:pPr>
          </w:p>
        </w:tc>
      </w:tr>
    </w:tbl>
    <w:p>
      <w:pPr>
        <w:topLinePunct/>
        <w:autoSpaceDE w:val="0"/>
        <w:autoSpaceDN w:val="0"/>
        <w:spacing w:line="360" w:lineRule="auto"/>
        <w:rPr>
          <w:rFonts w:ascii="宋体" w:hAnsi="宋体" w:cs="宋体"/>
          <w:szCs w:val="21"/>
        </w:rPr>
      </w:pPr>
      <w:r>
        <w:rPr>
          <w:rFonts w:hint="eastAsia" w:ascii="宋体" w:hAnsi="宋体" w:cs="宋体"/>
          <w:szCs w:val="21"/>
        </w:rPr>
        <w:t>特别说明：</w:t>
      </w:r>
    </w:p>
    <w:p>
      <w:pPr>
        <w:spacing w:line="44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1.投标人应按招标文件《第六章　项目采购需求》中的技术要求，结合自身投标情况对技术条款逐条响应，未逐条响应的视为投标无效。</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2.投标文件响应的技术内容完全响应招标文件要求的，投标人应注明“无偏离”；不满足或不响应招标文件要求的，应注明“负偏离”；优于招标文件要求的，应注明“正偏离”。</w:t>
      </w:r>
    </w:p>
    <w:p>
      <w:pPr>
        <w:spacing w:line="440" w:lineRule="exact"/>
        <w:ind w:firstLine="420" w:firstLineChars="200"/>
        <w:outlineLvl w:val="1"/>
      </w:pPr>
      <w:bookmarkStart w:id="127" w:name="_Toc31002"/>
      <w:bookmarkStart w:id="128" w:name="_Toc6265"/>
      <w:bookmarkStart w:id="129" w:name="_Toc25459"/>
      <w:r>
        <w:rPr>
          <w:rFonts w:hint="eastAsia" w:asciiTheme="minorEastAsia" w:hAnsiTheme="minorEastAsia" w:eastAsiaTheme="minorEastAsia" w:cstheme="minorEastAsia"/>
        </w:rPr>
        <w:t>3.本表可扩展。</w:t>
      </w:r>
      <w:bookmarkEnd w:id="127"/>
      <w:bookmarkEnd w:id="128"/>
      <w:bookmarkEnd w:id="129"/>
    </w:p>
    <w:p>
      <w:pPr>
        <w:topLinePunct/>
        <w:autoSpaceDE w:val="0"/>
        <w:autoSpaceDN w:val="0"/>
        <w:spacing w:line="360" w:lineRule="auto"/>
        <w:ind w:firstLine="420" w:firstLineChars="200"/>
        <w:rPr>
          <w:rFonts w:ascii="Times New Roman" w:hAnsi="Times New Roman"/>
          <w:szCs w:val="21"/>
        </w:rPr>
      </w:pPr>
    </w:p>
    <w:p>
      <w:pPr>
        <w:pStyle w:val="31"/>
        <w:spacing w:after="156"/>
        <w:rPr>
          <w:sz w:val="21"/>
          <w:szCs w:val="21"/>
        </w:rPr>
      </w:pP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w:t>
      </w:r>
      <w:r>
        <w:rPr>
          <w:rFonts w:ascii="宋体" w:hAnsi="宋体"/>
          <w:kern w:val="0"/>
          <w:szCs w:val="21"/>
        </w:rPr>
        <w:t>（全称并加盖公章</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kern w:val="0"/>
          <w:szCs w:val="21"/>
        </w:rPr>
        <w:t>投标人代表（签字）</w:t>
      </w:r>
      <w:r>
        <w:rPr>
          <w:rFonts w:hint="eastAsia" w:ascii="宋体" w:hAnsi="宋体" w:cs="宋体"/>
          <w:szCs w:val="21"/>
        </w:rPr>
        <w:t>：</w:t>
      </w:r>
    </w:p>
    <w:p>
      <w:pPr>
        <w:tabs>
          <w:tab w:val="left" w:pos="1230"/>
        </w:tabs>
        <w:topLinePunct/>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日期：</w:t>
      </w:r>
    </w:p>
    <w:p>
      <w:pPr>
        <w:jc w:val="center"/>
        <w:outlineLvl w:val="0"/>
        <w:rPr>
          <w:b/>
          <w:bCs/>
          <w:sz w:val="36"/>
          <w:szCs w:val="36"/>
        </w:rPr>
      </w:pPr>
      <w:r>
        <w:rPr>
          <w:rFonts w:hint="eastAsia" w:hAnsi="宋体" w:cs="宋体"/>
          <w:sz w:val="24"/>
        </w:rPr>
        <w:br w:type="page"/>
      </w:r>
      <w:bookmarkStart w:id="130" w:name="_Toc1979"/>
      <w:bookmarkStart w:id="131" w:name="_Toc751"/>
      <w:bookmarkStart w:id="132" w:name="_Toc22335"/>
      <w:r>
        <w:rPr>
          <w:rFonts w:hint="eastAsia" w:asciiTheme="minorEastAsia" w:hAnsiTheme="minorEastAsia" w:eastAsiaTheme="minorEastAsia"/>
          <w:b/>
          <w:bCs/>
          <w:sz w:val="28"/>
          <w:szCs w:val="28"/>
        </w:rPr>
        <w:t>格式16</w:t>
      </w:r>
      <w:r>
        <w:rPr>
          <w:rFonts w:hint="eastAsia" w:ascii="Times New Roman" w:hAnsi="Times New Roman"/>
          <w:b/>
          <w:bCs/>
          <w:sz w:val="28"/>
          <w:szCs w:val="28"/>
        </w:rPr>
        <w:t xml:space="preserve">  </w:t>
      </w:r>
      <w:r>
        <w:rPr>
          <w:rFonts w:hint="eastAsia" w:ascii="宋体" w:hAnsi="宋体"/>
          <w:b/>
          <w:bCs/>
          <w:sz w:val="28"/>
          <w:szCs w:val="28"/>
        </w:rPr>
        <w:t>货</w:t>
      </w:r>
      <w:r>
        <w:rPr>
          <w:rFonts w:hint="eastAsia"/>
          <w:b/>
          <w:bCs/>
          <w:sz w:val="28"/>
          <w:szCs w:val="28"/>
        </w:rPr>
        <w:t>物说明一览表、服务方案、实施方案及技术方案</w:t>
      </w:r>
      <w:bookmarkEnd w:id="130"/>
      <w:bookmarkEnd w:id="131"/>
      <w:bookmarkEnd w:id="132"/>
    </w:p>
    <w:p>
      <w:pPr>
        <w:ind w:firstLine="420" w:firstLineChars="200"/>
        <w:rPr>
          <w:szCs w:val="21"/>
        </w:rPr>
      </w:pPr>
    </w:p>
    <w:p>
      <w:pPr>
        <w:adjustRightInd w:val="0"/>
        <w:snapToGrid w:val="0"/>
        <w:spacing w:line="360" w:lineRule="auto"/>
        <w:jc w:val="center"/>
        <w:rPr>
          <w:rFonts w:eastAsia="黑体"/>
          <w:sz w:val="28"/>
          <w:szCs w:val="28"/>
        </w:rPr>
      </w:pPr>
      <w:r>
        <w:rPr>
          <w:rFonts w:hint="eastAsia" w:ascii="宋体" w:hAnsi="宋体" w:cs="宋体"/>
          <w:b/>
          <w:bCs/>
          <w:sz w:val="28"/>
          <w:szCs w:val="28"/>
        </w:rPr>
        <w:t>服务方案说明</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服务类项目供应商应根据第六章规定编写服务方案说明。服务方案说明包括但不限于：</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(1)服务目标、范围和任务；</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(2)服务方案；</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(3)服务团队组织安排计划；</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(4)工作流程；</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(5)进度计划及保证措施；</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(6)质量保证措施；</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(7)合理化建议；</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(8)其他。</w:t>
      </w:r>
    </w:p>
    <w:p>
      <w:pPr>
        <w:ind w:firstLine="420" w:firstLineChars="200"/>
        <w:rPr>
          <w:rFonts w:eastAsia="仿宋_GB2312"/>
          <w:szCs w:val="21"/>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服务方案</w:t>
      </w:r>
    </w:p>
    <w:p>
      <w:pPr>
        <w:spacing w:line="360" w:lineRule="auto"/>
        <w:ind w:firstLine="420" w:firstLineChars="200"/>
        <w:jc w:val="left"/>
        <w:rPr>
          <w:rFonts w:ascii="宋体" w:hAnsi="宋体"/>
          <w:kern w:val="0"/>
          <w:szCs w:val="21"/>
        </w:rPr>
      </w:pPr>
      <w:r>
        <w:rPr>
          <w:rFonts w:hint="eastAsia" w:ascii="宋体" w:hAnsi="宋体"/>
          <w:kern w:val="0"/>
          <w:szCs w:val="21"/>
        </w:rPr>
        <w:t>(示例略)</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投标人对《机关食堂管理考核细则》的承诺函</w:t>
      </w:r>
    </w:p>
    <w:p>
      <w:pPr>
        <w:spacing w:line="360" w:lineRule="auto"/>
        <w:ind w:firstLine="420" w:firstLineChars="200"/>
        <w:jc w:val="left"/>
        <w:rPr>
          <w:rFonts w:ascii="宋体" w:hAnsi="宋体"/>
          <w:kern w:val="0"/>
          <w:szCs w:val="21"/>
        </w:rPr>
      </w:pPr>
      <w:r>
        <w:rPr>
          <w:rFonts w:hint="eastAsia" w:ascii="宋体" w:hAnsi="宋体"/>
          <w:kern w:val="0"/>
          <w:szCs w:val="21"/>
        </w:rPr>
        <w:t>(示例略)</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2"/>
      </w:pPr>
    </w:p>
    <w:p>
      <w:pPr>
        <w:pStyle w:val="3"/>
        <w:rPr>
          <w:rFonts w:ascii="宋体" w:hAnsi="宋体" w:cs="宋体"/>
          <w:b/>
          <w:bCs/>
          <w:sz w:val="28"/>
          <w:szCs w:val="28"/>
        </w:rPr>
      </w:pPr>
    </w:p>
    <w:p>
      <w:pPr>
        <w:pStyle w:val="3"/>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cs="宋体" w:asciiTheme="minorEastAsia" w:hAnsiTheme="minorEastAsia" w:eastAsiaTheme="minorEastAsia"/>
          <w:b/>
          <w:bCs/>
          <w:sz w:val="28"/>
          <w:szCs w:val="28"/>
        </w:rPr>
        <w:t>格式</w:t>
      </w:r>
      <w:bookmarkStart w:id="133" w:name="_Toc231801039"/>
      <w:r>
        <w:rPr>
          <w:rFonts w:hint="eastAsia" w:asciiTheme="minorEastAsia" w:hAnsiTheme="minorEastAsia" w:eastAsiaTheme="minorEastAsia"/>
          <w:b/>
          <w:bCs/>
          <w:sz w:val="28"/>
          <w:szCs w:val="28"/>
        </w:rPr>
        <w:t>17</w:t>
      </w:r>
      <w:r>
        <w:rPr>
          <w:rFonts w:hint="eastAsia" w:ascii="Times New Roman" w:hAnsi="Times New Roman" w:eastAsia="方正小标宋简体"/>
          <w:b/>
          <w:bCs/>
          <w:sz w:val="28"/>
          <w:szCs w:val="28"/>
        </w:rPr>
        <w:t xml:space="preserve"> </w:t>
      </w:r>
      <w:r>
        <w:rPr>
          <w:rFonts w:hint="eastAsia" w:ascii="宋体" w:hAnsi="宋体" w:cs="宋体"/>
          <w:b/>
          <w:bCs/>
          <w:sz w:val="28"/>
          <w:szCs w:val="28"/>
        </w:rPr>
        <w:t xml:space="preserve"> 技术力量一览表</w:t>
      </w:r>
    </w:p>
    <w:tbl>
      <w:tblPr>
        <w:tblStyle w:val="2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Times New Roman" w:hAnsi="Times New Roman"/>
                <w:b/>
                <w:szCs w:val="21"/>
              </w:rPr>
            </w:pPr>
            <w:r>
              <w:rPr>
                <w:rFonts w:ascii="Times New Roman" w:hAnsi="Times New Roman"/>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项目管理人员</w:t>
            </w:r>
          </w:p>
          <w:p>
            <w:pPr>
              <w:adjustRightIn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56" w:type="dxa"/>
            <w:vAlign w:val="center"/>
          </w:tcPr>
          <w:p>
            <w:pPr>
              <w:adjustRightInd w:val="0"/>
              <w:jc w:val="center"/>
              <w:rPr>
                <w:rFonts w:hint="eastAsia" w:asciiTheme="minorEastAsia" w:hAnsiTheme="minorEastAsia" w:eastAsiaTheme="minorEastAsia" w:cstheme="minorEastAsia"/>
                <w:szCs w:val="21"/>
              </w:rPr>
            </w:pPr>
          </w:p>
        </w:tc>
        <w:tc>
          <w:tcPr>
            <w:tcW w:w="1187" w:type="dxa"/>
            <w:vAlign w:val="center"/>
          </w:tcPr>
          <w:p>
            <w:pPr>
              <w:adjustRightInd w:val="0"/>
              <w:jc w:val="center"/>
              <w:rPr>
                <w:rFonts w:hint="eastAsia" w:asciiTheme="minorEastAsia" w:hAnsiTheme="minorEastAsia" w:eastAsiaTheme="minorEastAsia" w:cstheme="minorEastAsia"/>
                <w:szCs w:val="21"/>
              </w:rPr>
            </w:pPr>
          </w:p>
        </w:tc>
        <w:tc>
          <w:tcPr>
            <w:tcW w:w="1189" w:type="dxa"/>
            <w:vAlign w:val="center"/>
          </w:tcPr>
          <w:p>
            <w:pPr>
              <w:adjustRightInd w:val="0"/>
              <w:jc w:val="center"/>
              <w:rPr>
                <w:rFonts w:hint="eastAsia" w:asciiTheme="minorEastAsia" w:hAnsiTheme="minorEastAsia" w:eastAsiaTheme="minorEastAsia" w:cstheme="minorEastAsia"/>
                <w:szCs w:val="21"/>
              </w:rPr>
            </w:pPr>
          </w:p>
        </w:tc>
        <w:tc>
          <w:tcPr>
            <w:tcW w:w="1275" w:type="dxa"/>
            <w:vAlign w:val="center"/>
          </w:tcPr>
          <w:p>
            <w:pPr>
              <w:adjustRightInd w:val="0"/>
              <w:jc w:val="center"/>
              <w:rPr>
                <w:rFonts w:hint="eastAsia" w:asciiTheme="minorEastAsia" w:hAnsiTheme="minorEastAsia" w:eastAsiaTheme="minorEastAsia" w:cstheme="minorEastAsia"/>
                <w:szCs w:val="21"/>
              </w:rPr>
            </w:pPr>
          </w:p>
        </w:tc>
        <w:tc>
          <w:tcPr>
            <w:tcW w:w="1243" w:type="dxa"/>
            <w:vAlign w:val="center"/>
          </w:tcPr>
          <w:p>
            <w:pPr>
              <w:adjustRightInd w:val="0"/>
              <w:jc w:val="center"/>
              <w:rPr>
                <w:rFonts w:hint="eastAsia" w:asciiTheme="minorEastAsia" w:hAnsiTheme="minorEastAsia" w:eastAsiaTheme="minorEastAsia" w:cstheme="minorEastAsia"/>
                <w:szCs w:val="21"/>
              </w:rPr>
            </w:pPr>
          </w:p>
        </w:tc>
        <w:tc>
          <w:tcPr>
            <w:tcW w:w="1916" w:type="dxa"/>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56" w:type="dxa"/>
            <w:vAlign w:val="center"/>
          </w:tcPr>
          <w:p>
            <w:pPr>
              <w:adjustRightInd w:val="0"/>
              <w:jc w:val="center"/>
              <w:rPr>
                <w:rFonts w:hint="eastAsia" w:asciiTheme="minorEastAsia" w:hAnsiTheme="minorEastAsia" w:eastAsiaTheme="minorEastAsia" w:cstheme="minorEastAsia"/>
                <w:szCs w:val="21"/>
              </w:rPr>
            </w:pPr>
          </w:p>
        </w:tc>
        <w:tc>
          <w:tcPr>
            <w:tcW w:w="1187" w:type="dxa"/>
            <w:vAlign w:val="center"/>
          </w:tcPr>
          <w:p>
            <w:pPr>
              <w:adjustRightInd w:val="0"/>
              <w:jc w:val="center"/>
              <w:rPr>
                <w:rFonts w:hint="eastAsia" w:asciiTheme="minorEastAsia" w:hAnsiTheme="minorEastAsia" w:eastAsiaTheme="minorEastAsia" w:cstheme="minorEastAsia"/>
                <w:szCs w:val="21"/>
              </w:rPr>
            </w:pPr>
          </w:p>
        </w:tc>
        <w:tc>
          <w:tcPr>
            <w:tcW w:w="1189" w:type="dxa"/>
            <w:vAlign w:val="center"/>
          </w:tcPr>
          <w:p>
            <w:pPr>
              <w:adjustRightInd w:val="0"/>
              <w:jc w:val="center"/>
              <w:rPr>
                <w:rFonts w:hint="eastAsia" w:asciiTheme="minorEastAsia" w:hAnsiTheme="minorEastAsia" w:eastAsiaTheme="minorEastAsia" w:cstheme="minorEastAsia"/>
                <w:szCs w:val="21"/>
              </w:rPr>
            </w:pPr>
          </w:p>
        </w:tc>
        <w:tc>
          <w:tcPr>
            <w:tcW w:w="1275" w:type="dxa"/>
            <w:vAlign w:val="center"/>
          </w:tcPr>
          <w:p>
            <w:pPr>
              <w:adjustRightInd w:val="0"/>
              <w:jc w:val="center"/>
              <w:rPr>
                <w:rFonts w:hint="eastAsia" w:asciiTheme="minorEastAsia" w:hAnsiTheme="minorEastAsia" w:eastAsiaTheme="minorEastAsia" w:cstheme="minorEastAsia"/>
                <w:szCs w:val="21"/>
              </w:rPr>
            </w:pPr>
          </w:p>
        </w:tc>
        <w:tc>
          <w:tcPr>
            <w:tcW w:w="1243" w:type="dxa"/>
            <w:vAlign w:val="center"/>
          </w:tcPr>
          <w:p>
            <w:pPr>
              <w:adjustRightInd w:val="0"/>
              <w:jc w:val="center"/>
              <w:rPr>
                <w:rFonts w:hint="eastAsia" w:asciiTheme="minorEastAsia" w:hAnsiTheme="minorEastAsia" w:eastAsiaTheme="minorEastAsia" w:cstheme="minorEastAsia"/>
                <w:szCs w:val="21"/>
              </w:rPr>
            </w:pPr>
          </w:p>
        </w:tc>
        <w:tc>
          <w:tcPr>
            <w:tcW w:w="1916" w:type="dxa"/>
            <w:vAlign w:val="center"/>
          </w:tcPr>
          <w:p>
            <w:pPr>
              <w:adjustRightIn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jc w:val="center"/>
              <w:rPr>
                <w:rFonts w:ascii="Times New Roman" w:hAnsi="Times New Roman"/>
                <w:szCs w:val="21"/>
              </w:rPr>
            </w:pPr>
            <w:r>
              <w:rPr>
                <w:rFonts w:ascii="Times New Roman" w:hAnsi="Times New Roman"/>
                <w:szCs w:val="21"/>
              </w:rPr>
              <w:t>……</w:t>
            </w:r>
          </w:p>
        </w:tc>
        <w:tc>
          <w:tcPr>
            <w:tcW w:w="1356" w:type="dxa"/>
            <w:vAlign w:val="center"/>
          </w:tcPr>
          <w:p>
            <w:pPr>
              <w:adjustRightInd w:val="0"/>
              <w:jc w:val="center"/>
              <w:rPr>
                <w:rFonts w:ascii="Times New Roman" w:hAnsi="Times New Roman"/>
                <w:szCs w:val="21"/>
              </w:rPr>
            </w:pPr>
          </w:p>
        </w:tc>
        <w:tc>
          <w:tcPr>
            <w:tcW w:w="1187" w:type="dxa"/>
            <w:vAlign w:val="center"/>
          </w:tcPr>
          <w:p>
            <w:pPr>
              <w:adjustRightInd w:val="0"/>
              <w:jc w:val="center"/>
              <w:rPr>
                <w:rFonts w:ascii="Times New Roman" w:hAnsi="Times New Roman"/>
                <w:szCs w:val="21"/>
              </w:rPr>
            </w:pPr>
          </w:p>
        </w:tc>
        <w:tc>
          <w:tcPr>
            <w:tcW w:w="1189" w:type="dxa"/>
            <w:vAlign w:val="center"/>
          </w:tcPr>
          <w:p>
            <w:pPr>
              <w:adjustRightInd w:val="0"/>
              <w:jc w:val="center"/>
              <w:rPr>
                <w:rFonts w:ascii="Times New Roman" w:hAnsi="Times New Roman"/>
                <w:szCs w:val="21"/>
              </w:rPr>
            </w:pPr>
          </w:p>
        </w:tc>
        <w:tc>
          <w:tcPr>
            <w:tcW w:w="1275" w:type="dxa"/>
            <w:vAlign w:val="center"/>
          </w:tcPr>
          <w:p>
            <w:pPr>
              <w:adjustRightInd w:val="0"/>
              <w:jc w:val="center"/>
              <w:rPr>
                <w:rFonts w:ascii="Times New Roman" w:hAnsi="Times New Roman"/>
                <w:szCs w:val="21"/>
              </w:rPr>
            </w:pPr>
          </w:p>
        </w:tc>
        <w:tc>
          <w:tcPr>
            <w:tcW w:w="1243" w:type="dxa"/>
            <w:vAlign w:val="center"/>
          </w:tcPr>
          <w:p>
            <w:pPr>
              <w:adjustRightInd w:val="0"/>
              <w:jc w:val="center"/>
              <w:rPr>
                <w:rFonts w:ascii="Times New Roman" w:hAnsi="Times New Roman"/>
                <w:szCs w:val="21"/>
              </w:rPr>
            </w:pPr>
          </w:p>
        </w:tc>
        <w:tc>
          <w:tcPr>
            <w:tcW w:w="1916" w:type="dxa"/>
            <w:vAlign w:val="center"/>
          </w:tcPr>
          <w:p>
            <w:pPr>
              <w:adjustRightInd w:val="0"/>
              <w:jc w:val="center"/>
              <w:rPr>
                <w:rFonts w:ascii="Times New Roman" w:hAnsi="Times New Roman"/>
                <w:szCs w:val="21"/>
              </w:rPr>
            </w:pPr>
          </w:p>
        </w:tc>
      </w:tr>
      <w:bookmarkEnd w:id="133"/>
    </w:tbl>
    <w:p>
      <w:pPr>
        <w:topLinePunct/>
        <w:autoSpaceDE w:val="0"/>
        <w:autoSpaceDN w:val="0"/>
        <w:spacing w:line="360" w:lineRule="auto"/>
        <w:rPr>
          <w:rFonts w:ascii="宋体" w:hAnsi="宋体" w:cs="宋体"/>
          <w:szCs w:val="21"/>
        </w:rPr>
      </w:pPr>
      <w:r>
        <w:rPr>
          <w:rFonts w:ascii="宋体" w:hAnsi="宋体" w:cs="宋体"/>
          <w:szCs w:val="21"/>
        </w:rPr>
        <w:t>特别说明：</w:t>
      </w:r>
    </w:p>
    <w:p>
      <w:pPr>
        <w:topLinePunct/>
        <w:autoSpaceDE w:val="0"/>
        <w:autoSpaceDN w:val="0"/>
        <w:spacing w:line="360" w:lineRule="auto"/>
        <w:ind w:firstLine="420" w:firstLineChars="200"/>
        <w:rPr>
          <w:rFonts w:ascii="宋体" w:hAnsi="宋体" w:cs="宋体"/>
          <w:szCs w:val="21"/>
        </w:rPr>
      </w:pPr>
      <w:r>
        <w:rPr>
          <w:rFonts w:hint="eastAsia" w:ascii="宋体" w:hAnsi="宋体" w:cs="宋体"/>
          <w:szCs w:val="21"/>
        </w:rPr>
        <w:t>1.投标人须按照上述格式填写投入本项目所有人员的相关信息。</w:t>
      </w:r>
    </w:p>
    <w:p>
      <w:pPr>
        <w:topLinePunct/>
        <w:autoSpaceDE w:val="0"/>
        <w:autoSpaceDN w:val="0"/>
        <w:spacing w:line="360" w:lineRule="auto"/>
        <w:ind w:firstLine="420" w:firstLineChars="200"/>
        <w:rPr>
          <w:rFonts w:ascii="宋体" w:hAnsi="宋体" w:cs="宋体"/>
          <w:b/>
          <w:bCs/>
          <w:sz w:val="28"/>
          <w:szCs w:val="28"/>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投标人依据本项目《第三章 评标方法及标准》、第六章《项目采购需求》的要求，提供</w:t>
      </w:r>
      <w:r>
        <w:rPr>
          <w:rFonts w:hint="eastAsia" w:asciiTheme="minorEastAsia" w:hAnsiTheme="minorEastAsia" w:eastAsiaTheme="minorEastAsia" w:cstheme="minorEastAsia"/>
          <w:bCs/>
          <w:color w:val="000000"/>
          <w:spacing w:val="1"/>
          <w:szCs w:val="21"/>
        </w:rPr>
        <w:t>相关学历、证书复印件或工作履历情况。同一人不允许同时任多个岗位，不重复计分。未提供有效学历、证书或工作履历证明的，不得分。以上材料均需加盖公章（投标人如能够在线查询的材料，请提供查询网址链接，可以不用同时提供纸质材料）。</w:t>
      </w:r>
      <w:r>
        <w:rPr>
          <w:rFonts w:hint="eastAsia" w:ascii="宋体" w:hAnsi="宋体" w:cs="宋体"/>
          <w:b/>
          <w:sz w:val="30"/>
          <w:szCs w:val="30"/>
        </w:rPr>
        <w:br w:type="page"/>
      </w:r>
      <w:r>
        <w:rPr>
          <w:rFonts w:hint="eastAsia" w:ascii="宋体" w:hAnsi="宋体" w:cs="宋体"/>
          <w:b/>
          <w:sz w:val="30"/>
          <w:szCs w:val="30"/>
        </w:rPr>
        <w:t xml:space="preserve">                  </w:t>
      </w:r>
      <w:r>
        <w:rPr>
          <w:rFonts w:hint="eastAsia" w:ascii="宋体" w:hAnsi="宋体" w:cs="宋体"/>
          <w:b/>
          <w:bCs/>
          <w:sz w:val="28"/>
          <w:szCs w:val="28"/>
        </w:rPr>
        <w:t>格式18  技术人员简历表</w:t>
      </w:r>
    </w:p>
    <w:tbl>
      <w:tblPr>
        <w:tblStyle w:val="22"/>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39"/>
        <w:gridCol w:w="1979"/>
        <w:gridCol w:w="1004"/>
        <w:gridCol w:w="218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姓   名</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性    别</w:t>
            </w:r>
          </w:p>
        </w:tc>
        <w:tc>
          <w:tcPr>
            <w:tcW w:w="10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出生日期</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学   历</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毕业学校</w:t>
            </w:r>
          </w:p>
        </w:tc>
        <w:tc>
          <w:tcPr>
            <w:tcW w:w="10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技术职称</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公司职务</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任职时间</w:t>
            </w:r>
          </w:p>
        </w:tc>
        <w:tc>
          <w:tcPr>
            <w:tcW w:w="10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本项目任职</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人员级别</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从事XXX工作年限</w:t>
            </w:r>
          </w:p>
        </w:tc>
        <w:tc>
          <w:tcPr>
            <w:tcW w:w="10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从事XXXX年限</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认证证书</w:t>
            </w:r>
          </w:p>
        </w:tc>
        <w:tc>
          <w:tcPr>
            <w:tcW w:w="7224" w:type="dxa"/>
            <w:gridSpan w:val="5"/>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487"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工作简历及主要业绩</w:t>
            </w:r>
          </w:p>
          <w:p>
            <w:pPr>
              <w:adjustRightInd w:val="0"/>
              <w:rPr>
                <w:rFonts w:ascii="宋体" w:hAnsi="宋体" w:cs="宋体"/>
                <w:szCs w:val="21"/>
              </w:rPr>
            </w:pPr>
          </w:p>
        </w:tc>
      </w:tr>
    </w:tbl>
    <w:p>
      <w:pPr>
        <w:topLinePunct/>
        <w:autoSpaceDE w:val="0"/>
        <w:autoSpaceDN w:val="0"/>
        <w:spacing w:line="360" w:lineRule="auto"/>
        <w:rPr>
          <w:rFonts w:ascii="Times New Roman" w:hAnsi="Times New Roman"/>
          <w:szCs w:val="21"/>
        </w:rPr>
      </w:pPr>
      <w:r>
        <w:rPr>
          <w:rFonts w:ascii="Times New Roman" w:hAnsi="Times New Roman"/>
          <w:szCs w:val="21"/>
        </w:rPr>
        <w:t>特别说明：投标人应提供投入本项目</w:t>
      </w:r>
      <w:r>
        <w:rPr>
          <w:rFonts w:hint="eastAsia" w:ascii="Times New Roman" w:hAnsi="Times New Roman"/>
          <w:szCs w:val="21"/>
        </w:rPr>
        <w:t>技术人员</w:t>
      </w:r>
      <w:r>
        <w:rPr>
          <w:rFonts w:ascii="Times New Roman" w:hAnsi="Times New Roman"/>
          <w:szCs w:val="21"/>
        </w:rPr>
        <w:t>的简历。</w:t>
      </w:r>
    </w:p>
    <w:p>
      <w:pPr>
        <w:topLinePunct/>
        <w:autoSpaceDE w:val="0"/>
        <w:autoSpaceDN w:val="0"/>
        <w:spacing w:line="360" w:lineRule="auto"/>
        <w:ind w:firstLine="420" w:firstLineChars="200"/>
        <w:rPr>
          <w:rFonts w:ascii="Times New Roman" w:hAnsi="Times New Roman"/>
        </w:rPr>
      </w:pPr>
    </w:p>
    <w:p>
      <w:pPr>
        <w:widowControl/>
        <w:jc w:val="left"/>
      </w:pPr>
    </w:p>
    <w:p>
      <w:pPr>
        <w:widowControl/>
        <w:jc w:val="center"/>
        <w:rPr>
          <w:b/>
          <w:bCs/>
          <w:sz w:val="36"/>
          <w:szCs w:val="36"/>
        </w:rPr>
      </w:pPr>
      <w:r>
        <w:rPr>
          <w:rFonts w:ascii="宋体" w:hAnsi="宋体"/>
          <w:b/>
          <w:bCs/>
          <w:sz w:val="36"/>
          <w:szCs w:val="36"/>
        </w:rPr>
        <w:br w:type="page"/>
      </w:r>
      <w:r>
        <w:rPr>
          <w:rFonts w:hint="eastAsia" w:ascii="宋体" w:hAnsi="宋体"/>
          <w:b/>
          <w:bCs/>
          <w:sz w:val="28"/>
          <w:szCs w:val="28"/>
        </w:rPr>
        <w:t>格式19  投标人售后服务承诺</w:t>
      </w:r>
    </w:p>
    <w:p>
      <w:pPr>
        <w:ind w:firstLine="420" w:firstLineChars="200"/>
        <w:rPr>
          <w:szCs w:val="21"/>
        </w:rPr>
      </w:pPr>
    </w:p>
    <w:p>
      <w:pPr>
        <w:spacing w:line="360" w:lineRule="auto"/>
        <w:ind w:firstLine="420" w:firstLineChars="200"/>
        <w:jc w:val="left"/>
        <w:rPr>
          <w:rFonts w:ascii="宋体" w:hAnsi="宋体"/>
          <w:kern w:val="0"/>
          <w:szCs w:val="21"/>
        </w:rPr>
      </w:pPr>
      <w:r>
        <w:rPr>
          <w:rFonts w:ascii="宋体" w:hAnsi="宋体"/>
          <w:kern w:val="0"/>
          <w:szCs w:val="21"/>
        </w:rPr>
        <w:t>(示例略)</w:t>
      </w:r>
    </w:p>
    <w:p>
      <w:pPr>
        <w:rPr>
          <w:szCs w:val="21"/>
        </w:rPr>
        <w:sectPr>
          <w:pgSz w:w="11906" w:h="16838"/>
          <w:pgMar w:top="1417" w:right="1417" w:bottom="1417" w:left="1417" w:header="851" w:footer="992" w:gutter="0"/>
          <w:cols w:space="720" w:num="1"/>
          <w:titlePg/>
          <w:docGrid w:type="lines" w:linePitch="312" w:charSpace="0"/>
        </w:sectPr>
      </w:pPr>
    </w:p>
    <w:p>
      <w:pPr>
        <w:topLinePunct/>
        <w:autoSpaceDE w:val="0"/>
        <w:autoSpaceDN w:val="0"/>
        <w:jc w:val="center"/>
        <w:rPr>
          <w:rFonts w:ascii="华文中宋" w:hAnsi="华文中宋" w:eastAsia="华文中宋" w:cs="华文中宋"/>
          <w:bCs/>
          <w:sz w:val="32"/>
          <w:szCs w:val="32"/>
        </w:rPr>
      </w:pPr>
    </w:p>
    <w:p>
      <w:pPr>
        <w:topLinePunct/>
        <w:autoSpaceDE w:val="0"/>
        <w:autoSpaceDN w:val="0"/>
        <w:jc w:val="center"/>
        <w:rPr>
          <w:rFonts w:ascii="华文中宋" w:hAnsi="华文中宋" w:eastAsia="华文中宋" w:cs="华文中宋"/>
          <w:bCs/>
          <w:sz w:val="32"/>
          <w:szCs w:val="32"/>
        </w:rPr>
      </w:pPr>
    </w:p>
    <w:p>
      <w:pPr>
        <w:pStyle w:val="4"/>
        <w:jc w:val="center"/>
        <w:rPr>
          <w:rFonts w:ascii="黑体" w:hAnsi="黑体" w:eastAsia="黑体" w:cs="黑体"/>
          <w:sz w:val="72"/>
          <w:szCs w:val="72"/>
        </w:rPr>
      </w:pPr>
      <w:bookmarkStart w:id="134" w:name="_Toc23740"/>
      <w:bookmarkStart w:id="135" w:name="_Toc132880285"/>
      <w:r>
        <w:rPr>
          <w:rFonts w:hint="eastAsia" w:ascii="黑体" w:hAnsi="黑体" w:eastAsia="黑体" w:cs="黑体"/>
          <w:sz w:val="72"/>
          <w:szCs w:val="72"/>
        </w:rPr>
        <w:t>招 标 文 件</w:t>
      </w:r>
      <w:bookmarkEnd w:id="134"/>
    </w:p>
    <w:p>
      <w:pPr>
        <w:pStyle w:val="4"/>
        <w:jc w:val="center"/>
        <w:rPr>
          <w:rFonts w:ascii="华文中宋" w:hAnsi="华文中宋" w:eastAsia="华文中宋" w:cs="华文中宋"/>
          <w:szCs w:val="72"/>
        </w:rPr>
      </w:pPr>
      <w:bookmarkStart w:id="136" w:name="_Toc32697"/>
      <w:r>
        <w:rPr>
          <w:rFonts w:hint="eastAsia" w:ascii="黑体" w:hAnsi="黑体" w:eastAsia="黑体" w:cs="黑体"/>
          <w:sz w:val="72"/>
          <w:szCs w:val="72"/>
        </w:rPr>
        <w:t>（技术部分）</w:t>
      </w:r>
      <w:bookmarkEnd w:id="136"/>
    </w:p>
    <w:p>
      <w:pPr>
        <w:pStyle w:val="12"/>
      </w:pPr>
    </w:p>
    <w:p>
      <w:pPr>
        <w:topLinePunct/>
        <w:autoSpaceDE w:val="0"/>
        <w:autoSpaceDN w:val="0"/>
        <w:snapToGrid w:val="0"/>
        <w:rPr>
          <w:rFonts w:ascii="华文中宋" w:hAnsi="华文中宋" w:eastAsia="华文中宋" w:cs="华文中宋"/>
          <w:bCs/>
          <w:sz w:val="32"/>
          <w:szCs w:val="32"/>
        </w:rPr>
      </w:pPr>
    </w:p>
    <w:p>
      <w:pPr>
        <w:jc w:val="center"/>
        <w:rPr>
          <w:rFonts w:ascii="方正小标宋简体" w:hAnsi="方正小标宋简体" w:eastAsia="方正小标宋简体" w:cs="方正小标宋简体"/>
          <w:sz w:val="24"/>
          <w:szCs w:val="24"/>
        </w:rPr>
      </w:pPr>
    </w:p>
    <w:p>
      <w:pPr>
        <w:jc w:val="center"/>
        <w:rPr>
          <w:rFonts w:ascii="方正小标宋简体" w:hAnsi="方正小标宋简体" w:eastAsia="方正小标宋简体" w:cs="方正小标宋简体"/>
          <w:sz w:val="24"/>
          <w:szCs w:val="24"/>
        </w:rPr>
      </w:pPr>
    </w:p>
    <w:p>
      <w:pPr>
        <w:spacing w:line="360" w:lineRule="auto"/>
        <w:jc w:val="center"/>
        <w:rPr>
          <w:rFonts w:asciiTheme="minorEastAsia" w:hAnsiTheme="minorEastAsia" w:eastAsiaTheme="minorEastAsia" w:cstheme="minorEastAsia"/>
          <w:b/>
          <w:bCs/>
          <w:sz w:val="30"/>
          <w:szCs w:val="30"/>
        </w:rPr>
      </w:pPr>
    </w:p>
    <w:p>
      <w:pPr>
        <w:spacing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项目名称：国家税务总局南宁市税务局职工食堂劳务外包</w:t>
      </w:r>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项目编号：ZB2024-127</w:t>
      </w:r>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人：国家税务总局南宁市税务局</w:t>
      </w:r>
    </w:p>
    <w:p>
      <w:pPr>
        <w:spacing w:line="360" w:lineRule="auto"/>
        <w:ind w:firstLine="321" w:firstLineChars="100"/>
        <w:rPr>
          <w:rFonts w:asciiTheme="minorEastAsia" w:hAnsiTheme="minorEastAsia" w:eastAsiaTheme="minorEastAsia" w:cstheme="minorEastAsia"/>
          <w:b/>
          <w:bCs/>
          <w:sz w:val="32"/>
          <w:szCs w:val="32"/>
        </w:rPr>
      </w:pPr>
    </w:p>
    <w:p>
      <w:pPr>
        <w:spacing w:line="36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采购代理机构：广西众联工程项目管理有限公司</w:t>
      </w:r>
    </w:p>
    <w:p>
      <w:pPr>
        <w:topLinePunct/>
        <w:autoSpaceDE w:val="0"/>
        <w:autoSpaceDN w:val="0"/>
        <w:spacing w:line="460" w:lineRule="exact"/>
        <w:rPr>
          <w:rFonts w:asciiTheme="minorEastAsia" w:hAnsiTheme="minorEastAsia" w:eastAsiaTheme="minorEastAsia" w:cstheme="minorEastAsia"/>
          <w:b/>
          <w:bCs/>
          <w:sz w:val="32"/>
          <w:szCs w:val="32"/>
        </w:rPr>
      </w:pPr>
    </w:p>
    <w:p>
      <w:pPr>
        <w:topLinePunct/>
        <w:autoSpaceDE w:val="0"/>
        <w:autoSpaceDN w:val="0"/>
        <w:spacing w:line="460" w:lineRule="exact"/>
        <w:jc w:val="center"/>
        <w:rPr>
          <w:rFonts w:asciiTheme="minorEastAsia" w:hAnsiTheme="minorEastAsia" w:eastAsiaTheme="minorEastAsia" w:cstheme="minorEastAsia"/>
          <w:b/>
          <w:bCs/>
          <w:sz w:val="32"/>
          <w:szCs w:val="32"/>
        </w:rPr>
      </w:pPr>
    </w:p>
    <w:p>
      <w:pPr>
        <w:topLinePunct/>
        <w:autoSpaceDE w:val="0"/>
        <w:autoSpaceDN w:val="0"/>
        <w:spacing w:line="460" w:lineRule="exact"/>
        <w:jc w:val="center"/>
        <w:rPr>
          <w:rFonts w:asciiTheme="minorEastAsia" w:hAnsiTheme="minorEastAsia" w:eastAsiaTheme="minorEastAsia" w:cstheme="minorEastAsia"/>
          <w:b/>
          <w:bCs/>
          <w:sz w:val="32"/>
          <w:szCs w:val="32"/>
        </w:rPr>
      </w:pPr>
    </w:p>
    <w:p>
      <w:pPr>
        <w:topLinePunct/>
        <w:autoSpaceDE w:val="0"/>
        <w:autoSpaceDN w:val="0"/>
        <w:spacing w:line="46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国家税务总局南宁市税务局</w:t>
      </w:r>
    </w:p>
    <w:p>
      <w:pPr>
        <w:topLinePunct/>
        <w:autoSpaceDE w:val="0"/>
        <w:autoSpaceDN w:val="0"/>
        <w:spacing w:line="160" w:lineRule="exact"/>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2024年5月</w:t>
      </w:r>
      <w:r>
        <w:rPr>
          <w:rFonts w:hint="eastAsia" w:asciiTheme="minorEastAsia" w:hAnsiTheme="minorEastAsia" w:eastAsiaTheme="minorEastAsia" w:cstheme="minorEastAsia"/>
          <w:b/>
          <w:bCs/>
          <w:sz w:val="32"/>
          <w:szCs w:val="32"/>
          <w:lang w:val="en-US" w:eastAsia="zh-CN"/>
        </w:rPr>
        <w:t>14</w:t>
      </w:r>
      <w:r>
        <w:rPr>
          <w:rFonts w:hint="eastAsia" w:asciiTheme="minorEastAsia" w:hAnsiTheme="minorEastAsia" w:eastAsiaTheme="minorEastAsia" w:cstheme="minorEastAsia"/>
          <w:b/>
          <w:bCs/>
          <w:sz w:val="32"/>
          <w:szCs w:val="32"/>
        </w:rPr>
        <w:t>日</w:t>
      </w:r>
    </w:p>
    <w:p>
      <w:pPr>
        <w:pStyle w:val="4"/>
        <w:jc w:val="center"/>
        <w:rPr>
          <w:rFonts w:ascii="黑体" w:hAnsi="黑体" w:eastAsia="黑体" w:cs="黑体"/>
          <w:szCs w:val="32"/>
        </w:rPr>
      </w:pPr>
      <w:bookmarkStart w:id="137" w:name="_Toc20930"/>
      <w:r>
        <w:rPr>
          <w:rFonts w:hint="eastAsia"/>
        </w:rPr>
        <w:t>第六章 项目采购需求</w:t>
      </w:r>
      <w:bookmarkEnd w:id="135"/>
      <w:bookmarkEnd w:id="137"/>
    </w:p>
    <w:p>
      <w:pPr>
        <w:pStyle w:val="5"/>
        <w:ind w:firstLine="446" w:firstLineChars="148"/>
      </w:pPr>
      <w:bookmarkStart w:id="138" w:name="_Toc1560"/>
      <w:bookmarkStart w:id="139" w:name="_Toc129529569"/>
      <w:bookmarkStart w:id="140" w:name="_Toc132880286"/>
      <w:r>
        <w:rPr>
          <w:rFonts w:hint="eastAsia"/>
        </w:rPr>
        <w:t>一、项目概况</w:t>
      </w:r>
      <w:bookmarkEnd w:id="138"/>
      <w:bookmarkEnd w:id="139"/>
      <w:bookmarkEnd w:id="140"/>
    </w:p>
    <w:tbl>
      <w:tblPr>
        <w:tblStyle w:val="22"/>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2533"/>
        <w:gridCol w:w="895"/>
        <w:gridCol w:w="3063"/>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hint="eastAsia"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采购包</w:t>
            </w:r>
          </w:p>
        </w:tc>
        <w:tc>
          <w:tcPr>
            <w:tcW w:w="2533" w:type="dxa"/>
            <w:vAlign w:val="center"/>
          </w:tcPr>
          <w:p>
            <w:pPr>
              <w:spacing w:line="440" w:lineRule="exact"/>
              <w:jc w:val="center"/>
              <w:rPr>
                <w:rFonts w:hint="eastAsia"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采购标的</w:t>
            </w:r>
          </w:p>
        </w:tc>
        <w:tc>
          <w:tcPr>
            <w:tcW w:w="895" w:type="dxa"/>
            <w:vAlign w:val="center"/>
          </w:tcPr>
          <w:p>
            <w:pPr>
              <w:spacing w:line="440" w:lineRule="exact"/>
              <w:jc w:val="center"/>
              <w:rPr>
                <w:rFonts w:hint="eastAsia" w:asciiTheme="minorEastAsia" w:hAnsiTheme="minorEastAsia" w:eastAsiaTheme="minorEastAsia" w:cstheme="minorEastAsia"/>
                <w:iCs/>
                <w:szCs w:val="21"/>
              </w:rPr>
            </w:pPr>
            <w:r>
              <w:rPr>
                <w:rFonts w:hint="eastAsia" w:asciiTheme="minorEastAsia" w:hAnsiTheme="minorEastAsia" w:eastAsiaTheme="minorEastAsia" w:cstheme="minorEastAsia"/>
                <w:bCs/>
                <w:color w:val="000000"/>
                <w:szCs w:val="21"/>
              </w:rPr>
              <w:t>数量及单位</w:t>
            </w:r>
          </w:p>
        </w:tc>
        <w:tc>
          <w:tcPr>
            <w:tcW w:w="3063" w:type="dxa"/>
            <w:vAlign w:val="center"/>
          </w:tcPr>
          <w:p>
            <w:pPr>
              <w:spacing w:line="440" w:lineRule="exact"/>
              <w:jc w:val="center"/>
              <w:rPr>
                <w:rFonts w:hint="eastAsia"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最高限价</w:t>
            </w:r>
          </w:p>
        </w:tc>
        <w:tc>
          <w:tcPr>
            <w:tcW w:w="1798" w:type="dxa"/>
          </w:tcPr>
          <w:p>
            <w:pPr>
              <w:spacing w:line="440" w:lineRule="exact"/>
              <w:jc w:val="center"/>
              <w:rPr>
                <w:rFonts w:hint="eastAsia"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7" w:type="dxa"/>
            <w:vAlign w:val="center"/>
          </w:tcPr>
          <w:p>
            <w:pPr>
              <w:spacing w:line="440" w:lineRule="exact"/>
              <w:jc w:val="center"/>
              <w:rPr>
                <w:rFonts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1</w:t>
            </w:r>
          </w:p>
        </w:tc>
        <w:tc>
          <w:tcPr>
            <w:tcW w:w="2533" w:type="dxa"/>
            <w:vAlign w:val="center"/>
          </w:tcPr>
          <w:p>
            <w:pPr>
              <w:spacing w:line="440" w:lineRule="exact"/>
              <w:jc w:val="center"/>
              <w:rPr>
                <w:rFonts w:asciiTheme="minorEastAsia" w:hAnsiTheme="minorEastAsia" w:eastAsiaTheme="minorEastAsia" w:cstheme="minorEastAsia"/>
                <w:iCs/>
                <w:szCs w:val="21"/>
              </w:rPr>
            </w:pPr>
            <w:r>
              <w:rPr>
                <w:rFonts w:hint="eastAsia" w:asciiTheme="minorEastAsia" w:hAnsiTheme="minorEastAsia" w:eastAsiaTheme="minorEastAsia" w:cstheme="minorEastAsia"/>
                <w:iCs/>
                <w:color w:val="000000"/>
                <w:szCs w:val="21"/>
              </w:rPr>
              <w:t>国家税务总局南宁市税务局职工食堂劳务外包</w:t>
            </w:r>
          </w:p>
        </w:tc>
        <w:tc>
          <w:tcPr>
            <w:tcW w:w="895" w:type="dxa"/>
            <w:vAlign w:val="center"/>
          </w:tcPr>
          <w:p>
            <w:pPr>
              <w:spacing w:line="440" w:lineRule="exact"/>
              <w:jc w:val="center"/>
              <w:rPr>
                <w:rFonts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1年</w:t>
            </w:r>
          </w:p>
        </w:tc>
        <w:tc>
          <w:tcPr>
            <w:tcW w:w="3063" w:type="dxa"/>
            <w:vAlign w:val="center"/>
          </w:tcPr>
          <w:p>
            <w:pPr>
              <w:spacing w:line="440" w:lineRule="exact"/>
              <w:jc w:val="center"/>
              <w:rPr>
                <w:rFonts w:asciiTheme="minorEastAsia" w:hAnsiTheme="minorEastAsia" w:eastAsiaTheme="minorEastAsia" w:cstheme="minorEastAsia"/>
                <w:iCs/>
                <w:szCs w:val="21"/>
              </w:rPr>
            </w:pPr>
            <w:r>
              <w:rPr>
                <w:rFonts w:hint="eastAsia" w:asciiTheme="minorEastAsia" w:hAnsiTheme="minorEastAsia" w:eastAsiaTheme="minorEastAsia" w:cstheme="minorEastAsia"/>
                <w:iCs/>
                <w:szCs w:val="21"/>
              </w:rPr>
              <w:t>贰佰肆拾伍万柒仟元整（¥2,457,0</w:t>
            </w:r>
            <w:r>
              <w:rPr>
                <w:rFonts w:hint="eastAsia" w:asciiTheme="minorEastAsia" w:hAnsiTheme="minorEastAsia" w:eastAsiaTheme="minorEastAsia" w:cstheme="minorEastAsia"/>
                <w:iCs/>
                <w:szCs w:val="21"/>
                <w:lang w:val="en-US" w:eastAsia="zh-CN"/>
              </w:rPr>
              <w:t>0</w:t>
            </w:r>
            <w:r>
              <w:rPr>
                <w:rFonts w:hint="eastAsia" w:asciiTheme="minorEastAsia" w:hAnsiTheme="minorEastAsia" w:eastAsiaTheme="minorEastAsia" w:cstheme="minorEastAsia"/>
                <w:iCs/>
                <w:szCs w:val="21"/>
              </w:rPr>
              <w:t>0.00元）</w:t>
            </w:r>
          </w:p>
        </w:tc>
        <w:tc>
          <w:tcPr>
            <w:tcW w:w="1798" w:type="dxa"/>
            <w:vAlign w:val="center"/>
          </w:tcPr>
          <w:p>
            <w:pPr>
              <w:spacing w:line="440" w:lineRule="exact"/>
              <w:jc w:val="center"/>
              <w:rPr>
                <w:rFonts w:asciiTheme="minorEastAsia" w:hAnsiTheme="minorEastAsia" w:eastAsiaTheme="minorEastAsia" w:cstheme="minorEastAsia"/>
                <w:iCs/>
                <w:szCs w:val="21"/>
              </w:rPr>
            </w:pPr>
            <w:r>
              <w:rPr>
                <w:rFonts w:hint="eastAsia" w:asciiTheme="minorEastAsia" w:hAnsiTheme="minorEastAsia" w:eastAsiaTheme="minorEastAsia" w:cstheme="minorEastAsia"/>
                <w:bCs/>
                <w:iCs/>
                <w:szCs w:val="21"/>
              </w:rPr>
              <w:t>餐饮业</w:t>
            </w:r>
          </w:p>
        </w:tc>
      </w:tr>
    </w:tbl>
    <w:p>
      <w:pPr>
        <w:pStyle w:val="5"/>
        <w:ind w:firstLine="446" w:firstLineChars="148"/>
        <w:rPr>
          <w:rFonts w:asciiTheme="minorEastAsia" w:hAnsiTheme="minorEastAsia" w:eastAsiaTheme="minorEastAsia" w:cstheme="minorEastAsia"/>
          <w:iCs/>
          <w:szCs w:val="21"/>
        </w:rPr>
      </w:pPr>
      <w:bookmarkStart w:id="141" w:name="_Toc132880287"/>
      <w:bookmarkStart w:id="142" w:name="_Toc6007"/>
      <w:bookmarkStart w:id="143" w:name="_Toc129529570"/>
      <w:r>
        <w:rPr>
          <w:rFonts w:hint="eastAsia"/>
        </w:rPr>
        <w:t>二、技术要求</w:t>
      </w:r>
      <w:bookmarkEnd w:id="141"/>
      <w:bookmarkEnd w:id="142"/>
      <w:bookmarkEnd w:id="143"/>
    </w:p>
    <w:p>
      <w:pPr>
        <w:pStyle w:val="8"/>
        <w:pageBreakBefore w:val="0"/>
        <w:numPr>
          <w:ilvl w:val="0"/>
          <w:numId w:val="0"/>
        </w:numPr>
        <w:kinsoku/>
        <w:wordWrap/>
        <w:overflowPunct/>
        <w:topLinePunct w:val="0"/>
        <w:autoSpaceDE/>
        <w:autoSpaceDN/>
        <w:bidi w:val="0"/>
        <w:adjustRightInd/>
        <w:snapToGrid/>
        <w:spacing w:before="0" w:after="0" w:line="440" w:lineRule="exact"/>
        <w:ind w:firstLine="420" w:firstLineChars="200"/>
        <w:textAlignment w:val="auto"/>
        <w:rPr>
          <w:rFonts w:asciiTheme="minorEastAsia" w:hAnsiTheme="minorEastAsia" w:eastAsiaTheme="minorEastAsia" w:cstheme="minorEastAsia"/>
          <w:iCs/>
          <w:szCs w:val="21"/>
        </w:rPr>
      </w:pPr>
      <w:bookmarkStart w:id="144" w:name="_Toc26782"/>
      <w:bookmarkStart w:id="145" w:name="_Toc19448"/>
      <w:bookmarkStart w:id="146" w:name="_Toc3878"/>
      <w:r>
        <w:rPr>
          <w:rFonts w:hint="eastAsia" w:asciiTheme="minorEastAsia" w:hAnsiTheme="minorEastAsia" w:eastAsiaTheme="minorEastAsia" w:cstheme="minorEastAsia"/>
          <w:iCs/>
          <w:szCs w:val="21"/>
        </w:rPr>
        <w:t>（一）服务内容：</w:t>
      </w:r>
      <w:bookmarkEnd w:id="144"/>
      <w:bookmarkEnd w:id="145"/>
      <w:bookmarkEnd w:id="146"/>
    </w:p>
    <w:p>
      <w:pPr>
        <w:pStyle w:val="1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国家税务总局南宁市税务局金湖路40号</w:t>
      </w:r>
      <w:r>
        <w:rPr>
          <w:rFonts w:hint="eastAsia" w:asciiTheme="minorEastAsia" w:hAnsiTheme="minorEastAsia" w:eastAsiaTheme="minorEastAsia" w:cstheme="minorEastAsia"/>
          <w:color w:val="000000" w:themeColor="text1"/>
          <w:sz w:val="21"/>
          <w:szCs w:val="21"/>
          <w:highlight w:val="none"/>
        </w:rPr>
        <w:t>职工食堂</w:t>
      </w:r>
      <w:r>
        <w:rPr>
          <w:rFonts w:hint="eastAsia" w:asciiTheme="minorEastAsia" w:hAnsiTheme="minorEastAsia" w:eastAsiaTheme="minorEastAsia" w:cstheme="minorEastAsia"/>
          <w:sz w:val="21"/>
          <w:szCs w:val="21"/>
          <w:highlight w:val="none"/>
        </w:rPr>
        <w:t>、第三稽查局职工食堂、民族大道89号金禄大厦职工食堂的食堂劳务和管理服务，包括食堂菜品加工及销售、餐厅服务、公务用餐服务以及其他涉及食堂管理等服务。采购人负责提供食堂场地、设备及食材采购，承担水电、燃气费用。供应商提供专业的服务人员负责出品和服务，自行规范内部服务人员管理、食品安全、环境卫生等管理要求及各项操作流程。</w:t>
      </w:r>
    </w:p>
    <w:p>
      <w:pPr>
        <w:pStyle w:val="10"/>
        <w:pageBreakBefore w:val="0"/>
        <w:numPr>
          <w:ilvl w:val="0"/>
          <w:numId w:val="5"/>
        </w:numPr>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服务要求：</w:t>
      </w:r>
    </w:p>
    <w:p>
      <w:pPr>
        <w:pStyle w:val="1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1、南宁市税务局</w:t>
      </w:r>
      <w:r>
        <w:rPr>
          <w:rFonts w:hint="eastAsia" w:asciiTheme="minorEastAsia" w:hAnsiTheme="minorEastAsia" w:eastAsiaTheme="minorEastAsia" w:cstheme="minorEastAsia"/>
          <w:color w:val="000000" w:themeColor="text1"/>
          <w:sz w:val="21"/>
          <w:szCs w:val="21"/>
          <w:highlight w:val="none"/>
        </w:rPr>
        <w:t>职工食堂</w:t>
      </w:r>
      <w:r>
        <w:rPr>
          <w:rFonts w:hint="eastAsia" w:asciiTheme="minorEastAsia" w:hAnsiTheme="minorEastAsia" w:eastAsiaTheme="minorEastAsia" w:cstheme="minorEastAsia"/>
          <w:color w:val="000000"/>
          <w:sz w:val="21"/>
          <w:szCs w:val="21"/>
          <w:highlight w:val="none"/>
        </w:rPr>
        <w:t>供餐分为早餐、午餐、晚餐三个服务时段（每餐实际用餐人数视情况而定）。</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（1）早餐用餐人数</w:t>
      </w:r>
      <w:r>
        <w:rPr>
          <w:rFonts w:hint="eastAsia" w:asciiTheme="minorEastAsia" w:hAnsiTheme="minorEastAsia" w:eastAsiaTheme="minorEastAsia" w:cstheme="minorEastAsia"/>
          <w:color w:val="000000" w:themeColor="text1"/>
          <w:kern w:val="0"/>
          <w:szCs w:val="21"/>
          <w:highlight w:val="none"/>
        </w:rPr>
        <w:t>约</w:t>
      </w:r>
      <w:r>
        <w:rPr>
          <w:rFonts w:hint="eastAsia" w:asciiTheme="minorEastAsia" w:hAnsiTheme="minorEastAsia" w:eastAsiaTheme="minorEastAsia" w:cstheme="minorEastAsia"/>
          <w:color w:val="000000"/>
          <w:kern w:val="0"/>
          <w:szCs w:val="21"/>
          <w:highlight w:val="none"/>
        </w:rPr>
        <w:t>222人/次，开餐时间（早餐）为工作日的07：00—08：00，供餐品种主要为米粉类、粥类、杂粮、豆浆、面点等；</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themeColor="text1"/>
          <w:kern w:val="0"/>
          <w:szCs w:val="21"/>
          <w:highlight w:val="none"/>
        </w:rPr>
      </w:pPr>
      <w:r>
        <w:rPr>
          <w:rFonts w:hint="eastAsia" w:asciiTheme="minorEastAsia" w:hAnsiTheme="minorEastAsia" w:eastAsiaTheme="minorEastAsia" w:cstheme="minorEastAsia"/>
          <w:color w:val="000000"/>
          <w:kern w:val="0"/>
          <w:szCs w:val="21"/>
          <w:highlight w:val="none"/>
        </w:rPr>
        <w:t>（2）</w:t>
      </w:r>
      <w:r>
        <w:rPr>
          <w:rFonts w:hint="eastAsia" w:asciiTheme="minorEastAsia" w:hAnsiTheme="minorEastAsia" w:eastAsiaTheme="minorEastAsia" w:cstheme="minorEastAsia"/>
          <w:color w:val="000000" w:themeColor="text1"/>
          <w:kern w:val="0"/>
          <w:szCs w:val="21"/>
          <w:highlight w:val="none"/>
        </w:rPr>
        <w:t>中餐用餐人数约358人/次，开餐时间（午餐）为工作日的12：00—14：00，供应菜品要求达到八荤五素一汤、粉面加粥；</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highlight w:val="none"/>
        </w:rPr>
        <w:t>（3）晚餐用餐人数约153人/次，开餐</w:t>
      </w:r>
      <w:r>
        <w:rPr>
          <w:rFonts w:hint="eastAsia" w:asciiTheme="minorEastAsia" w:hAnsiTheme="minorEastAsia" w:eastAsiaTheme="minorEastAsia" w:cstheme="minorEastAsia"/>
          <w:color w:val="000000" w:themeColor="text1"/>
          <w:kern w:val="0"/>
          <w:szCs w:val="21"/>
        </w:rPr>
        <w:t>时间（晚餐）为工作日的18：00—19：30，供应菜品要求达到五荤三素一汤加粥。</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2、有公务接待时，接待晚餐时间延长至21：00。</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3、外包服务公司负责菜品的制作，配送。</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color w:val="000000"/>
          <w:kern w:val="0"/>
          <w:szCs w:val="21"/>
        </w:rPr>
        <w:t>4、正常供餐及管理；餐厅卫生打扫、厨具清洗；餐厅临时接待用餐、接待用餐的制作、接待；负责物料的接收、清理、分类和入库；餐厅的安全等服务工作。</w:t>
      </w:r>
    </w:p>
    <w:p>
      <w:pPr>
        <w:pStyle w:val="10"/>
        <w:pageBreakBefore w:val="0"/>
        <w:kinsoku/>
        <w:wordWrap/>
        <w:overflowPunct/>
        <w:topLinePunct w:val="0"/>
        <w:autoSpaceDE/>
        <w:autoSpaceDN/>
        <w:bidi w:val="0"/>
        <w:adjustRightInd/>
        <w:snapToGrid/>
        <w:spacing w:before="0" w:beforeAutospacing="0" w:after="0" w:afterAutospacing="0" w:line="440" w:lineRule="exact"/>
        <w:ind w:firstLine="413" w:firstLineChars="196"/>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w:t>
      </w:r>
      <w:r>
        <w:rPr>
          <w:rFonts w:hint="eastAsia" w:asciiTheme="minorEastAsia" w:hAnsiTheme="minorEastAsia" w:eastAsiaTheme="minorEastAsia" w:cstheme="minorEastAsia"/>
          <w:sz w:val="21"/>
          <w:szCs w:val="21"/>
        </w:rPr>
        <w:t>（三）服务方式：</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1、南宁市青秀区金湖路40号3楼职工食堂早、中、晚餐的菜肴制作、销售服务。</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2、南宁市青秀区金湖路40号3楼职工食堂公务接待、会议培训等公务用餐保障服务（菜肴制作、餐饮服务）。</w:t>
      </w:r>
    </w:p>
    <w:p>
      <w:pPr>
        <w:pageBreakBefore w:val="0"/>
        <w:kinsoku/>
        <w:wordWrap/>
        <w:overflowPunct/>
        <w:topLinePunct w:val="0"/>
        <w:autoSpaceDE/>
        <w:autoSpaceDN/>
        <w:bidi w:val="0"/>
        <w:adjustRightInd/>
        <w:snapToGrid/>
        <w:spacing w:line="440" w:lineRule="exact"/>
        <w:ind w:firstLine="420" w:firstLineChars="200"/>
        <w:textAlignment w:val="auto"/>
        <w:outlineLvl w:val="1"/>
        <w:rPr>
          <w:rFonts w:asciiTheme="minorEastAsia" w:hAnsiTheme="minorEastAsia" w:eastAsiaTheme="minorEastAsia" w:cstheme="minorEastAsia"/>
          <w:color w:val="000000"/>
          <w:kern w:val="0"/>
          <w:szCs w:val="21"/>
        </w:rPr>
      </w:pPr>
      <w:bookmarkStart w:id="147" w:name="_Toc2617"/>
      <w:bookmarkStart w:id="148" w:name="_Toc770"/>
      <w:bookmarkStart w:id="149" w:name="_Toc16356"/>
      <w:r>
        <w:rPr>
          <w:rFonts w:hint="eastAsia" w:asciiTheme="minorEastAsia" w:hAnsiTheme="minorEastAsia" w:eastAsiaTheme="minorEastAsia" w:cstheme="minorEastAsia"/>
          <w:color w:val="000000"/>
          <w:kern w:val="0"/>
          <w:szCs w:val="21"/>
        </w:rPr>
        <w:t>3、南宁市第三稽查局职工食堂早、中餐的菜肴制作、销售服务。</w:t>
      </w:r>
      <w:bookmarkEnd w:id="147"/>
      <w:bookmarkEnd w:id="148"/>
      <w:bookmarkEnd w:id="149"/>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4、民族大道89号金禄大厦职工食堂早、中餐的菜肴制作、销售、配送服务。</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5、食堂卫生保洁、财务核算、库存盘点、每日菜样留存及各项目日常管理工作。</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6、协助采购人做好日常食材采购验收工作。</w:t>
      </w:r>
    </w:p>
    <w:p>
      <w:pPr>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7、与本项目有关的其他服务工作。</w:t>
      </w:r>
    </w:p>
    <w:p>
      <w:pPr>
        <w:pStyle w:val="1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（四）服务作业标准：</w:t>
      </w:r>
    </w:p>
    <w:p>
      <w:pPr>
        <w:pStyle w:val="12"/>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b w:val="0"/>
          <w:bCs/>
          <w:color w:val="000000"/>
          <w:kern w:val="0"/>
          <w:szCs w:val="21"/>
        </w:rPr>
      </w:pPr>
      <w:r>
        <w:rPr>
          <w:rFonts w:hint="eastAsia" w:asciiTheme="minorEastAsia" w:hAnsiTheme="minorEastAsia" w:eastAsiaTheme="minorEastAsia" w:cstheme="minorEastAsia"/>
          <w:b w:val="0"/>
          <w:bCs/>
          <w:color w:val="000000"/>
          <w:kern w:val="0"/>
          <w:szCs w:val="21"/>
        </w:rPr>
        <w:t>严格执行《中华人民共和国食品安全法》、《餐饮服务食品安全操作规范》及国家、行业相关最新法律法规规定，确保餐食制作的安全及卫生。供应商违反相关法律、法规规定，将依法承担行政责任或刑事责任，给采购人造成损失的，还应当依法予以赔偿。供应商提供的厨师要严把菜肴的质量关，对不合格的食材一律拒绝签收和使用。验收合格后，双方应在清单上签字确认，入库后菜品质量和库管工作由供应商负责。具体的服务作业标准如下表：</w:t>
      </w:r>
    </w:p>
    <w:tbl>
      <w:tblPr>
        <w:tblStyle w:val="2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07"/>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区域</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内容</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服务作业标准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仪</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卫</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厨师仪容</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按规定着装，工作服干净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食品加工员仪容</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按规定着装，佩带工作牌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个人卫生</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厨师、食品加工员洗手后才能上岗操作、上班期间</w:t>
            </w:r>
            <w:r>
              <w:rPr>
                <w:rFonts w:hint="eastAsia" w:asciiTheme="minorEastAsia" w:hAnsiTheme="minorEastAsia" w:eastAsiaTheme="minorEastAsia" w:cstheme="minorEastAsia"/>
                <w:color w:val="000000"/>
                <w:kern w:val="0"/>
                <w:sz w:val="21"/>
                <w:szCs w:val="21"/>
                <w:highlight w:val="none"/>
              </w:rPr>
              <w:t>不化妆</w:t>
            </w:r>
            <w:r>
              <w:rPr>
                <w:rFonts w:hint="eastAsia" w:asciiTheme="minorEastAsia" w:hAnsiTheme="minorEastAsia" w:eastAsiaTheme="minorEastAsia" w:cstheme="minorEastAsia"/>
                <w:color w:val="000000"/>
                <w:kern w:val="0"/>
                <w:sz w:val="21"/>
                <w:szCs w:val="21"/>
              </w:rPr>
              <w:t>、不佩带首饰、个人卫生符合相关要求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菜墩、砧板</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干净、无污、无油、无霉迹、不得落地存放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刀具</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光亮、无锈、无油、无污物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漏水槽</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无杂物、无油垢、水流畅通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水池</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无油迹、异味，下水管通畅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不锈钢桌子</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桌面光亮，用手摸各部位不粘手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不锈钢柜子</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柜内无杂物，无私人物品，干净、整洁、外部光亮、干爽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不锈钢货架</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干净整洁、外部光亮、无尘、无油腻、干爽，货物分类摆放整齐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消毒灯</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无尘土，定时开关并有记录，紫外线灯管能有效使用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货车</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车面光亮、无油腻、污迹，车轮无油腻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肉类加工</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洗、刮直接加工猪肉类、禽肉类；用水冲洗直接加工解冻保鲜肉禽类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鱼肉类加工</w:t>
            </w:r>
          </w:p>
        </w:tc>
        <w:tc>
          <w:tcPr>
            <w:tcW w:w="4923"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用水清洗河、海鲜肉类</w:t>
            </w:r>
          </w:p>
        </w:tc>
      </w:tr>
    </w:tbl>
    <w:p>
      <w:pPr>
        <w:pStyle w:val="10"/>
        <w:keepNext w:val="0"/>
        <w:keepLines w:val="0"/>
        <w:pageBreakBefore w:val="0"/>
        <w:numPr>
          <w:ilvl w:val="0"/>
          <w:numId w:val="6"/>
        </w:numPr>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派驻服务团队人员要求：</w:t>
      </w:r>
    </w:p>
    <w:p>
      <w:pPr>
        <w:pStyle w:val="12"/>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1"/>
        <w:rPr>
          <w:rFonts w:asciiTheme="minorEastAsia" w:hAnsiTheme="minorEastAsia" w:eastAsiaTheme="minorEastAsia" w:cstheme="minorEastAsia"/>
          <w:b w:val="0"/>
          <w:bCs/>
          <w:szCs w:val="21"/>
        </w:rPr>
      </w:pPr>
      <w:bookmarkStart w:id="150" w:name="_Toc19068"/>
      <w:bookmarkStart w:id="151" w:name="_Toc17577"/>
      <w:bookmarkStart w:id="152" w:name="_Toc21695"/>
      <w:r>
        <w:rPr>
          <w:rFonts w:hint="eastAsia" w:asciiTheme="minorEastAsia" w:hAnsiTheme="minorEastAsia" w:eastAsiaTheme="minorEastAsia" w:cstheme="minorEastAsia"/>
          <w:b w:val="0"/>
          <w:bCs/>
          <w:szCs w:val="21"/>
        </w:rPr>
        <w:t>1、岗位配置及数量：</w:t>
      </w:r>
      <w:bookmarkEnd w:id="150"/>
      <w:bookmarkEnd w:id="151"/>
      <w:bookmarkEnd w:id="152"/>
    </w:p>
    <w:p>
      <w:pPr>
        <w:pStyle w:val="12"/>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供应商应派驻符合条件的工作人员35人到采购人指定的工作场所开展工作（服务的时间、时段、具体人数根据采购人实际情况安排），具体的岗位配置及数量如下表：</w:t>
      </w:r>
    </w:p>
    <w:tbl>
      <w:tblPr>
        <w:tblStyle w:val="22"/>
        <w:tblW w:w="883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1353"/>
        <w:gridCol w:w="2432"/>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838" w:type="dxa"/>
            <w:gridSpan w:val="4"/>
            <w:shd w:val="clear" w:color="auto" w:fill="auto"/>
            <w:vAlign w:val="center"/>
          </w:tcPr>
          <w:p>
            <w:pPr>
              <w:widowControl/>
              <w:spacing w:line="400" w:lineRule="exact"/>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服务团队人员岗位配置及数量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74" w:type="dxa"/>
            <w:shd w:val="clear" w:color="auto" w:fill="auto"/>
            <w:vAlign w:val="center"/>
          </w:tcPr>
          <w:p>
            <w:pPr>
              <w:widowControl/>
              <w:spacing w:line="400" w:lineRule="exact"/>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部门</w:t>
            </w:r>
          </w:p>
        </w:tc>
        <w:tc>
          <w:tcPr>
            <w:tcW w:w="1353" w:type="dxa"/>
            <w:shd w:val="clear" w:color="auto" w:fill="auto"/>
            <w:vAlign w:val="center"/>
          </w:tcPr>
          <w:p>
            <w:pPr>
              <w:widowControl/>
              <w:spacing w:line="400" w:lineRule="exact"/>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序号</w:t>
            </w:r>
          </w:p>
        </w:tc>
        <w:tc>
          <w:tcPr>
            <w:tcW w:w="2432" w:type="dxa"/>
            <w:shd w:val="clear" w:color="auto" w:fill="auto"/>
            <w:vAlign w:val="center"/>
          </w:tcPr>
          <w:p>
            <w:pPr>
              <w:widowControl/>
              <w:spacing w:line="400" w:lineRule="exact"/>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岗位</w:t>
            </w:r>
          </w:p>
        </w:tc>
        <w:tc>
          <w:tcPr>
            <w:tcW w:w="2379" w:type="dxa"/>
            <w:shd w:val="clear" w:color="auto" w:fill="auto"/>
            <w:vAlign w:val="center"/>
          </w:tcPr>
          <w:p>
            <w:pPr>
              <w:widowControl/>
              <w:spacing w:line="400" w:lineRule="exact"/>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食堂</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总厨（红案厨师）</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restart"/>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中厨（红案厨师）</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二厨</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三厨</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4</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熟食（烧卤厨师）</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5</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切配</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6</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上杂</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7</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厨工</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restart"/>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早餐（白案厨师）</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8</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点心主管</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9</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点心三厨</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点心大师傅</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restart"/>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前台服务</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11</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lang w:eastAsia="zh-CN"/>
              </w:rPr>
              <w:t>楼面</w:t>
            </w:r>
            <w:r>
              <w:rPr>
                <w:rFonts w:hint="eastAsia" w:asciiTheme="minorEastAsia" w:hAnsiTheme="minorEastAsia" w:eastAsiaTheme="minorEastAsia" w:cstheme="minorEastAsia"/>
                <w:color w:val="000000"/>
                <w:kern w:val="0"/>
                <w:szCs w:val="21"/>
                <w:highlight w:val="none"/>
              </w:rPr>
              <w:t>经理</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12</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管理员</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13</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核算员</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14</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服务员</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vMerge w:val="continue"/>
            <w:shd w:val="clear" w:color="auto" w:fill="auto"/>
            <w:vAlign w:val="center"/>
          </w:tcPr>
          <w:p>
            <w:pPr>
              <w:jc w:val="center"/>
              <w:rPr>
                <w:rFonts w:asciiTheme="minorEastAsia" w:hAnsiTheme="minorEastAsia" w:eastAsiaTheme="minorEastAsia" w:cstheme="minorEastAsia"/>
                <w:color w:val="000000"/>
                <w:szCs w:val="21"/>
                <w:highlight w:val="none"/>
              </w:rPr>
            </w:pP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15</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清洗员</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第三稽查局</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16</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厨师（兼服务员）（红案厨师）</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4"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民族大道89号金禄大厦</w:t>
            </w:r>
          </w:p>
        </w:tc>
        <w:tc>
          <w:tcPr>
            <w:tcW w:w="1353"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17</w:t>
            </w:r>
          </w:p>
        </w:tc>
        <w:tc>
          <w:tcPr>
            <w:tcW w:w="2432"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厨师（兼服务员）（红案厨师）</w:t>
            </w:r>
          </w:p>
        </w:tc>
        <w:tc>
          <w:tcPr>
            <w:tcW w:w="2379" w:type="dxa"/>
            <w:shd w:val="clear" w:color="auto" w:fill="auto"/>
            <w:vAlign w:val="center"/>
          </w:tcPr>
          <w:p>
            <w:pPr>
              <w:widowControl/>
              <w:jc w:val="center"/>
              <w:textAlignment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kern w:val="0"/>
                <w:szCs w:val="21"/>
                <w:highlight w:val="none"/>
              </w:rPr>
              <w:t>1</w:t>
            </w:r>
          </w:p>
        </w:tc>
      </w:tr>
    </w:tbl>
    <w:p>
      <w:pPr>
        <w:pStyle w:val="12"/>
        <w:pageBreakBefore w:val="0"/>
        <w:kinsoku/>
        <w:wordWrap/>
        <w:overflowPunct/>
        <w:topLinePunct w:val="0"/>
        <w:autoSpaceDE/>
        <w:autoSpaceDN/>
        <w:bidi w:val="0"/>
        <w:adjustRightInd/>
        <w:snapToGrid/>
        <w:spacing w:line="440" w:lineRule="exact"/>
        <w:ind w:left="0" w:leftChars="0" w:firstLine="420" w:firstLineChars="200"/>
        <w:textAlignment w:val="auto"/>
        <w:outlineLvl w:val="1"/>
        <w:rPr>
          <w:rFonts w:hint="eastAsia" w:asciiTheme="minorEastAsia" w:hAnsiTheme="minorEastAsia" w:eastAsiaTheme="minorEastAsia" w:cstheme="minorEastAsia"/>
          <w:b w:val="0"/>
          <w:bCs/>
          <w:color w:val="000000"/>
          <w:kern w:val="0"/>
          <w:szCs w:val="21"/>
        </w:rPr>
      </w:pPr>
      <w:bookmarkStart w:id="153" w:name="_Toc8810"/>
      <w:bookmarkStart w:id="154" w:name="_Toc12490"/>
      <w:bookmarkStart w:id="155" w:name="_Toc5533"/>
      <w:r>
        <w:rPr>
          <w:rFonts w:hint="eastAsia" w:asciiTheme="minorEastAsia" w:hAnsiTheme="minorEastAsia" w:eastAsiaTheme="minorEastAsia" w:cstheme="minorEastAsia"/>
          <w:b w:val="0"/>
          <w:bCs/>
          <w:color w:val="000000"/>
          <w:kern w:val="0"/>
          <w:szCs w:val="21"/>
        </w:rPr>
        <w:t>2、团队人员要求：</w:t>
      </w:r>
      <w:bookmarkEnd w:id="153"/>
      <w:bookmarkEnd w:id="154"/>
      <w:bookmarkEnd w:id="155"/>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拟投入服务人员具备符合本岗位工作能力、年龄适宜。</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 xml:space="preserve">（1）驻场楼面经理1人：拟投入的楼面经理熟悉工作流程，具有统筹管理能力、沟通协调能力，具有机关企事业单位职工饭堂3年管理工作经验。 </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color w:val="000000"/>
          <w:kern w:val="0"/>
          <w:szCs w:val="21"/>
          <w:highlight w:val="none"/>
        </w:rPr>
        <w:t>（2）管理员2人：</w:t>
      </w:r>
      <w:r>
        <w:rPr>
          <w:rFonts w:hint="eastAsia" w:asciiTheme="minorEastAsia" w:hAnsiTheme="minorEastAsia" w:eastAsiaTheme="minorEastAsia" w:cstheme="minorEastAsia"/>
          <w:b w:val="0"/>
          <w:bCs/>
          <w:highlight w:val="none"/>
        </w:rPr>
        <w:t>拟投入的管理员具备相应学习及管理能力，熟悉经营管理制度，具有机关企事业单位职工饭堂1年管理工作经验。</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rPr>
      </w:pPr>
      <w:r>
        <w:rPr>
          <w:rFonts w:hint="eastAsia" w:asciiTheme="minorEastAsia" w:hAnsiTheme="minorEastAsia" w:eastAsiaTheme="minorEastAsia" w:cstheme="minorEastAsia"/>
          <w:b w:val="0"/>
          <w:bCs/>
          <w:color w:val="000000"/>
          <w:kern w:val="0"/>
          <w:szCs w:val="21"/>
        </w:rPr>
        <w:t>（3）核算员1人：拟投入的核算员应该具备会计工作所需要的专业能力和1年类似核算工作经验。</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4）厨师18人：①白案厨师3人，拟投入的白案厨师熟悉食品安全相关细则，熟练制作各种中、西式面点，具有机关企事业单位职工饭堂3年面点工作经验。②红案厨师15人，拟投入的红案厨师熟悉食品安全相关细则，熟悉各岗位对应的本岗位工作，具有机关企事业单位职工饭堂3年相关工作经验。其中总厨熟练制作各式菜肴、菜品设计，能配合采购人做好食堂成本控制，避免铺张浪费。</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（5）餐厅服务员10人：接受过餐饮服务的专业培训，能按工作流程完成公共场所的保洁、餐厅分餐服务、收集整理餐厅相关数据。</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 xml:space="preserve">（6）餐厅清洗员3人：知晓各种餐具的洗涤和消毒方法、蔬菜的初加工。 </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（7）满足民族大道89号金禄大厦4楼职工食堂早、中餐配送需求。</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（8）当遇到公务接待任务时，现有服务人员数量不能满足工作需求时，供应商应从其他地方抽调人员，确保圆满完成接待任务。被抽调服务人员劳务费由供应商自行负担。</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none"/>
        </w:rPr>
      </w:pPr>
      <w:r>
        <w:rPr>
          <w:rFonts w:hint="eastAsia" w:asciiTheme="minorEastAsia" w:hAnsiTheme="minorEastAsia" w:eastAsiaTheme="minorEastAsia" w:cstheme="minorEastAsia"/>
          <w:b w:val="0"/>
          <w:bCs/>
          <w:color w:val="000000"/>
          <w:kern w:val="0"/>
          <w:szCs w:val="21"/>
          <w:highlight w:val="none"/>
        </w:rPr>
        <w:t>（9）供应商负责服务人员的劳保用品供给。</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cstheme="minorEastAsia"/>
          <w:b w:val="0"/>
          <w:bCs/>
          <w:color w:val="000000"/>
          <w:kern w:val="0"/>
          <w:szCs w:val="21"/>
          <w:highlight w:val="yellow"/>
        </w:rPr>
      </w:pPr>
      <w:r>
        <w:rPr>
          <w:rFonts w:hint="eastAsia" w:asciiTheme="minorEastAsia" w:hAnsiTheme="minorEastAsia" w:eastAsiaTheme="minorEastAsia" w:cstheme="minorEastAsia"/>
          <w:b w:val="0"/>
          <w:bCs/>
          <w:color w:val="000000"/>
          <w:szCs w:val="21"/>
          <w:highlight w:val="none"/>
        </w:rPr>
        <w:t>★（10）</w:t>
      </w:r>
      <w:r>
        <w:rPr>
          <w:rFonts w:hint="eastAsia" w:asciiTheme="minorEastAsia" w:hAnsiTheme="minorEastAsia" w:eastAsiaTheme="minorEastAsia" w:cstheme="minorEastAsia"/>
          <w:b w:val="0"/>
          <w:bCs/>
          <w:color w:val="000000"/>
          <w:kern w:val="0"/>
          <w:szCs w:val="21"/>
          <w:highlight w:val="none"/>
        </w:rPr>
        <w:t>在服务期间，供应商配置的所有服务人员应规范操作，</w:t>
      </w:r>
      <w:r>
        <w:rPr>
          <w:rFonts w:hint="eastAsia" w:asciiTheme="minorEastAsia" w:hAnsiTheme="minorEastAsia" w:eastAsiaTheme="minorEastAsia" w:cstheme="minorEastAsia"/>
          <w:b w:val="0"/>
          <w:bCs/>
          <w:highlight w:val="none"/>
          <w:lang w:eastAsia="zh-CN"/>
        </w:rPr>
        <w:t>投入</w:t>
      </w:r>
      <w:r>
        <w:rPr>
          <w:rFonts w:hint="eastAsia" w:asciiTheme="minorEastAsia" w:hAnsiTheme="minorEastAsia" w:eastAsiaTheme="minorEastAsia" w:cstheme="minorEastAsia"/>
          <w:b w:val="0"/>
          <w:bCs/>
          <w:color w:val="000000"/>
          <w:kern w:val="0"/>
          <w:szCs w:val="21"/>
          <w:highlight w:val="none"/>
        </w:rPr>
        <w:t>的</w:t>
      </w:r>
      <w:r>
        <w:rPr>
          <w:rFonts w:hint="eastAsia" w:asciiTheme="minorEastAsia" w:hAnsiTheme="minorEastAsia" w:eastAsiaTheme="minorEastAsia" w:cstheme="minorEastAsia"/>
          <w:b w:val="0"/>
          <w:bCs/>
          <w:color w:val="000000"/>
          <w:kern w:val="0"/>
          <w:szCs w:val="21"/>
          <w:highlight w:val="none"/>
          <w:lang w:val="zh-CN"/>
        </w:rPr>
        <w:t>全体员工必须持健康证上岗，必要时接受临时检查；无痢疾、伤寒、活动性肺结核、化脓性皮肤病等疾病，无传染疾病。健康证由</w:t>
      </w:r>
      <w:r>
        <w:rPr>
          <w:rFonts w:hint="eastAsia" w:asciiTheme="minorEastAsia" w:hAnsiTheme="minorEastAsia" w:eastAsiaTheme="minorEastAsia" w:cstheme="minorEastAsia"/>
          <w:b w:val="0"/>
          <w:bCs/>
          <w:color w:val="000000"/>
          <w:kern w:val="0"/>
          <w:szCs w:val="21"/>
          <w:highlight w:val="none"/>
        </w:rPr>
        <w:t>供应商</w:t>
      </w:r>
      <w:r>
        <w:rPr>
          <w:rFonts w:hint="eastAsia" w:asciiTheme="minorEastAsia" w:hAnsiTheme="minorEastAsia" w:eastAsiaTheme="minorEastAsia" w:cstheme="minorEastAsia"/>
          <w:b w:val="0"/>
          <w:bCs/>
          <w:color w:val="000000"/>
          <w:kern w:val="0"/>
          <w:szCs w:val="21"/>
          <w:highlight w:val="none"/>
          <w:lang w:val="zh-CN"/>
        </w:rPr>
        <w:t>自行安排员工在正规卫生监督部门体检并领取健康证明，相应费用由供应商自行承担。在合同签订后30日内向</w:t>
      </w:r>
      <w:r>
        <w:rPr>
          <w:rFonts w:hint="eastAsia" w:asciiTheme="minorEastAsia" w:hAnsiTheme="minorEastAsia" w:eastAsiaTheme="minorEastAsia" w:cstheme="minorEastAsia"/>
          <w:b w:val="0"/>
          <w:bCs/>
          <w:color w:val="000000"/>
          <w:kern w:val="0"/>
          <w:szCs w:val="21"/>
          <w:highlight w:val="none"/>
        </w:rPr>
        <w:t>采购人</w:t>
      </w:r>
      <w:r>
        <w:rPr>
          <w:rFonts w:hint="eastAsia" w:asciiTheme="minorEastAsia" w:hAnsiTheme="minorEastAsia" w:eastAsiaTheme="minorEastAsia" w:cstheme="minorEastAsia"/>
          <w:b w:val="0"/>
          <w:bCs/>
          <w:color w:val="000000"/>
          <w:kern w:val="0"/>
          <w:szCs w:val="21"/>
          <w:highlight w:val="none"/>
          <w:lang w:val="zh-CN"/>
        </w:rPr>
        <w:t>提交所有从业人员的健康证；如有员工发生变化，</w:t>
      </w:r>
      <w:r>
        <w:rPr>
          <w:rFonts w:hint="eastAsia" w:asciiTheme="minorEastAsia" w:hAnsiTheme="minorEastAsia" w:eastAsiaTheme="minorEastAsia" w:cstheme="minorEastAsia"/>
          <w:b w:val="0"/>
          <w:bCs/>
          <w:color w:val="000000"/>
          <w:kern w:val="0"/>
          <w:szCs w:val="21"/>
          <w:highlight w:val="none"/>
        </w:rPr>
        <w:t>供应商</w:t>
      </w:r>
      <w:r>
        <w:rPr>
          <w:rFonts w:hint="eastAsia" w:asciiTheme="minorEastAsia" w:hAnsiTheme="minorEastAsia" w:eastAsiaTheme="minorEastAsia" w:cstheme="minorEastAsia"/>
          <w:b w:val="0"/>
          <w:bCs/>
          <w:color w:val="000000"/>
          <w:kern w:val="0"/>
          <w:szCs w:val="21"/>
          <w:highlight w:val="none"/>
          <w:lang w:val="zh-CN"/>
        </w:rPr>
        <w:t>应及时向采购人提交新员工</w:t>
      </w:r>
      <w:r>
        <w:rPr>
          <w:rFonts w:hint="eastAsia" w:asciiTheme="minorEastAsia" w:hAnsiTheme="minorEastAsia" w:eastAsiaTheme="minorEastAsia" w:cstheme="minorEastAsia"/>
          <w:b w:val="0"/>
          <w:bCs/>
          <w:color w:val="000000"/>
          <w:kern w:val="0"/>
          <w:szCs w:val="21"/>
          <w:lang w:val="zh-CN"/>
        </w:rPr>
        <w:t>的健康证。合同期内人员健康证必须保持有效。</w:t>
      </w:r>
    </w:p>
    <w:p>
      <w:pPr>
        <w:pStyle w:val="10"/>
        <w:pageBreakBefore w:val="0"/>
        <w:numPr>
          <w:ilvl w:val="0"/>
          <w:numId w:val="6"/>
        </w:numPr>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就餐管理：</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1、根据采购人意见和用餐人员意见，及时对出品、服务作出调整和改善，为采购人和用餐人员出品干净卫生、数量充足、口味俱佳的餐品。接到采购人通知后，供应商应积极响应并做好安排。</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2、负责协助采购人对采购的食材进行包括质量、新鲜度事项的检查验收，保证所有制作的菜品均采用新鲜食材，并做好库存记录。</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3、监督职工刷卡就餐，协调职工就餐秩序，保障文明就餐。</w:t>
      </w:r>
    </w:p>
    <w:p>
      <w:pPr>
        <w:pageBreakBefore w:val="0"/>
        <w:kinsoku/>
        <w:wordWrap/>
        <w:overflowPunct/>
        <w:topLinePunct w:val="0"/>
        <w:autoSpaceDE/>
        <w:autoSpaceDN/>
        <w:bidi w:val="0"/>
        <w:adjustRightInd/>
        <w:snapToGrid/>
        <w:spacing w:line="440" w:lineRule="exact"/>
        <w:ind w:left="0" w:leftChars="0" w:firstLine="411" w:firstLineChars="196"/>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（七）服务人员基本要求：</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1、服务人员有发热、腹泻、皮肤伤口或感染、咽部炎症等有碍食品卫生病症的，应立即脱离工作岗位，待查明原因、排除有碍食品卫生的病症或治愈后，方可重新上岗。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2、对新参加工作及临时参加工作的服务人员进行卫生知识培训，培训合格后方能上岗；在职服务人员应进行卫生培训，培训情况应记录。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3、应保持良好个人卫生，操作时应穿戴清洁的工作服、工作帽(专间操作服务人员还需戴口罩)，头发不得外露，不得留长指甲，涂指甲油，佩带饰物。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4、操作时手部应保持清洁，操作前手部应洗净。接触直接入口食品时，手部应进行消毒。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5、服务人员在操作时有下列情形应洗手：①开始工作前。②处理食物前。 ③上厕所后。④处理生食物后。⑤处理弄污的设备或饮食用具后。⑥咳嗽、打喷嚏、或擤鼻子后。⑦处理动物或废物后。⑧触摸耳朵、鼻子、头发、口腔或身体其他部位后。⑨从事任何可能会污染双手的活动后。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6、服务人员进入食堂时，应更换食堂内专用工作衣帽并佩戴口罩，操作前双手严格进行清洗消毒，操作中应适时地消毒双手。不得穿戴工作衣帽从事与操作无关的工作。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7、个人衣物及私人物品不得带入食堂。  　　</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8、食堂内不得有抽烟、饮食及其它可能污染食品的行为。</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9、进入食堂的非加工操作人员，应符合现场操作人员卫生要求。</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（八）</w:t>
      </w:r>
      <w:r>
        <w:rPr>
          <w:rFonts w:hint="eastAsia" w:asciiTheme="minorEastAsia" w:hAnsiTheme="minorEastAsia" w:eastAsiaTheme="minorEastAsia" w:cstheme="minorEastAsia"/>
          <w:sz w:val="21"/>
          <w:szCs w:val="21"/>
        </w:rPr>
        <w:t>服务人员管理要求：</w:t>
      </w:r>
    </w:p>
    <w:p>
      <w:pPr>
        <w:pStyle w:val="1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供应商所提供的服务人员需通过相关培训，面向采购人提供规范、高效、高质的各</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项服务。</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2、供应商应明确服务人员准入基本要求，通过严格的标准优质快速地建设服务项目团队，适当保</w:t>
      </w:r>
      <w:r>
        <w:rPr>
          <w:rFonts w:hint="eastAsia" w:asciiTheme="minorEastAsia" w:hAnsiTheme="minorEastAsia" w:eastAsiaTheme="minorEastAsia" w:cstheme="minorEastAsia"/>
          <w:sz w:val="21"/>
          <w:szCs w:val="21"/>
          <w:highlight w:val="none"/>
        </w:rPr>
        <w:t>有人员储备，在有服务人员离职、公务接待任务时能及时补足对应岗位人数，确保按时按质完成服务工作。</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3、供应商应设计合理的管理体系，充分调动职工积极性，保证队伍稳定性。</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4、供应商负责购买工作装，工作时间服务团队需统一着装上岗，做到衣冠整洁，干净卫生。</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5、供应商要对服务人员的思想道德、业务素质、安全健康等进行严格管理，规范服务操作程序。</w:t>
      </w:r>
    </w:p>
    <w:p>
      <w:pPr>
        <w:pStyle w:val="2"/>
        <w:pageBreakBefore w:val="0"/>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6、供应商不得随意解聘调动现用的服务团队人员，必须经过采购人同意后方能更换。</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（九）</w:t>
      </w:r>
      <w:r>
        <w:rPr>
          <w:rFonts w:hint="eastAsia" w:asciiTheme="minorEastAsia" w:hAnsiTheme="minorEastAsia" w:eastAsiaTheme="minorEastAsia" w:cstheme="minorEastAsia"/>
          <w:sz w:val="21"/>
          <w:szCs w:val="21"/>
        </w:rPr>
        <w:t>服务人员培训要求：</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为保障派驻人员具备本岗位所必须的专业服务水平及服务意识，供应商应具有完善的各项培训制度，为派驻人员提供专业学习和能力提升培训，能为采购人提供服务保证。</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岗前培训。供应商应根据需要和结合人员缺口的实际情况，组织相应人员开展岗前培训并形成一定规模的人员储备队伍，使员工理解相关管理制度和工作要求，基本掌握岗位操作的标准和各项规程，尽快熟悉工作环境，适应工作岗位。</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2、岗位技能培训：增进员工对岗位职能、业务素养要求的理解和认识，掌握工作技能和技巧，提高工作绩效，保证服务标准和质量。</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（十）</w:t>
      </w:r>
      <w:r>
        <w:rPr>
          <w:rFonts w:hint="eastAsia" w:asciiTheme="minorEastAsia" w:hAnsiTheme="minorEastAsia" w:eastAsiaTheme="minorEastAsia" w:cstheme="minorEastAsia"/>
          <w:sz w:val="21"/>
          <w:szCs w:val="21"/>
        </w:rPr>
        <w:t>安全要求：</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rPr>
        <w:t>★</w:t>
      </w:r>
      <w:r>
        <w:rPr>
          <w:rFonts w:hint="eastAsia" w:asciiTheme="minorEastAsia" w:hAnsiTheme="minorEastAsia" w:eastAsiaTheme="minorEastAsia" w:cstheme="minorEastAsia"/>
          <w:sz w:val="21"/>
          <w:szCs w:val="21"/>
          <w:highlight w:val="none"/>
        </w:rPr>
        <w:t>1、供应商按国家餐饮行业的有关规定，严格按照《中华人民共和国食品安全法》、《餐饮行业管理规范》的标准进行管理。</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2、严格遵照相关食品安全和其他相关法律法规等要求规范操作，杜绝食品安全事故；严禁违规使用燃料，确保安全用电，杜绝火灾事故；积极做好食堂日常卫生保洁工作，有效的做好防“四害”工作，确保食堂环境卫生。因供应商管理不善造成人员食物中毒或火灾等安全事故，受到市场管理部门</w:t>
      </w:r>
      <w:r>
        <w:rPr>
          <w:rFonts w:hint="eastAsia" w:asciiTheme="minorEastAsia" w:hAnsiTheme="minorEastAsia" w:eastAsiaTheme="minorEastAsia" w:cstheme="minorEastAsia"/>
          <w:sz w:val="21"/>
          <w:szCs w:val="21"/>
        </w:rPr>
        <w:t>或卫生防疫等部门处罚及其法律处罚的，由供应商承担一切责任。</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服务期间，供应商所派人员产生的所有安全责任由供应商自行承担；服务期间，因供应商失职或其他原因导致第三方损失由供应商承担，供应商配备的服务人员在服务地点出现非采购人原因导致的因工受伤、自身的人身伤害、伤亡，均由供应商负责处理，采购人不承担任何责任。</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★（十一）风险责任承诺：</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outlineLvl w:val="1"/>
        <w:rPr>
          <w:rFonts w:hint="eastAsia" w:asciiTheme="minorEastAsia" w:hAnsiTheme="minorEastAsia" w:eastAsiaTheme="minorEastAsia" w:cstheme="minorEastAsia"/>
          <w:sz w:val="21"/>
          <w:szCs w:val="21"/>
        </w:rPr>
      </w:pPr>
      <w:bookmarkStart w:id="156" w:name="_Toc13988"/>
      <w:bookmarkStart w:id="157" w:name="_Toc12"/>
      <w:bookmarkStart w:id="158" w:name="_Toc24953"/>
      <w:r>
        <w:rPr>
          <w:rFonts w:hint="eastAsia" w:asciiTheme="minorEastAsia" w:hAnsiTheme="minorEastAsia" w:eastAsiaTheme="minorEastAsia" w:cstheme="minorEastAsia"/>
          <w:sz w:val="21"/>
          <w:szCs w:val="21"/>
        </w:rPr>
        <w:t>1、供应商需承担全部的安全、卫生、质量、效益、风险等责任。</w:t>
      </w:r>
      <w:bookmarkEnd w:id="156"/>
      <w:bookmarkEnd w:id="157"/>
      <w:bookmarkEnd w:id="158"/>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2、供应商在服务合同期内与外界发生的一切债权、债务等纠纷均与采购人无关。</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3、除不可抗力因素外，供应商不得以任何理由不按时或不充足提供采购人采购的</w:t>
      </w:r>
      <w:r>
        <w:rPr>
          <w:rFonts w:hint="eastAsia" w:asciiTheme="minorEastAsia" w:hAnsiTheme="minorEastAsia" w:eastAsiaTheme="minorEastAsia" w:cstheme="minorEastAsia"/>
          <w:color w:val="000000" w:themeColor="text1"/>
          <w:sz w:val="21"/>
          <w:szCs w:val="21"/>
          <w:highlight w:val="none"/>
        </w:rPr>
        <w:t>食堂</w:t>
      </w:r>
      <w:r>
        <w:rPr>
          <w:rFonts w:hint="eastAsia" w:asciiTheme="minorEastAsia" w:hAnsiTheme="minorEastAsia" w:eastAsiaTheme="minorEastAsia" w:cstheme="minorEastAsia"/>
          <w:sz w:val="21"/>
          <w:szCs w:val="21"/>
        </w:rPr>
        <w:t>外包服务，否则视为违反合同。</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（十二）其他要求</w:t>
      </w:r>
      <w:r>
        <w:rPr>
          <w:rFonts w:hint="eastAsia" w:asciiTheme="minorEastAsia" w:hAnsiTheme="minorEastAsia" w:eastAsiaTheme="minorEastAsia" w:cstheme="minorEastAsia"/>
          <w:sz w:val="21"/>
          <w:szCs w:val="21"/>
        </w:rPr>
        <w:t>：</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1、投标文件中须提供服务方案、服务质量承诺、拟投入项目技术力量一览表等。</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、采购人制定明确《机关食堂管理考核细则》，供应商的投标文件必须就考核细则做出接受的承诺，否则投标无效。</w:t>
      </w:r>
    </w:p>
    <w:p>
      <w:pPr>
        <w:pStyle w:val="10"/>
        <w:pageBreakBefore w:val="0"/>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、供应商在合同期间应遵守采购人相关管理制度、规定，并遵守国家相关法律法规，合法经营，如有员工违法行为按相关规定处理，采购人不负任何责任。</w:t>
      </w:r>
    </w:p>
    <w:p>
      <w:pPr>
        <w:pStyle w:val="10"/>
        <w:pageBreakBefore w:val="0"/>
        <w:numPr>
          <w:ilvl w:val="0"/>
          <w:numId w:val="7"/>
        </w:numPr>
        <w:kinsoku/>
        <w:wordWrap/>
        <w:overflowPunct/>
        <w:topLinePunct w:val="0"/>
        <w:autoSpaceDE/>
        <w:autoSpaceDN/>
        <w:bidi w:val="0"/>
        <w:adjustRightInd/>
        <w:snapToGrid/>
        <w:spacing w:before="0" w:beforeAutospacing="0" w:after="0" w:afterAutospacing="0" w:line="4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供应</w:t>
      </w:r>
      <w:r>
        <w:rPr>
          <w:rFonts w:hint="eastAsia" w:asciiTheme="minorEastAsia" w:hAnsiTheme="minorEastAsia" w:eastAsiaTheme="minorEastAsia" w:cstheme="minorEastAsia"/>
          <w:sz w:val="21"/>
          <w:szCs w:val="21"/>
        </w:rPr>
        <w:t>商需建立生产、安全、卫生、人员管理、应急处置等食堂内部管理制度。</w:t>
      </w:r>
    </w:p>
    <w:tbl>
      <w:tblPr>
        <w:tblStyle w:val="22"/>
        <w:tblpPr w:leftFromText="180" w:rightFromText="180" w:vertAnchor="text" w:horzAnchor="page" w:tblpXSpec="center" w:tblpY="629"/>
        <w:tblOverlap w:val="never"/>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70"/>
        <w:gridCol w:w="4026"/>
        <w:gridCol w:w="8"/>
        <w:gridCol w:w="243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3" w:type="dxa"/>
            <w:gridSpan w:val="6"/>
            <w:tcBorders>
              <w:top w:val="nil"/>
              <w:left w:val="nil"/>
              <w:bottom w:val="single" w:color="auto" w:sz="4" w:space="0"/>
              <w:right w:val="nil"/>
            </w:tcBorders>
            <w:vAlign w:val="center"/>
          </w:tcPr>
          <w:p>
            <w:pPr>
              <w:widowControl/>
              <w:jc w:val="center"/>
              <w:rPr>
                <w:rFonts w:ascii="黑体" w:hAnsi="黑体" w:eastAsia="黑体" w:cs="宋体"/>
                <w:b/>
                <w:bCs/>
                <w:kern w:val="0"/>
                <w:szCs w:val="21"/>
              </w:rPr>
            </w:pPr>
            <w:r>
              <w:rPr>
                <w:rFonts w:hint="eastAsia" w:ascii="黑体" w:hAnsi="黑体" w:eastAsia="黑体" w:cs="宋体"/>
                <w:b/>
                <w:bCs/>
                <w:kern w:val="0"/>
                <w:sz w:val="28"/>
                <w:szCs w:val="21"/>
              </w:rPr>
              <w:t>机关食堂管理考核细则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3" w:type="dxa"/>
            <w:tcBorders>
              <w:top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770" w:type="dxa"/>
            <w:tcBorders>
              <w:top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项目</w:t>
            </w:r>
          </w:p>
        </w:tc>
        <w:tc>
          <w:tcPr>
            <w:tcW w:w="4034" w:type="dxa"/>
            <w:gridSpan w:val="2"/>
            <w:tcBorders>
              <w:top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考 核 内 容</w:t>
            </w:r>
          </w:p>
        </w:tc>
        <w:tc>
          <w:tcPr>
            <w:tcW w:w="2430" w:type="dxa"/>
            <w:tcBorders>
              <w:top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评分要求</w:t>
            </w:r>
          </w:p>
        </w:tc>
        <w:tc>
          <w:tcPr>
            <w:tcW w:w="766" w:type="dxa"/>
            <w:tcBorders>
              <w:top w:val="single" w:color="auto" w:sz="4" w:space="0"/>
            </w:tcBorders>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  作  纪  律</w:t>
            </w:r>
          </w:p>
        </w:tc>
        <w:tc>
          <w:tcPr>
            <w:tcW w:w="4034" w:type="dxa"/>
            <w:gridSpan w:val="2"/>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服从甲方领导和安排</w:t>
            </w:r>
          </w:p>
        </w:tc>
        <w:tc>
          <w:tcPr>
            <w:tcW w:w="2430" w:type="dxa"/>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不服从领导和安排的每人次扣5分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34" w:type="dxa"/>
            <w:gridSpan w:val="2"/>
            <w:vMerge w:val="restart"/>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按时上下班，人员配置要达到标准。</w:t>
            </w:r>
          </w:p>
        </w:tc>
        <w:tc>
          <w:tcPr>
            <w:tcW w:w="2430" w:type="dxa"/>
            <w:vMerge w:val="restart"/>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发现缺员，经理、主管和厨师每日每人次扣20分，其他人员每日每人次扣10分。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34" w:type="dxa"/>
            <w:gridSpan w:val="2"/>
            <w:vMerge w:val="continue"/>
          </w:tcPr>
          <w:p>
            <w:pPr>
              <w:widowControl/>
              <w:jc w:val="left"/>
              <w:rPr>
                <w:rFonts w:asciiTheme="minorEastAsia" w:hAnsiTheme="minorEastAsia" w:eastAsiaTheme="minorEastAsia" w:cstheme="minorEastAsia"/>
                <w:kern w:val="0"/>
                <w:szCs w:val="21"/>
              </w:rPr>
            </w:pPr>
          </w:p>
        </w:tc>
        <w:tc>
          <w:tcPr>
            <w:tcW w:w="2430" w:type="dxa"/>
            <w:vMerge w:val="continue"/>
          </w:tcPr>
          <w:p>
            <w:pPr>
              <w:widowControl/>
              <w:jc w:val="center"/>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34" w:type="dxa"/>
            <w:gridSpan w:val="2"/>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有重大接待任务现有人员无法满足工作需求时要及时加派人员。</w:t>
            </w:r>
          </w:p>
        </w:tc>
        <w:tc>
          <w:tcPr>
            <w:tcW w:w="2430" w:type="dxa"/>
            <w:vMerge w:val="restart"/>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有违反以上事项的，每项扣5分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34" w:type="dxa"/>
            <w:gridSpan w:val="2"/>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根据季节、原料和干部职工喜好确定每周食谱，经审定后实施，并作出菜单（谱）的成本核算。</w:t>
            </w:r>
          </w:p>
        </w:tc>
        <w:tc>
          <w:tcPr>
            <w:tcW w:w="2430" w:type="dxa"/>
            <w:vMerge w:val="continue"/>
          </w:tcPr>
          <w:p>
            <w:pPr>
              <w:widowControl/>
              <w:jc w:val="center"/>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根据每天就餐人数，拟定采购计划交甲方采购。</w:t>
            </w:r>
          </w:p>
        </w:tc>
        <w:tc>
          <w:tcPr>
            <w:tcW w:w="2438" w:type="dxa"/>
            <w:gridSpan w:val="2"/>
            <w:vMerge w:val="restart"/>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highlight w:val="none"/>
              </w:rPr>
              <w:t>有违反以上事项的，每项扣5分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公务接待用餐的标准、人数、开餐时间由甲方决定。</w:t>
            </w:r>
          </w:p>
        </w:tc>
        <w:tc>
          <w:tcPr>
            <w:tcW w:w="2438" w:type="dxa"/>
            <w:gridSpan w:val="2"/>
            <w:vMerge w:val="continue"/>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禁止当班喝酒和酒后上班</w:t>
            </w:r>
          </w:p>
        </w:tc>
        <w:tc>
          <w:tcPr>
            <w:tcW w:w="2438" w:type="dxa"/>
            <w:gridSpan w:val="2"/>
            <w:vMerge w:val="continue"/>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食堂工作一定要遵循节能减排，杜绝水电跑、冒、滴、漏等各种浪费行为。</w:t>
            </w:r>
          </w:p>
        </w:tc>
        <w:tc>
          <w:tcPr>
            <w:tcW w:w="2438" w:type="dxa"/>
            <w:gridSpan w:val="2"/>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发现有浪费行为的，每1人次扣5分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上班不许大声喧哗、嬉戏、打闹</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有违反以上事项的，每人扣1分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禁止偷拿、偷吃食堂的物品和食品</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有以上行为的，罚2倍价钱，扣10分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妥善保管和使用食堂固定资产和物资，出现人为损坏和丢失的</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除赔偿甲方损失外，扣5分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各岗位做好每月盘点工作</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不能按时交盘点表的每项扣2分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食堂食材要按规定存放，发现存放不当造成浪费</w:t>
            </w:r>
          </w:p>
        </w:tc>
        <w:tc>
          <w:tcPr>
            <w:tcW w:w="2438" w:type="dxa"/>
            <w:gridSpan w:val="2"/>
            <w:vAlign w:val="center"/>
          </w:tcPr>
          <w:p>
            <w:pPr>
              <w:widowControl/>
              <w:tabs>
                <w:tab w:val="right" w:pos="2098"/>
              </w:tabs>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发现有浪费行为的，每发现1次扣10分</w:t>
            </w:r>
          </w:p>
        </w:tc>
        <w:tc>
          <w:tcPr>
            <w:tcW w:w="766" w:type="dxa"/>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个  人  卫  生</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全体员工必须持健康证上岗，每年体验一次。</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发现没有健康证的，1人次扣5分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员工身体健康，无痢疾、伤寒、 活动性肺结核、化脓性皮肤病等疾病。</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有以上疾病仍上班的，1人次扣5分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上班穿戴工作服、帽，制作和销售直接入口的食品应戴口罩。</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未按要求做，每发现1人次扣1分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工作人员进入操作间要洗手消毒，不许留长指甲、涂指甲油、戴戒指。</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个人卫生要做到四勤：勤洗手、勤剪指甲、勤理发、勤换工作服帽</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  厅  卫  生</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墙壁无污渍、灰尘，门窗清晰明亮。</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天面（吊顶）无蜘蛛网、吊尘、霉斑</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地面洁净，无水、无油渍、无垃圾</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餐厅的桌椅设备，摆放整齐，干净无尘</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餐厅摆放的植物长势良好、叶面干净</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厨  房  公  共  卫  生</w:t>
            </w:r>
          </w:p>
        </w:tc>
        <w:tc>
          <w:tcPr>
            <w:tcW w:w="4026" w:type="dxa"/>
            <w:vAlign w:val="center"/>
          </w:tcPr>
          <w:p>
            <w:pPr>
              <w:widowControl/>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厨房禁止吸烟、乱丢垃圾。</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墙壁无食品残渣和污迹，门窗干净。</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天面（吊顶）无蜘蛛网、吊尘</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地面干净无水、无油垢、无垃圾，做到一市一清扫，每天一清洗。</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厨房设施、设备及物品，摆放整齐有序，清洁卫生</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冰箱（柜）实行分类使用，生熟分开，原料先进先用。冰箱每市一整、每日一清、每周一洗，保持整洁卫生。</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厨房用具（抹布、刀、砧板等）专人负责，生熟分开，有明显标志，严禁混合使用。</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食用油和调味品做到一市一清理，下班加盖，保持整洁卫生。</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收市后，食品和原材料要妥善处理，分类贮藏，摆放整齐。</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保持垃圾桶、潲水桶外观清洁、加盖，及时处理。</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排水道通畅，无淤泥，定期清洗。</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落实好防尘、防蝇、防鼠措施</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熟  食  间  卫  生</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熟食间使用前，开紫外线灯消毒20分钟</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熟食制作要实行按需定量，一市一烧、一配，隔夜熟食未经回锅不得出售。</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熟食间用具、餐具、盛器及洗手池、消毒水专配专用。</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熟食冰箱（柜）要专人管理，食品摆放合理整齐，半成品定期处理另作它用。</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糕  点  间  卫  生</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操作前做好台板、刀棍棒等用具的清洁、消毒，生熟分开，并有明显标志。</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成品必须放在专用的冰箱（柜）或食品贮存柜保存。</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保持烤箱、纸托、容器清洁，且上盖下垫，有防污染措施。</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物品、原料分类摆放，整齐清晰明了。</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每天晚上下班后开紫外线灯消毒。</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洗  碗  间  卫  生</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餐具清洗严格按一刮、二洗、三冲、四消毒、五保洁顺序操作。</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餐具消毒后，立即分类、摆放、保洁</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餐具回收、洗涤、保洁时要轻拿轻放，避免不必要的损坏，保持较低损坏率。</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每天晚上下班后开紫外线灯消毒。</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  共  安  全</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厨房重地，非工作人员不许入内。做好防盗、防毒、防火、防破坏。</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每位员工都知道水、电开关、阀门所在位置，并能正确操作。</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正确使用和维护各种设施设备，如发现有损坏（异常）应及时报修和做好必要的应急处理，不能带“病”运行。</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易燃、易爆物品应严格按规定摆放使用，并做好阀门关闭和贮藏。</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下班时，检查所有开关、阀门、冰柜、厨柜门和窗口是否关闭，大门锁好。</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食  品  安  全</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上岗前必须经过食品安全和卫生培训，严格落实《餐饮服务食品安全操作规范》。</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不新鲜或来路不明、变质、过期的原料，不收、不用、不煮、不卖。</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正确贮存、鉴别和使用食品原材料和半成品，隔夜熟食和半成品要彻底加热才能出售。</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严格按《食品添加剂使用卫生标准》购买、贮存、使用和记录食品添加剂。</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确保食品安全，杜绝食品中毒。</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发生食品中毒事件的，每次扣200分。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菜  肴  质  量</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初加工方法准确，原料干净、无杂质、无异味；不浪费，物尽其用。</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配菜要刀工精细、便于食用；配比合理；腌制适当；原料先进先用。</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打荷要器皿合适、围边讲究；原料熟透、试味准确、菜无异物</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未达标一项，扣5分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炒菜要火候适度均匀、调味恰当准确、勾芡厚薄适当，少用食品添加剂。</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烧卤制品要卫生安全、调味准确、刀工精细、装盘美观大方。</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菜肴传送要及时、安全、卫生。</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3"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77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  务  质  量</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制服清洁整齐，仪容仪表要符合要求。</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不按规定着装的每人次扣1分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服务态度要热情周到、耐心及时，不能互相推诿，怠慢干部职工。</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出现互相推诿，怠慢客人每人次扣2分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受过专业培训，知悉服务知识和掌握服务技能，能独立完成各种接待任务</w:t>
            </w:r>
          </w:p>
        </w:tc>
        <w:tc>
          <w:tcPr>
            <w:tcW w:w="2438" w:type="dxa"/>
            <w:gridSpan w:val="2"/>
            <w:vMerge w:val="restart"/>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未能按标准提供优质服务，出现失误的每次扣2分</w:t>
            </w: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33" w:type="dxa"/>
            <w:vMerge w:val="continue"/>
            <w:vAlign w:val="center"/>
          </w:tcPr>
          <w:p>
            <w:pPr>
              <w:widowControl/>
              <w:jc w:val="center"/>
              <w:rPr>
                <w:rFonts w:asciiTheme="minorEastAsia" w:hAnsiTheme="minorEastAsia" w:eastAsiaTheme="minorEastAsia" w:cstheme="minorEastAsia"/>
                <w:kern w:val="0"/>
                <w:szCs w:val="21"/>
              </w:rPr>
            </w:pPr>
          </w:p>
        </w:tc>
        <w:tc>
          <w:tcPr>
            <w:tcW w:w="770" w:type="dxa"/>
            <w:vMerge w:val="continue"/>
            <w:vAlign w:val="center"/>
          </w:tcPr>
          <w:p>
            <w:pPr>
              <w:widowControl/>
              <w:jc w:val="center"/>
              <w:rPr>
                <w:rFonts w:asciiTheme="minorEastAsia" w:hAnsiTheme="minorEastAsia" w:eastAsiaTheme="minorEastAsia" w:cstheme="minorEastAsia"/>
                <w:kern w:val="0"/>
                <w:szCs w:val="21"/>
              </w:rPr>
            </w:pP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根据服务程序和标准，做好餐厅不同岗位的接待服务工作。</w:t>
            </w:r>
          </w:p>
        </w:tc>
        <w:tc>
          <w:tcPr>
            <w:tcW w:w="2438" w:type="dxa"/>
            <w:gridSpan w:val="2"/>
            <w:vMerge w:val="continue"/>
            <w:vAlign w:val="center"/>
          </w:tcPr>
          <w:p>
            <w:pPr>
              <w:widowControl/>
              <w:jc w:val="left"/>
              <w:rPr>
                <w:rFonts w:asciiTheme="minorEastAsia" w:hAnsiTheme="minorEastAsia" w:eastAsiaTheme="minorEastAsia" w:cstheme="minorEastAsia"/>
                <w:kern w:val="0"/>
                <w:szCs w:val="21"/>
              </w:rPr>
            </w:pPr>
          </w:p>
        </w:tc>
        <w:tc>
          <w:tcPr>
            <w:tcW w:w="766" w:type="dxa"/>
            <w:vAlign w:val="center"/>
          </w:tcPr>
          <w:p>
            <w:pPr>
              <w:widowControl/>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33"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770" w:type="dxa"/>
            <w:textDirection w:val="tbLrV"/>
            <w:vAlign w:val="center"/>
          </w:tcPr>
          <w:p>
            <w:pPr>
              <w:widowControl/>
              <w:ind w:left="113" w:right="113" w:firstLine="210" w:firstLineChars="1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节约用水用电</w:t>
            </w:r>
          </w:p>
        </w:tc>
        <w:tc>
          <w:tcPr>
            <w:tcW w:w="4026"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按照节能减排相关要求，制定节约用电用水的方案及相关制度。</w:t>
            </w:r>
          </w:p>
        </w:tc>
        <w:tc>
          <w:tcPr>
            <w:tcW w:w="2438" w:type="dxa"/>
            <w:gridSpan w:val="2"/>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未能出具具体方案的扣5分</w:t>
            </w:r>
          </w:p>
        </w:tc>
        <w:tc>
          <w:tcPr>
            <w:tcW w:w="766"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33" w:type="dxa"/>
            <w:gridSpan w:val="6"/>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注：每分代表50元。采购人每月底按上述考核细则汇总考核扣分和扣款，最终每月折算的扣款金额从每月支付的中标劳务费中扣除，</w:t>
            </w:r>
            <w:r>
              <w:rPr>
                <w:rFonts w:hint="eastAsia" w:asciiTheme="minorEastAsia" w:hAnsiTheme="minorEastAsia" w:eastAsiaTheme="minorEastAsia" w:cstheme="minorEastAsia"/>
                <w:color w:val="000000" w:themeColor="text1"/>
                <w:szCs w:val="21"/>
              </w:rPr>
              <w:t>扣完当月服务费为止。</w:t>
            </w:r>
            <w:r>
              <w:rPr>
                <w:rFonts w:hint="eastAsia" w:asciiTheme="minorEastAsia" w:hAnsiTheme="minorEastAsia" w:eastAsiaTheme="minorEastAsia" w:cstheme="minorEastAsia"/>
                <w:kern w:val="0"/>
                <w:szCs w:val="21"/>
              </w:rPr>
              <w:t>年度对中标人进行一次干部职工满意度调查，满意度未达到80%以上,扣50分，并要求中标人整改。</w:t>
            </w:r>
          </w:p>
        </w:tc>
      </w:tr>
    </w:tbl>
    <w:p>
      <w:pPr>
        <w:pStyle w:val="5"/>
      </w:pPr>
      <w:bookmarkStart w:id="159" w:name="_Toc129529571"/>
      <w:bookmarkStart w:id="160" w:name="_Toc132880288"/>
      <w:bookmarkStart w:id="161" w:name="_Toc17117"/>
      <w:r>
        <w:rPr>
          <w:rFonts w:hint="eastAsia"/>
        </w:rPr>
        <w:t>三、商务要求</w:t>
      </w:r>
      <w:bookmarkEnd w:id="159"/>
      <w:bookmarkEnd w:id="160"/>
      <w:bookmarkEnd w:id="161"/>
    </w:p>
    <w:p>
      <w:pPr>
        <w:pStyle w:val="12"/>
        <w:keepNext w:val="0"/>
        <w:keepLines w:val="0"/>
        <w:pageBreakBefore w:val="0"/>
        <w:widowControl w:val="0"/>
        <w:kinsoku/>
        <w:wordWrap/>
        <w:overflowPunct/>
        <w:topLinePunct w:val="0"/>
        <w:autoSpaceDE/>
        <w:autoSpaceDN/>
        <w:bidi w:val="0"/>
        <w:spacing w:line="440" w:lineRule="exact"/>
        <w:ind w:firstLine="211" w:firstLineChars="1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val="0"/>
          <w:bCs/>
          <w:szCs w:val="21"/>
        </w:rPr>
        <w:t>（一）报价要求：</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投标报价包含但不限于以下部分：</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1、服务的价格；</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2、必要的保险费用和各项税金；</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 w:val="0"/>
          <w:bCs/>
          <w:szCs w:val="21"/>
          <w:highlight w:val="none"/>
        </w:rPr>
      </w:pPr>
      <w:r>
        <w:rPr>
          <w:rFonts w:hint="eastAsia" w:asciiTheme="minorEastAsia" w:hAnsiTheme="minorEastAsia" w:eastAsiaTheme="minorEastAsia" w:cstheme="minorEastAsia"/>
          <w:b w:val="0"/>
          <w:bCs/>
          <w:szCs w:val="21"/>
          <w:highlight w:val="none"/>
        </w:rPr>
        <w:t>3、服务过程中所发生的一切服务费用（不含材料采购费用）；</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1"/>
        <w:rPr>
          <w:rFonts w:hint="eastAsia" w:asciiTheme="minorEastAsia" w:hAnsiTheme="minorEastAsia" w:eastAsiaTheme="minorEastAsia" w:cstheme="minorEastAsia"/>
          <w:b w:val="0"/>
          <w:bCs/>
          <w:szCs w:val="21"/>
          <w:highlight w:val="none"/>
        </w:rPr>
      </w:pPr>
      <w:r>
        <w:rPr>
          <w:rFonts w:hint="eastAsia" w:asciiTheme="minorEastAsia" w:hAnsiTheme="minorEastAsia" w:eastAsiaTheme="minorEastAsia" w:cstheme="minorEastAsia"/>
          <w:b w:val="0"/>
          <w:bCs/>
          <w:szCs w:val="21"/>
          <w:highlight w:val="none"/>
        </w:rPr>
        <w:t>4、供应商应根据服务人员数量（35人）按照每人每天25元的餐费标准，每月按照22天计算，向采购人缴纳员工伙食费，该费用包含在项目费用中。</w:t>
      </w:r>
    </w:p>
    <w:p>
      <w:pPr>
        <w:pStyle w:val="12"/>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1"/>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5、在本项目服务期内，投标总价不予调整，采购人不再支付中标价格以外的任何费用。</w:t>
      </w:r>
    </w:p>
    <w:p>
      <w:pPr>
        <w:pStyle w:val="12"/>
        <w:keepNext w:val="0"/>
        <w:keepLines w:val="0"/>
        <w:pageBreakBefore w:val="0"/>
        <w:widowControl w:val="0"/>
        <w:kinsoku/>
        <w:wordWrap/>
        <w:overflowPunct/>
        <w:topLinePunct w:val="0"/>
        <w:autoSpaceDE/>
        <w:autoSpaceDN/>
        <w:bidi w:val="0"/>
        <w:spacing w:line="440" w:lineRule="exact"/>
        <w:ind w:firstLine="211" w:firstLineChars="1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val="0"/>
          <w:bCs/>
          <w:szCs w:val="21"/>
        </w:rPr>
        <w:t>（二）服务地点、服务期限：</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outlineLvl w:val="1"/>
        <w:rPr>
          <w:rFonts w:hint="eastAsia" w:asciiTheme="minorEastAsia" w:hAnsiTheme="minorEastAsia" w:eastAsiaTheme="minorEastAsia" w:cstheme="minorEastAsia"/>
          <w:bCs/>
          <w:szCs w:val="21"/>
        </w:rPr>
      </w:pPr>
      <w:bookmarkStart w:id="162" w:name="_Toc29751"/>
      <w:bookmarkStart w:id="163" w:name="_Toc17983"/>
      <w:bookmarkStart w:id="164" w:name="_Toc28317"/>
      <w:r>
        <w:rPr>
          <w:rFonts w:hint="eastAsia" w:asciiTheme="minorEastAsia" w:hAnsiTheme="minorEastAsia" w:eastAsiaTheme="minorEastAsia" w:cstheme="minorEastAsia"/>
          <w:bCs/>
          <w:szCs w:val="21"/>
        </w:rPr>
        <w:t>1、服务地点：</w:t>
      </w:r>
      <w:bookmarkEnd w:id="162"/>
      <w:bookmarkEnd w:id="163"/>
      <w:bookmarkEnd w:id="164"/>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①南宁市青秀区金湖路40号3楼职工</w:t>
      </w:r>
      <w:r>
        <w:rPr>
          <w:rFonts w:hint="eastAsia" w:asciiTheme="minorEastAsia" w:hAnsiTheme="minorEastAsia" w:eastAsiaTheme="minorEastAsia" w:cstheme="minorEastAsia"/>
          <w:bCs/>
          <w:szCs w:val="21"/>
          <w:highlight w:val="none"/>
        </w:rPr>
        <w:t>食堂。</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②南宁市第三稽查局职工食堂。</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③民族大道89号金禄大厦职工食堂。</w:t>
      </w:r>
    </w:p>
    <w:p>
      <w:pPr>
        <w:keepNext w:val="0"/>
        <w:keepLines w:val="0"/>
        <w:pageBreakBefore w:val="0"/>
        <w:widowControl w:val="0"/>
        <w:numPr>
          <w:ilvl w:val="0"/>
          <w:numId w:val="8"/>
        </w:numPr>
        <w:kinsoku/>
        <w:wordWrap/>
        <w:overflowPunct/>
        <w:topLinePunct w:val="0"/>
        <w:autoSpaceDE/>
        <w:autoSpaceDN/>
        <w:bidi w:val="0"/>
        <w:spacing w:line="440" w:lineRule="exact"/>
        <w:ind w:firstLine="420" w:firstLineChars="200"/>
        <w:textAlignment w:val="auto"/>
        <w:outlineLvl w:val="1"/>
        <w:rPr>
          <w:rFonts w:hint="eastAsia" w:asciiTheme="minorEastAsia" w:hAnsiTheme="minorEastAsia" w:eastAsiaTheme="minorEastAsia" w:cstheme="minorEastAsia"/>
          <w:bCs/>
          <w:color w:val="000000"/>
          <w:szCs w:val="21"/>
        </w:rPr>
      </w:pPr>
      <w:bookmarkStart w:id="165" w:name="_Toc4013"/>
      <w:bookmarkStart w:id="166" w:name="_Toc12878"/>
      <w:bookmarkStart w:id="167" w:name="_Toc20019"/>
      <w:r>
        <w:rPr>
          <w:rFonts w:hint="eastAsia" w:asciiTheme="minorEastAsia" w:hAnsiTheme="minorEastAsia" w:eastAsiaTheme="minorEastAsia" w:cstheme="minorEastAsia"/>
          <w:bCs/>
          <w:color w:val="000000"/>
          <w:szCs w:val="21"/>
        </w:rPr>
        <w:t>服务期限：1年。</w:t>
      </w:r>
      <w:bookmarkEnd w:id="165"/>
      <w:bookmarkEnd w:id="166"/>
      <w:bookmarkEnd w:id="167"/>
    </w:p>
    <w:p>
      <w:pPr>
        <w:pStyle w:val="12"/>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val="0"/>
          <w:bCs/>
          <w:szCs w:val="21"/>
        </w:rPr>
        <w:t>（三）付款方式：</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采购人采取先服务后付款、按月考核并以人民币结算的方式。</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每月10日前，采购人根据《机关食堂管理考核细则》及</w:t>
      </w:r>
      <w:r>
        <w:rPr>
          <w:rFonts w:hint="eastAsia" w:asciiTheme="minorEastAsia" w:hAnsiTheme="minorEastAsia" w:eastAsiaTheme="minorEastAsia" w:cstheme="minorEastAsia"/>
          <w:highlight w:val="none"/>
        </w:rPr>
        <w:t>合同罚责条款</w:t>
      </w:r>
      <w:r>
        <w:rPr>
          <w:rFonts w:hint="eastAsia" w:asciiTheme="minorEastAsia" w:hAnsiTheme="minorEastAsia" w:eastAsiaTheme="minorEastAsia" w:cstheme="minorEastAsia"/>
          <w:highlight w:val="none"/>
          <w:lang w:val="zh-CN"/>
        </w:rPr>
        <w:t>对供应商上月服务进行考核</w:t>
      </w:r>
      <w:r>
        <w:rPr>
          <w:rFonts w:hint="eastAsia" w:asciiTheme="minorEastAsia" w:hAnsiTheme="minorEastAsia" w:eastAsiaTheme="minorEastAsia" w:cstheme="minorEastAsia"/>
          <w:highlight w:val="none"/>
        </w:rPr>
        <w:t>，考核结果经双方确认无异议后</w:t>
      </w:r>
      <w:r>
        <w:rPr>
          <w:rFonts w:hint="eastAsia" w:asciiTheme="minorEastAsia" w:hAnsiTheme="minorEastAsia" w:eastAsiaTheme="minorEastAsia" w:cstheme="minorEastAsia"/>
          <w:highlight w:val="none"/>
          <w:lang w:val="zh-CN"/>
        </w:rPr>
        <w:t>，采购人</w:t>
      </w:r>
      <w:r>
        <w:rPr>
          <w:rFonts w:hint="eastAsia" w:asciiTheme="minorEastAsia" w:hAnsiTheme="minorEastAsia" w:eastAsiaTheme="minorEastAsia" w:cstheme="minorEastAsia"/>
          <w:highlight w:val="none"/>
        </w:rPr>
        <w:t>按考核结果对合同服务费进行汇总扣款后支付剩余款项。</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即：</w:t>
      </w:r>
      <w:r>
        <w:rPr>
          <w:rFonts w:hint="eastAsia" w:asciiTheme="minorEastAsia" w:hAnsiTheme="minorEastAsia" w:eastAsiaTheme="minorEastAsia" w:cstheme="minorEastAsia"/>
          <w:highlight w:val="none"/>
          <w:lang w:val="zh-CN"/>
        </w:rPr>
        <w:t>月服务费=年度合同总金额/12</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lang w:val="zh-CN"/>
        </w:rPr>
        <w:t>月考核汇总扣款。</w:t>
      </w:r>
    </w:p>
    <w:p>
      <w:pPr>
        <w:pStyle w:val="1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采购人付款前，供应商应向采购人开具等额有效的增值税发票，采购人收到发票后10个工作日内将相应款项支付到合同约定的供应商账户；采购人未收到发票的，有权不予支付直至供应商提供合格发票，并不承担延迟付款责任。但供应商应按合同约定继续履行服务义务，确保采购人工作正常运转。当发生此等情况时，供应商有义务自行先向所派员工支付各种相关费用。</w:t>
      </w:r>
    </w:p>
    <w:p>
      <w:pPr>
        <w:pStyle w:val="12"/>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val="0"/>
          <w:bCs/>
          <w:szCs w:val="21"/>
        </w:rPr>
        <w:t>（四）验收方式及标准：</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Cs w:val="21"/>
          <w:lang w:val="zh-CN"/>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lang w:val="zh-CN"/>
        </w:rPr>
        <w:t>验收方式：由采购人和供应商组成验收小组进行验收，验收结束后出具验收报告，列明各项标准的验收情况及项目总体评价，由验收双方共同签署并加盖公章。</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color w:val="000000" w:themeColor="text1"/>
          <w:szCs w:val="21"/>
          <w:lang w:val="zh-CN"/>
        </w:rPr>
      </w:pPr>
      <w:r>
        <w:rPr>
          <w:rFonts w:hint="eastAsia" w:asciiTheme="minorEastAsia" w:hAnsiTheme="minorEastAsia" w:eastAsiaTheme="minorEastAsia" w:cstheme="minorEastAsia"/>
          <w:color w:val="000000" w:themeColor="text1"/>
          <w:szCs w:val="21"/>
        </w:rPr>
        <w:t>2、</w:t>
      </w:r>
      <w:r>
        <w:rPr>
          <w:rFonts w:hint="eastAsia" w:asciiTheme="minorEastAsia" w:hAnsiTheme="minorEastAsia" w:eastAsiaTheme="minorEastAsia" w:cstheme="minorEastAsia"/>
          <w:color w:val="000000" w:themeColor="text1"/>
          <w:szCs w:val="21"/>
          <w:lang w:val="zh-CN"/>
        </w:rPr>
        <w:t>验收标准：按照采购合同的约定，由验收小组对供应商每一项技术、服务、安全标准的履约情况进行确认，每月末根据《机关食堂管理考核细则》进行考核检查。</w:t>
      </w:r>
    </w:p>
    <w:p>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（五）服务要求：</w:t>
      </w:r>
    </w:p>
    <w:p>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供应商履行合同期间因作业不当或管理不善，发生事件、事故的，导致服务人员人身财产和采购人干部职工人身财产及公有财产损失等情况的一律由供应商承担全部责任，采购人不负任何责任。</w:t>
      </w:r>
    </w:p>
    <w:p>
      <w:pPr>
        <w:pStyle w:val="12"/>
        <w:spacing w:line="440" w:lineRule="exact"/>
        <w:ind w:firstLine="420" w:firstLineChars="200"/>
        <w:rPr>
          <w:rFonts w:asciiTheme="minorEastAsia" w:hAnsiTheme="minorEastAsia" w:eastAsiaTheme="minorEastAsia" w:cstheme="minorEastAsia"/>
          <w:b w:val="0"/>
          <w:bCs/>
          <w:color w:val="000000"/>
          <w:szCs w:val="21"/>
        </w:rPr>
      </w:pPr>
    </w:p>
    <w:sectPr>
      <w:footerReference r:id="rId8"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jc w:val="center"/>
                </w:pPr>
                <w:r>
                  <w:t xml:space="preserve">— </w:t>
                </w:r>
                <w:r>
                  <w:fldChar w:fldCharType="begin"/>
                </w:r>
                <w:r>
                  <w:instrText xml:space="preserve"> PAGE  \* MERGEFORMAT </w:instrText>
                </w:r>
                <w:r>
                  <w:fldChar w:fldCharType="separate"/>
                </w:r>
                <w:r>
                  <w:t>86</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43696"/>
    <w:multiLevelType w:val="singleLevel"/>
    <w:tmpl w:val="8FD43696"/>
    <w:lvl w:ilvl="0" w:tentative="0">
      <w:start w:val="1"/>
      <w:numFmt w:val="decimal"/>
      <w:pStyle w:val="9"/>
      <w:lvlText w:val="%1."/>
      <w:lvlJc w:val="left"/>
      <w:pPr>
        <w:tabs>
          <w:tab w:val="left" w:pos="780"/>
        </w:tabs>
        <w:ind w:left="780" w:hanging="360"/>
      </w:pPr>
    </w:lvl>
  </w:abstractNum>
  <w:abstractNum w:abstractNumId="1">
    <w:nsid w:val="B9D12970"/>
    <w:multiLevelType w:val="singleLevel"/>
    <w:tmpl w:val="B9D12970"/>
    <w:lvl w:ilvl="0" w:tentative="0">
      <w:start w:val="2"/>
      <w:numFmt w:val="chineseCounting"/>
      <w:suff w:val="nothing"/>
      <w:lvlText w:val="第%1章　"/>
      <w:lvlJc w:val="left"/>
      <w:rPr>
        <w:rFonts w:hint="eastAsia"/>
      </w:rPr>
    </w:lvl>
  </w:abstractNum>
  <w:abstractNum w:abstractNumId="2">
    <w:nsid w:val="BBC9D75C"/>
    <w:multiLevelType w:val="singleLevel"/>
    <w:tmpl w:val="BBC9D75C"/>
    <w:lvl w:ilvl="0" w:tentative="0">
      <w:start w:val="5"/>
      <w:numFmt w:val="chineseCounting"/>
      <w:suff w:val="nothing"/>
      <w:lvlText w:val="（%1）"/>
      <w:lvlJc w:val="left"/>
      <w:rPr>
        <w:rFonts w:hint="eastAsia"/>
      </w:rPr>
    </w:lvl>
  </w:abstractNum>
  <w:abstractNum w:abstractNumId="3">
    <w:nsid w:val="DB551C66"/>
    <w:multiLevelType w:val="singleLevel"/>
    <w:tmpl w:val="DB551C66"/>
    <w:lvl w:ilvl="0" w:tentative="0">
      <w:start w:val="2"/>
      <w:numFmt w:val="chineseCounting"/>
      <w:suff w:val="nothing"/>
      <w:lvlText w:val="%1、"/>
      <w:lvlJc w:val="left"/>
      <w:rPr>
        <w:rFonts w:hint="eastAsia"/>
      </w:rPr>
    </w:lvl>
  </w:abstractNum>
  <w:abstractNum w:abstractNumId="4">
    <w:nsid w:val="E03BC8EF"/>
    <w:multiLevelType w:val="singleLevel"/>
    <w:tmpl w:val="E03BC8EF"/>
    <w:lvl w:ilvl="0" w:tentative="0">
      <w:start w:val="4"/>
      <w:numFmt w:val="decimal"/>
      <w:suff w:val="nothing"/>
      <w:lvlText w:val="%1、"/>
      <w:lvlJc w:val="left"/>
    </w:lvl>
  </w:abstractNum>
  <w:abstractNum w:abstractNumId="5">
    <w:nsid w:val="20163158"/>
    <w:multiLevelType w:val="singleLevel"/>
    <w:tmpl w:val="20163158"/>
    <w:lvl w:ilvl="0" w:tentative="0">
      <w:start w:val="2"/>
      <w:numFmt w:val="decimal"/>
      <w:suff w:val="nothing"/>
      <w:lvlText w:val="%1、"/>
      <w:lvlJc w:val="left"/>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6530850"/>
    <w:multiLevelType w:val="singleLevel"/>
    <w:tmpl w:val="46530850"/>
    <w:lvl w:ilvl="0" w:tentative="0">
      <w:start w:val="2"/>
      <w:numFmt w:val="chineseCounting"/>
      <w:suff w:val="nothing"/>
      <w:lvlText w:val="（%1）"/>
      <w:lvlJc w:val="left"/>
      <w:rPr>
        <w:rFonts w:hint="eastAsia"/>
      </w:rPr>
    </w:lvl>
  </w:abstractNum>
  <w:num w:numId="1">
    <w:abstractNumId w:val="6"/>
  </w:num>
  <w:num w:numId="2">
    <w:abstractNumId w:val="0"/>
  </w:num>
  <w:num w:numId="3">
    <w:abstractNumId w:val="3"/>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0MzFlYzgwNzRkZTQ0NjFjODEzZWFjM2I4MDhiNjMifQ=="/>
  </w:docVars>
  <w:rsids>
    <w:rsidRoot w:val="324B3C83"/>
    <w:rsid w:val="00000DC2"/>
    <w:rsid w:val="0001002C"/>
    <w:rsid w:val="00015910"/>
    <w:rsid w:val="0002561E"/>
    <w:rsid w:val="00080089"/>
    <w:rsid w:val="000A47F6"/>
    <w:rsid w:val="000E211F"/>
    <w:rsid w:val="000F583C"/>
    <w:rsid w:val="00101278"/>
    <w:rsid w:val="001234F3"/>
    <w:rsid w:val="001614EC"/>
    <w:rsid w:val="0016332A"/>
    <w:rsid w:val="00166A9A"/>
    <w:rsid w:val="00176C9F"/>
    <w:rsid w:val="00187DFD"/>
    <w:rsid w:val="001941CC"/>
    <w:rsid w:val="0019456E"/>
    <w:rsid w:val="00196479"/>
    <w:rsid w:val="001A2B95"/>
    <w:rsid w:val="001D4BE8"/>
    <w:rsid w:val="00215AA4"/>
    <w:rsid w:val="00215E9E"/>
    <w:rsid w:val="00220F06"/>
    <w:rsid w:val="00234DB5"/>
    <w:rsid w:val="00264569"/>
    <w:rsid w:val="00273510"/>
    <w:rsid w:val="002C039C"/>
    <w:rsid w:val="002C05F4"/>
    <w:rsid w:val="002D2EF2"/>
    <w:rsid w:val="00325BB7"/>
    <w:rsid w:val="003A04E5"/>
    <w:rsid w:val="003C040B"/>
    <w:rsid w:val="003D2D34"/>
    <w:rsid w:val="003E07EF"/>
    <w:rsid w:val="00400E36"/>
    <w:rsid w:val="0045280B"/>
    <w:rsid w:val="00452899"/>
    <w:rsid w:val="00461521"/>
    <w:rsid w:val="004653B8"/>
    <w:rsid w:val="0049694C"/>
    <w:rsid w:val="004A0BA8"/>
    <w:rsid w:val="004A1638"/>
    <w:rsid w:val="004A5F9F"/>
    <w:rsid w:val="00503784"/>
    <w:rsid w:val="00514987"/>
    <w:rsid w:val="00515DCD"/>
    <w:rsid w:val="00543F77"/>
    <w:rsid w:val="00556DA7"/>
    <w:rsid w:val="00564C41"/>
    <w:rsid w:val="005948D8"/>
    <w:rsid w:val="005A3678"/>
    <w:rsid w:val="005C32C7"/>
    <w:rsid w:val="005F1ABE"/>
    <w:rsid w:val="005F777F"/>
    <w:rsid w:val="005F7FC8"/>
    <w:rsid w:val="00646D4C"/>
    <w:rsid w:val="006813FB"/>
    <w:rsid w:val="00683FCD"/>
    <w:rsid w:val="006860F5"/>
    <w:rsid w:val="006A5CEF"/>
    <w:rsid w:val="006B31C3"/>
    <w:rsid w:val="006D58B5"/>
    <w:rsid w:val="006F1CEE"/>
    <w:rsid w:val="006F2553"/>
    <w:rsid w:val="00701CD7"/>
    <w:rsid w:val="00702833"/>
    <w:rsid w:val="00721C8D"/>
    <w:rsid w:val="007637BB"/>
    <w:rsid w:val="00783C0E"/>
    <w:rsid w:val="00785B3A"/>
    <w:rsid w:val="007A568B"/>
    <w:rsid w:val="007B614B"/>
    <w:rsid w:val="007C619B"/>
    <w:rsid w:val="007C7038"/>
    <w:rsid w:val="007D53C8"/>
    <w:rsid w:val="007E3C2B"/>
    <w:rsid w:val="007E6B9B"/>
    <w:rsid w:val="0080188C"/>
    <w:rsid w:val="008033AF"/>
    <w:rsid w:val="00826A72"/>
    <w:rsid w:val="008322BB"/>
    <w:rsid w:val="00846E97"/>
    <w:rsid w:val="008557E3"/>
    <w:rsid w:val="00862522"/>
    <w:rsid w:val="00873FF2"/>
    <w:rsid w:val="008B0249"/>
    <w:rsid w:val="008D7480"/>
    <w:rsid w:val="008E03C3"/>
    <w:rsid w:val="008E5FDB"/>
    <w:rsid w:val="008F2DD7"/>
    <w:rsid w:val="008F3E7A"/>
    <w:rsid w:val="009060AC"/>
    <w:rsid w:val="0091519C"/>
    <w:rsid w:val="0093207F"/>
    <w:rsid w:val="00940466"/>
    <w:rsid w:val="00944E02"/>
    <w:rsid w:val="00946F2A"/>
    <w:rsid w:val="009509BB"/>
    <w:rsid w:val="00981D51"/>
    <w:rsid w:val="009B3356"/>
    <w:rsid w:val="009C2948"/>
    <w:rsid w:val="009D69C0"/>
    <w:rsid w:val="009D7D21"/>
    <w:rsid w:val="00A30F7A"/>
    <w:rsid w:val="00A4006E"/>
    <w:rsid w:val="00A46D30"/>
    <w:rsid w:val="00A556C4"/>
    <w:rsid w:val="00AD007B"/>
    <w:rsid w:val="00AD3F14"/>
    <w:rsid w:val="00AF626D"/>
    <w:rsid w:val="00AF75BA"/>
    <w:rsid w:val="00B0532A"/>
    <w:rsid w:val="00B32967"/>
    <w:rsid w:val="00B93CB4"/>
    <w:rsid w:val="00B95AF0"/>
    <w:rsid w:val="00C3492D"/>
    <w:rsid w:val="00C41552"/>
    <w:rsid w:val="00C41C26"/>
    <w:rsid w:val="00C47816"/>
    <w:rsid w:val="00C7076F"/>
    <w:rsid w:val="00C86A4F"/>
    <w:rsid w:val="00C879B3"/>
    <w:rsid w:val="00C93567"/>
    <w:rsid w:val="00C93BAF"/>
    <w:rsid w:val="00CC23D1"/>
    <w:rsid w:val="00CD4639"/>
    <w:rsid w:val="00CD6F53"/>
    <w:rsid w:val="00D01695"/>
    <w:rsid w:val="00D12B6B"/>
    <w:rsid w:val="00D32381"/>
    <w:rsid w:val="00D410B1"/>
    <w:rsid w:val="00D47C93"/>
    <w:rsid w:val="00D66771"/>
    <w:rsid w:val="00D96785"/>
    <w:rsid w:val="00DA34DD"/>
    <w:rsid w:val="00DA7771"/>
    <w:rsid w:val="00DB238C"/>
    <w:rsid w:val="00DC0E11"/>
    <w:rsid w:val="00DD5BE2"/>
    <w:rsid w:val="00DF1E1A"/>
    <w:rsid w:val="00DF5B0D"/>
    <w:rsid w:val="00E13486"/>
    <w:rsid w:val="00E9793E"/>
    <w:rsid w:val="00EB5DFA"/>
    <w:rsid w:val="00EC714C"/>
    <w:rsid w:val="00EE34B3"/>
    <w:rsid w:val="00EF5BA2"/>
    <w:rsid w:val="00F02841"/>
    <w:rsid w:val="00F10C2A"/>
    <w:rsid w:val="00F33D68"/>
    <w:rsid w:val="00F40C05"/>
    <w:rsid w:val="00F66B57"/>
    <w:rsid w:val="00F8271E"/>
    <w:rsid w:val="00F843E9"/>
    <w:rsid w:val="00FB4547"/>
    <w:rsid w:val="00FD2425"/>
    <w:rsid w:val="00FF66B0"/>
    <w:rsid w:val="00FF6ADA"/>
    <w:rsid w:val="01583748"/>
    <w:rsid w:val="019230F8"/>
    <w:rsid w:val="01F64D0F"/>
    <w:rsid w:val="020B07BA"/>
    <w:rsid w:val="021120DD"/>
    <w:rsid w:val="0236558C"/>
    <w:rsid w:val="027B07D8"/>
    <w:rsid w:val="02976CA2"/>
    <w:rsid w:val="02AF3E19"/>
    <w:rsid w:val="02D432A2"/>
    <w:rsid w:val="02F71E79"/>
    <w:rsid w:val="02FA438B"/>
    <w:rsid w:val="030829EE"/>
    <w:rsid w:val="030B2A3C"/>
    <w:rsid w:val="032351A1"/>
    <w:rsid w:val="03541CED"/>
    <w:rsid w:val="035E700F"/>
    <w:rsid w:val="037D7F8A"/>
    <w:rsid w:val="03D96696"/>
    <w:rsid w:val="03DD6186"/>
    <w:rsid w:val="03E33071"/>
    <w:rsid w:val="03FC70A1"/>
    <w:rsid w:val="043204F1"/>
    <w:rsid w:val="044B1342"/>
    <w:rsid w:val="04510922"/>
    <w:rsid w:val="04743F71"/>
    <w:rsid w:val="049D76C3"/>
    <w:rsid w:val="04C64E6C"/>
    <w:rsid w:val="04E84DE3"/>
    <w:rsid w:val="05324A2C"/>
    <w:rsid w:val="054364BD"/>
    <w:rsid w:val="05656433"/>
    <w:rsid w:val="057F6DC9"/>
    <w:rsid w:val="059D3E1F"/>
    <w:rsid w:val="05C52B50"/>
    <w:rsid w:val="05CC64B2"/>
    <w:rsid w:val="061725A4"/>
    <w:rsid w:val="061E54C3"/>
    <w:rsid w:val="062642CD"/>
    <w:rsid w:val="062F07EF"/>
    <w:rsid w:val="063A1FAE"/>
    <w:rsid w:val="063E4C65"/>
    <w:rsid w:val="06622973"/>
    <w:rsid w:val="06782196"/>
    <w:rsid w:val="06DC1067"/>
    <w:rsid w:val="06DF4CBC"/>
    <w:rsid w:val="06E67100"/>
    <w:rsid w:val="06FC6923"/>
    <w:rsid w:val="07097292"/>
    <w:rsid w:val="07387624"/>
    <w:rsid w:val="075C5614"/>
    <w:rsid w:val="07CC3861"/>
    <w:rsid w:val="080261BB"/>
    <w:rsid w:val="08AA4768"/>
    <w:rsid w:val="08CC4A1B"/>
    <w:rsid w:val="093F3DD9"/>
    <w:rsid w:val="094620D8"/>
    <w:rsid w:val="09815806"/>
    <w:rsid w:val="09840E52"/>
    <w:rsid w:val="09C06A82"/>
    <w:rsid w:val="09D516AE"/>
    <w:rsid w:val="09DB4F16"/>
    <w:rsid w:val="09DF42DA"/>
    <w:rsid w:val="0A1737E9"/>
    <w:rsid w:val="0A2E2D04"/>
    <w:rsid w:val="0A3C0E99"/>
    <w:rsid w:val="0A4D56E8"/>
    <w:rsid w:val="0A4D7496"/>
    <w:rsid w:val="0A59408D"/>
    <w:rsid w:val="0A670558"/>
    <w:rsid w:val="0A6D20CC"/>
    <w:rsid w:val="0A7113D6"/>
    <w:rsid w:val="0A762E91"/>
    <w:rsid w:val="0A8235E3"/>
    <w:rsid w:val="0A880415"/>
    <w:rsid w:val="0A917CCA"/>
    <w:rsid w:val="0AA03A6A"/>
    <w:rsid w:val="0AD47567"/>
    <w:rsid w:val="0AE4604C"/>
    <w:rsid w:val="0B136931"/>
    <w:rsid w:val="0B8D0492"/>
    <w:rsid w:val="0B900CB2"/>
    <w:rsid w:val="0B923CFA"/>
    <w:rsid w:val="0BE61950"/>
    <w:rsid w:val="0BFA53FB"/>
    <w:rsid w:val="0C450D6C"/>
    <w:rsid w:val="0C4A1EDF"/>
    <w:rsid w:val="0C540FAF"/>
    <w:rsid w:val="0C566AD6"/>
    <w:rsid w:val="0CA31213"/>
    <w:rsid w:val="0CAA0BCF"/>
    <w:rsid w:val="0CC31C91"/>
    <w:rsid w:val="0CE57E5A"/>
    <w:rsid w:val="0D29243C"/>
    <w:rsid w:val="0D330BC5"/>
    <w:rsid w:val="0DAB10A3"/>
    <w:rsid w:val="0E176739"/>
    <w:rsid w:val="0E341099"/>
    <w:rsid w:val="0E8B67DF"/>
    <w:rsid w:val="0ED71A24"/>
    <w:rsid w:val="0EF54EE0"/>
    <w:rsid w:val="0F0071CD"/>
    <w:rsid w:val="0F225395"/>
    <w:rsid w:val="0F286A98"/>
    <w:rsid w:val="0F2E3D3A"/>
    <w:rsid w:val="0F390DFE"/>
    <w:rsid w:val="0F40581B"/>
    <w:rsid w:val="0FC727F6"/>
    <w:rsid w:val="0FEA5BC6"/>
    <w:rsid w:val="0FF23DC6"/>
    <w:rsid w:val="0FF84DA4"/>
    <w:rsid w:val="0FF95088"/>
    <w:rsid w:val="100076EF"/>
    <w:rsid w:val="107006E9"/>
    <w:rsid w:val="109220A6"/>
    <w:rsid w:val="10A67900"/>
    <w:rsid w:val="10B13C11"/>
    <w:rsid w:val="10B53516"/>
    <w:rsid w:val="10F03EEC"/>
    <w:rsid w:val="10F92125"/>
    <w:rsid w:val="10FB37AB"/>
    <w:rsid w:val="11063C09"/>
    <w:rsid w:val="11423ACC"/>
    <w:rsid w:val="11544F18"/>
    <w:rsid w:val="118B5473"/>
    <w:rsid w:val="11902A8A"/>
    <w:rsid w:val="1193257A"/>
    <w:rsid w:val="11CC0572"/>
    <w:rsid w:val="11FA7F03"/>
    <w:rsid w:val="1202325C"/>
    <w:rsid w:val="12500C0A"/>
    <w:rsid w:val="12A90552"/>
    <w:rsid w:val="12B15CFA"/>
    <w:rsid w:val="12BC165D"/>
    <w:rsid w:val="12CC371E"/>
    <w:rsid w:val="12D93FBD"/>
    <w:rsid w:val="12E0534B"/>
    <w:rsid w:val="12F15453"/>
    <w:rsid w:val="132711CC"/>
    <w:rsid w:val="13710699"/>
    <w:rsid w:val="13916645"/>
    <w:rsid w:val="13994ECD"/>
    <w:rsid w:val="139D3E55"/>
    <w:rsid w:val="13AB3BAB"/>
    <w:rsid w:val="13D645ED"/>
    <w:rsid w:val="14033B64"/>
    <w:rsid w:val="14103664"/>
    <w:rsid w:val="14622C27"/>
    <w:rsid w:val="148D32B1"/>
    <w:rsid w:val="14997EA7"/>
    <w:rsid w:val="14B2243D"/>
    <w:rsid w:val="14D62EA9"/>
    <w:rsid w:val="14F055ED"/>
    <w:rsid w:val="14FE5F5C"/>
    <w:rsid w:val="153B0F5F"/>
    <w:rsid w:val="15785D0F"/>
    <w:rsid w:val="158A19E1"/>
    <w:rsid w:val="15A308B2"/>
    <w:rsid w:val="15CC1BB7"/>
    <w:rsid w:val="16007AB2"/>
    <w:rsid w:val="16105F47"/>
    <w:rsid w:val="16244DAE"/>
    <w:rsid w:val="16351E52"/>
    <w:rsid w:val="165D4F05"/>
    <w:rsid w:val="1683496B"/>
    <w:rsid w:val="168B7A65"/>
    <w:rsid w:val="16B40FC8"/>
    <w:rsid w:val="16EA17B8"/>
    <w:rsid w:val="16F271C0"/>
    <w:rsid w:val="16F776DC"/>
    <w:rsid w:val="1735378C"/>
    <w:rsid w:val="174F2482"/>
    <w:rsid w:val="1768590F"/>
    <w:rsid w:val="178169D1"/>
    <w:rsid w:val="17884203"/>
    <w:rsid w:val="179D4F88"/>
    <w:rsid w:val="17AF79E2"/>
    <w:rsid w:val="17C44EAB"/>
    <w:rsid w:val="17E72CD8"/>
    <w:rsid w:val="17F92A0B"/>
    <w:rsid w:val="1800344C"/>
    <w:rsid w:val="180B4D07"/>
    <w:rsid w:val="185B5474"/>
    <w:rsid w:val="187F3B68"/>
    <w:rsid w:val="1888028A"/>
    <w:rsid w:val="189D7F41"/>
    <w:rsid w:val="189F1804"/>
    <w:rsid w:val="18C46036"/>
    <w:rsid w:val="18C748B7"/>
    <w:rsid w:val="18D27471"/>
    <w:rsid w:val="18D41B24"/>
    <w:rsid w:val="18DF60A5"/>
    <w:rsid w:val="18E84DBF"/>
    <w:rsid w:val="18E84F59"/>
    <w:rsid w:val="18F27B86"/>
    <w:rsid w:val="18FB4F3C"/>
    <w:rsid w:val="19185113"/>
    <w:rsid w:val="193B73BF"/>
    <w:rsid w:val="195919B3"/>
    <w:rsid w:val="197F6F94"/>
    <w:rsid w:val="19834C82"/>
    <w:rsid w:val="19BB2369"/>
    <w:rsid w:val="19C01A32"/>
    <w:rsid w:val="1A1B302B"/>
    <w:rsid w:val="1A277D03"/>
    <w:rsid w:val="1A3666C3"/>
    <w:rsid w:val="1A4236E3"/>
    <w:rsid w:val="1A7D5B75"/>
    <w:rsid w:val="1A8B64E4"/>
    <w:rsid w:val="1AF220BF"/>
    <w:rsid w:val="1AFC6A9A"/>
    <w:rsid w:val="1B1D4C62"/>
    <w:rsid w:val="1B3A5814"/>
    <w:rsid w:val="1B687FD1"/>
    <w:rsid w:val="1B970EB9"/>
    <w:rsid w:val="1B995D4C"/>
    <w:rsid w:val="1BB92BDD"/>
    <w:rsid w:val="1BBA312A"/>
    <w:rsid w:val="1BCA4DEA"/>
    <w:rsid w:val="1BDB0DA5"/>
    <w:rsid w:val="1C2D7127"/>
    <w:rsid w:val="1C3109C5"/>
    <w:rsid w:val="1C395ACC"/>
    <w:rsid w:val="1C5462CF"/>
    <w:rsid w:val="1C5E411C"/>
    <w:rsid w:val="1CCB2BC8"/>
    <w:rsid w:val="1CFB5475"/>
    <w:rsid w:val="1D04257E"/>
    <w:rsid w:val="1D1722B1"/>
    <w:rsid w:val="1DA4266F"/>
    <w:rsid w:val="1DC37D43"/>
    <w:rsid w:val="1DC615E1"/>
    <w:rsid w:val="1DDB508D"/>
    <w:rsid w:val="1E037A02"/>
    <w:rsid w:val="1E0F34E6"/>
    <w:rsid w:val="1E2B06A7"/>
    <w:rsid w:val="1E422377"/>
    <w:rsid w:val="1E5E181A"/>
    <w:rsid w:val="1E8C45D9"/>
    <w:rsid w:val="1EBC2FC3"/>
    <w:rsid w:val="1ECA47D6"/>
    <w:rsid w:val="1ECE074D"/>
    <w:rsid w:val="1EEE7042"/>
    <w:rsid w:val="1EF503D0"/>
    <w:rsid w:val="1F1E01B7"/>
    <w:rsid w:val="1F240CB5"/>
    <w:rsid w:val="1F2760B0"/>
    <w:rsid w:val="1F2962CC"/>
    <w:rsid w:val="1F9C4CF0"/>
    <w:rsid w:val="1FE006E1"/>
    <w:rsid w:val="1FEE1E89"/>
    <w:rsid w:val="20142AD8"/>
    <w:rsid w:val="20146634"/>
    <w:rsid w:val="20280331"/>
    <w:rsid w:val="203E13F4"/>
    <w:rsid w:val="20511636"/>
    <w:rsid w:val="205325EB"/>
    <w:rsid w:val="20755D9D"/>
    <w:rsid w:val="208F49A0"/>
    <w:rsid w:val="20915ED7"/>
    <w:rsid w:val="20994D8B"/>
    <w:rsid w:val="21502035"/>
    <w:rsid w:val="2158314F"/>
    <w:rsid w:val="21CF3DA1"/>
    <w:rsid w:val="221E7C3E"/>
    <w:rsid w:val="22235254"/>
    <w:rsid w:val="223C1E72"/>
    <w:rsid w:val="223E3E3C"/>
    <w:rsid w:val="2265761B"/>
    <w:rsid w:val="22813D29"/>
    <w:rsid w:val="22837AA1"/>
    <w:rsid w:val="228602BE"/>
    <w:rsid w:val="22A67FC4"/>
    <w:rsid w:val="22C04851"/>
    <w:rsid w:val="232B1946"/>
    <w:rsid w:val="235024B0"/>
    <w:rsid w:val="2369138D"/>
    <w:rsid w:val="23991E57"/>
    <w:rsid w:val="239A1BA6"/>
    <w:rsid w:val="23A6406B"/>
    <w:rsid w:val="23AC1B1D"/>
    <w:rsid w:val="23B21385"/>
    <w:rsid w:val="23B56380"/>
    <w:rsid w:val="23CE3398"/>
    <w:rsid w:val="24013808"/>
    <w:rsid w:val="241C1F5B"/>
    <w:rsid w:val="2432352D"/>
    <w:rsid w:val="246F652F"/>
    <w:rsid w:val="24AA6CBB"/>
    <w:rsid w:val="24FE5B05"/>
    <w:rsid w:val="25021151"/>
    <w:rsid w:val="25205A7B"/>
    <w:rsid w:val="25231CC7"/>
    <w:rsid w:val="25446C66"/>
    <w:rsid w:val="25590984"/>
    <w:rsid w:val="256E67E6"/>
    <w:rsid w:val="257D4C7B"/>
    <w:rsid w:val="25B61D5F"/>
    <w:rsid w:val="25DB3E37"/>
    <w:rsid w:val="25DC5E46"/>
    <w:rsid w:val="25EC3BAF"/>
    <w:rsid w:val="26190E48"/>
    <w:rsid w:val="2636380A"/>
    <w:rsid w:val="26597496"/>
    <w:rsid w:val="2661459D"/>
    <w:rsid w:val="26AF5308"/>
    <w:rsid w:val="26DB0B00"/>
    <w:rsid w:val="275E7989"/>
    <w:rsid w:val="278055B9"/>
    <w:rsid w:val="27893DAB"/>
    <w:rsid w:val="27AC35F6"/>
    <w:rsid w:val="27E965F8"/>
    <w:rsid w:val="27FC167D"/>
    <w:rsid w:val="28697739"/>
    <w:rsid w:val="287E31E4"/>
    <w:rsid w:val="28B135BA"/>
    <w:rsid w:val="28B210E0"/>
    <w:rsid w:val="28F214DC"/>
    <w:rsid w:val="292524E4"/>
    <w:rsid w:val="296C1F21"/>
    <w:rsid w:val="29EE6148"/>
    <w:rsid w:val="29F80D74"/>
    <w:rsid w:val="29FC1D70"/>
    <w:rsid w:val="2A1D4C7F"/>
    <w:rsid w:val="2A2658E2"/>
    <w:rsid w:val="2A355B25"/>
    <w:rsid w:val="2A5559CD"/>
    <w:rsid w:val="2A73489F"/>
    <w:rsid w:val="2A9767DF"/>
    <w:rsid w:val="2A9770AA"/>
    <w:rsid w:val="2AAF1D7B"/>
    <w:rsid w:val="2ACD3FAF"/>
    <w:rsid w:val="2AD62313"/>
    <w:rsid w:val="2AF27EBA"/>
    <w:rsid w:val="2AFA4548"/>
    <w:rsid w:val="2B1020EE"/>
    <w:rsid w:val="2B25431C"/>
    <w:rsid w:val="2B4C581C"/>
    <w:rsid w:val="2B83200C"/>
    <w:rsid w:val="2BBD04C8"/>
    <w:rsid w:val="2BD66E93"/>
    <w:rsid w:val="2BFF47C5"/>
    <w:rsid w:val="2C475FE3"/>
    <w:rsid w:val="2C5129BE"/>
    <w:rsid w:val="2C53629D"/>
    <w:rsid w:val="2C6C77F8"/>
    <w:rsid w:val="2C742D57"/>
    <w:rsid w:val="2C912F73"/>
    <w:rsid w:val="2C9C00DD"/>
    <w:rsid w:val="2CB5119F"/>
    <w:rsid w:val="2CE51A84"/>
    <w:rsid w:val="2CE81574"/>
    <w:rsid w:val="2D1759B5"/>
    <w:rsid w:val="2D1B3D78"/>
    <w:rsid w:val="2D1F486A"/>
    <w:rsid w:val="2D2F75E7"/>
    <w:rsid w:val="2D621327"/>
    <w:rsid w:val="2D7746A6"/>
    <w:rsid w:val="2D9772CA"/>
    <w:rsid w:val="2D9900F8"/>
    <w:rsid w:val="2DD410FC"/>
    <w:rsid w:val="2DEE4968"/>
    <w:rsid w:val="2E113916"/>
    <w:rsid w:val="2E183793"/>
    <w:rsid w:val="2E2843FB"/>
    <w:rsid w:val="2E294AE1"/>
    <w:rsid w:val="2E3305CD"/>
    <w:rsid w:val="2E3536B4"/>
    <w:rsid w:val="2E3C642A"/>
    <w:rsid w:val="2E400F3C"/>
    <w:rsid w:val="2F2F348A"/>
    <w:rsid w:val="2F4B5DEA"/>
    <w:rsid w:val="2F6B3D97"/>
    <w:rsid w:val="2F9037FD"/>
    <w:rsid w:val="2F963509"/>
    <w:rsid w:val="2FB614B6"/>
    <w:rsid w:val="301436BC"/>
    <w:rsid w:val="306A6C7A"/>
    <w:rsid w:val="30A05CC2"/>
    <w:rsid w:val="30F229C1"/>
    <w:rsid w:val="30FE301C"/>
    <w:rsid w:val="3103599E"/>
    <w:rsid w:val="310426F5"/>
    <w:rsid w:val="310E5321"/>
    <w:rsid w:val="31211B10"/>
    <w:rsid w:val="31265C52"/>
    <w:rsid w:val="3152520E"/>
    <w:rsid w:val="31AA329C"/>
    <w:rsid w:val="31B71E96"/>
    <w:rsid w:val="31C679AA"/>
    <w:rsid w:val="32126C92"/>
    <w:rsid w:val="321626E0"/>
    <w:rsid w:val="32382656"/>
    <w:rsid w:val="323B0398"/>
    <w:rsid w:val="32427031"/>
    <w:rsid w:val="324B3C83"/>
    <w:rsid w:val="325F4087"/>
    <w:rsid w:val="32D61E6F"/>
    <w:rsid w:val="32DB1233"/>
    <w:rsid w:val="32EC3440"/>
    <w:rsid w:val="33002386"/>
    <w:rsid w:val="331D184C"/>
    <w:rsid w:val="33923FE8"/>
    <w:rsid w:val="33D068BE"/>
    <w:rsid w:val="33FD3B57"/>
    <w:rsid w:val="341A03B5"/>
    <w:rsid w:val="342F7A89"/>
    <w:rsid w:val="343E1A7A"/>
    <w:rsid w:val="345D2848"/>
    <w:rsid w:val="34607C42"/>
    <w:rsid w:val="3474193F"/>
    <w:rsid w:val="34A917D2"/>
    <w:rsid w:val="34E26D79"/>
    <w:rsid w:val="34F311A7"/>
    <w:rsid w:val="352C5D76"/>
    <w:rsid w:val="358636D8"/>
    <w:rsid w:val="358F1B65"/>
    <w:rsid w:val="35BD4BE3"/>
    <w:rsid w:val="35BE7316"/>
    <w:rsid w:val="35C44201"/>
    <w:rsid w:val="36294C3C"/>
    <w:rsid w:val="362A0508"/>
    <w:rsid w:val="36435A6D"/>
    <w:rsid w:val="3646712A"/>
    <w:rsid w:val="3649461B"/>
    <w:rsid w:val="365E6403"/>
    <w:rsid w:val="3685312D"/>
    <w:rsid w:val="36BF604D"/>
    <w:rsid w:val="36F530E8"/>
    <w:rsid w:val="37321D6A"/>
    <w:rsid w:val="374C0952"/>
    <w:rsid w:val="375515B4"/>
    <w:rsid w:val="3757357E"/>
    <w:rsid w:val="376B0DD8"/>
    <w:rsid w:val="37AD4EFB"/>
    <w:rsid w:val="37D03331"/>
    <w:rsid w:val="3810706C"/>
    <w:rsid w:val="38146D13"/>
    <w:rsid w:val="38325D99"/>
    <w:rsid w:val="383832E4"/>
    <w:rsid w:val="383C4522"/>
    <w:rsid w:val="386926DF"/>
    <w:rsid w:val="389A4932"/>
    <w:rsid w:val="38A04AB1"/>
    <w:rsid w:val="38B247E4"/>
    <w:rsid w:val="38D356E1"/>
    <w:rsid w:val="38FB618B"/>
    <w:rsid w:val="39162FC5"/>
    <w:rsid w:val="39447B32"/>
    <w:rsid w:val="3961697B"/>
    <w:rsid w:val="39691347"/>
    <w:rsid w:val="3970352F"/>
    <w:rsid w:val="397F6966"/>
    <w:rsid w:val="39A6259B"/>
    <w:rsid w:val="39D64A9C"/>
    <w:rsid w:val="39E52F7A"/>
    <w:rsid w:val="39FA0BB6"/>
    <w:rsid w:val="39FE23D7"/>
    <w:rsid w:val="3A0E7715"/>
    <w:rsid w:val="3A661D2A"/>
    <w:rsid w:val="3AD273C0"/>
    <w:rsid w:val="3AD66EB0"/>
    <w:rsid w:val="3AE67CE5"/>
    <w:rsid w:val="3AE82205"/>
    <w:rsid w:val="3AEE22E7"/>
    <w:rsid w:val="3AF71A3E"/>
    <w:rsid w:val="3B04200D"/>
    <w:rsid w:val="3B247C1B"/>
    <w:rsid w:val="3B4200A1"/>
    <w:rsid w:val="3B533783"/>
    <w:rsid w:val="3B632A29"/>
    <w:rsid w:val="3B7F30A4"/>
    <w:rsid w:val="3B9603ED"/>
    <w:rsid w:val="3B985F13"/>
    <w:rsid w:val="3BCB6A7A"/>
    <w:rsid w:val="3BD863BB"/>
    <w:rsid w:val="3BF75330"/>
    <w:rsid w:val="3C0E4427"/>
    <w:rsid w:val="3C1732DC"/>
    <w:rsid w:val="3C316275"/>
    <w:rsid w:val="3C3F2833"/>
    <w:rsid w:val="3C5502A8"/>
    <w:rsid w:val="3C7F1018"/>
    <w:rsid w:val="3CAC2A3B"/>
    <w:rsid w:val="3CB46C36"/>
    <w:rsid w:val="3CB94393"/>
    <w:rsid w:val="3CBC1403"/>
    <w:rsid w:val="3CC75C8A"/>
    <w:rsid w:val="3CD04124"/>
    <w:rsid w:val="3D0F2205"/>
    <w:rsid w:val="3D3D6D72"/>
    <w:rsid w:val="3D43674A"/>
    <w:rsid w:val="3DBD2CBA"/>
    <w:rsid w:val="3DD1395F"/>
    <w:rsid w:val="3DDA6145"/>
    <w:rsid w:val="3E043D34"/>
    <w:rsid w:val="3E0A4ADE"/>
    <w:rsid w:val="3E1321C9"/>
    <w:rsid w:val="3E192DA2"/>
    <w:rsid w:val="3E3143FD"/>
    <w:rsid w:val="3E3C17F0"/>
    <w:rsid w:val="3E4660FB"/>
    <w:rsid w:val="3E4B1B1A"/>
    <w:rsid w:val="3E573B2F"/>
    <w:rsid w:val="3E925F20"/>
    <w:rsid w:val="3ECF6DA8"/>
    <w:rsid w:val="3ED5122D"/>
    <w:rsid w:val="3EDE1EF9"/>
    <w:rsid w:val="3EE7611C"/>
    <w:rsid w:val="3F1955BD"/>
    <w:rsid w:val="3F283A52"/>
    <w:rsid w:val="3F516B05"/>
    <w:rsid w:val="3F5D7BA0"/>
    <w:rsid w:val="3F8B6B62"/>
    <w:rsid w:val="3F9335C1"/>
    <w:rsid w:val="3FA7706D"/>
    <w:rsid w:val="3FA94B93"/>
    <w:rsid w:val="3FBD063E"/>
    <w:rsid w:val="3FBD419A"/>
    <w:rsid w:val="40077B0C"/>
    <w:rsid w:val="401E5375"/>
    <w:rsid w:val="404C551E"/>
    <w:rsid w:val="406F1700"/>
    <w:rsid w:val="407046CC"/>
    <w:rsid w:val="40A13ABC"/>
    <w:rsid w:val="40DF6392"/>
    <w:rsid w:val="410155F8"/>
    <w:rsid w:val="41111C5F"/>
    <w:rsid w:val="41483F38"/>
    <w:rsid w:val="41720FB5"/>
    <w:rsid w:val="41964058"/>
    <w:rsid w:val="41EC73B9"/>
    <w:rsid w:val="42152094"/>
    <w:rsid w:val="422C1AAB"/>
    <w:rsid w:val="42424E2B"/>
    <w:rsid w:val="424C202A"/>
    <w:rsid w:val="427F7E2D"/>
    <w:rsid w:val="42984A4B"/>
    <w:rsid w:val="429947A2"/>
    <w:rsid w:val="42C85330"/>
    <w:rsid w:val="42DC527F"/>
    <w:rsid w:val="42E46B1A"/>
    <w:rsid w:val="42EF6D61"/>
    <w:rsid w:val="43301127"/>
    <w:rsid w:val="434D188C"/>
    <w:rsid w:val="439873F8"/>
    <w:rsid w:val="43CE3322"/>
    <w:rsid w:val="43EC2FD6"/>
    <w:rsid w:val="43EC32A0"/>
    <w:rsid w:val="44006D4C"/>
    <w:rsid w:val="441427F7"/>
    <w:rsid w:val="448E6105"/>
    <w:rsid w:val="44AF7030"/>
    <w:rsid w:val="44E81B7F"/>
    <w:rsid w:val="450308A1"/>
    <w:rsid w:val="451A208F"/>
    <w:rsid w:val="45715C8C"/>
    <w:rsid w:val="45D45DCF"/>
    <w:rsid w:val="45E5444B"/>
    <w:rsid w:val="45E7206D"/>
    <w:rsid w:val="45EC3A2B"/>
    <w:rsid w:val="46062C57"/>
    <w:rsid w:val="460743C1"/>
    <w:rsid w:val="46084EAD"/>
    <w:rsid w:val="462431C5"/>
    <w:rsid w:val="465670F7"/>
    <w:rsid w:val="465869CB"/>
    <w:rsid w:val="466510E8"/>
    <w:rsid w:val="46C6427C"/>
    <w:rsid w:val="47857C94"/>
    <w:rsid w:val="48067123"/>
    <w:rsid w:val="48376AB4"/>
    <w:rsid w:val="48416DE2"/>
    <w:rsid w:val="484A67E7"/>
    <w:rsid w:val="485853A8"/>
    <w:rsid w:val="485B375E"/>
    <w:rsid w:val="48645AFB"/>
    <w:rsid w:val="48735D3E"/>
    <w:rsid w:val="48981C49"/>
    <w:rsid w:val="48C20A74"/>
    <w:rsid w:val="48FD1ECC"/>
    <w:rsid w:val="4904108C"/>
    <w:rsid w:val="49067070"/>
    <w:rsid w:val="492359B6"/>
    <w:rsid w:val="49332AF4"/>
    <w:rsid w:val="49352F56"/>
    <w:rsid w:val="49B52386"/>
    <w:rsid w:val="4A077ABF"/>
    <w:rsid w:val="4A253068"/>
    <w:rsid w:val="4A45552A"/>
    <w:rsid w:val="4A535A6E"/>
    <w:rsid w:val="4A7364C9"/>
    <w:rsid w:val="4A881849"/>
    <w:rsid w:val="4A8E3303"/>
    <w:rsid w:val="4A91694F"/>
    <w:rsid w:val="4AAA6714"/>
    <w:rsid w:val="4ABC6C53"/>
    <w:rsid w:val="4AC912E9"/>
    <w:rsid w:val="4ACE3700"/>
    <w:rsid w:val="4AD13FA3"/>
    <w:rsid w:val="4B1B1A3F"/>
    <w:rsid w:val="4B277FE2"/>
    <w:rsid w:val="4B3053A6"/>
    <w:rsid w:val="4B69318E"/>
    <w:rsid w:val="4B721CD3"/>
    <w:rsid w:val="4BAB1C93"/>
    <w:rsid w:val="4BD31F7C"/>
    <w:rsid w:val="4BD905AE"/>
    <w:rsid w:val="4BDD314B"/>
    <w:rsid w:val="4BEB0052"/>
    <w:rsid w:val="4C15535E"/>
    <w:rsid w:val="4C19187B"/>
    <w:rsid w:val="4C431ECB"/>
    <w:rsid w:val="4C7107E7"/>
    <w:rsid w:val="4C9B33F3"/>
    <w:rsid w:val="4CA54673"/>
    <w:rsid w:val="4CD11285"/>
    <w:rsid w:val="4CDB5BF8"/>
    <w:rsid w:val="4CFD5C23"/>
    <w:rsid w:val="4D0A1810"/>
    <w:rsid w:val="4D2515D1"/>
    <w:rsid w:val="4D2B4E39"/>
    <w:rsid w:val="4D427C05"/>
    <w:rsid w:val="4D812CAB"/>
    <w:rsid w:val="4D994499"/>
    <w:rsid w:val="4D9C5D37"/>
    <w:rsid w:val="4DB20B35"/>
    <w:rsid w:val="4DD54DA5"/>
    <w:rsid w:val="4DD74FC1"/>
    <w:rsid w:val="4DE9661E"/>
    <w:rsid w:val="4DF27705"/>
    <w:rsid w:val="4E181FA6"/>
    <w:rsid w:val="4EAA3783"/>
    <w:rsid w:val="4EB07238"/>
    <w:rsid w:val="4EC217CD"/>
    <w:rsid w:val="4ECE6C98"/>
    <w:rsid w:val="4EE35F2B"/>
    <w:rsid w:val="4EE67EB4"/>
    <w:rsid w:val="4EE71234"/>
    <w:rsid w:val="4F1920AD"/>
    <w:rsid w:val="4F2D7040"/>
    <w:rsid w:val="4F351F9F"/>
    <w:rsid w:val="4F624D5E"/>
    <w:rsid w:val="4FAB04B3"/>
    <w:rsid w:val="4FC13833"/>
    <w:rsid w:val="4FC311A7"/>
    <w:rsid w:val="4FC926E8"/>
    <w:rsid w:val="4FCF212F"/>
    <w:rsid w:val="4FE22ECD"/>
    <w:rsid w:val="4FF736F9"/>
    <w:rsid w:val="500F388E"/>
    <w:rsid w:val="50114863"/>
    <w:rsid w:val="501716A5"/>
    <w:rsid w:val="50175D54"/>
    <w:rsid w:val="50EA6DB9"/>
    <w:rsid w:val="50EC2B32"/>
    <w:rsid w:val="5116195C"/>
    <w:rsid w:val="5124051D"/>
    <w:rsid w:val="51257DF2"/>
    <w:rsid w:val="51330760"/>
    <w:rsid w:val="51475FBA"/>
    <w:rsid w:val="517F7502"/>
    <w:rsid w:val="518E5997"/>
    <w:rsid w:val="519C4558"/>
    <w:rsid w:val="51C413B8"/>
    <w:rsid w:val="51C504A8"/>
    <w:rsid w:val="51CC4711"/>
    <w:rsid w:val="51E97071"/>
    <w:rsid w:val="520968EE"/>
    <w:rsid w:val="52224331"/>
    <w:rsid w:val="522400A9"/>
    <w:rsid w:val="525C7843"/>
    <w:rsid w:val="5288636E"/>
    <w:rsid w:val="52E11233"/>
    <w:rsid w:val="52F76B0B"/>
    <w:rsid w:val="5358625C"/>
    <w:rsid w:val="536E5A80"/>
    <w:rsid w:val="537961D3"/>
    <w:rsid w:val="53C71634"/>
    <w:rsid w:val="54063F0A"/>
    <w:rsid w:val="540C5299"/>
    <w:rsid w:val="540E1A8A"/>
    <w:rsid w:val="542832EB"/>
    <w:rsid w:val="54521371"/>
    <w:rsid w:val="54556C40"/>
    <w:rsid w:val="5472078A"/>
    <w:rsid w:val="54C31DFB"/>
    <w:rsid w:val="54C92A81"/>
    <w:rsid w:val="552D54C7"/>
    <w:rsid w:val="553B5E36"/>
    <w:rsid w:val="55480552"/>
    <w:rsid w:val="554963A1"/>
    <w:rsid w:val="55747599"/>
    <w:rsid w:val="55A4789C"/>
    <w:rsid w:val="55DD513F"/>
    <w:rsid w:val="55F75F93"/>
    <w:rsid w:val="55FD758F"/>
    <w:rsid w:val="56580E3C"/>
    <w:rsid w:val="567710EF"/>
    <w:rsid w:val="56B75990"/>
    <w:rsid w:val="56C43C09"/>
    <w:rsid w:val="56C67981"/>
    <w:rsid w:val="56CB143B"/>
    <w:rsid w:val="56D438A9"/>
    <w:rsid w:val="56EE0C86"/>
    <w:rsid w:val="570566FB"/>
    <w:rsid w:val="572A6725"/>
    <w:rsid w:val="572C2786"/>
    <w:rsid w:val="57835872"/>
    <w:rsid w:val="578A4E52"/>
    <w:rsid w:val="57A97271"/>
    <w:rsid w:val="57D35153"/>
    <w:rsid w:val="57D83E10"/>
    <w:rsid w:val="57E722A5"/>
    <w:rsid w:val="580249E9"/>
    <w:rsid w:val="58120A4B"/>
    <w:rsid w:val="58787A9A"/>
    <w:rsid w:val="58975A79"/>
    <w:rsid w:val="58A30F57"/>
    <w:rsid w:val="58C72436"/>
    <w:rsid w:val="58D81BED"/>
    <w:rsid w:val="58F307D5"/>
    <w:rsid w:val="58FF53CC"/>
    <w:rsid w:val="59172716"/>
    <w:rsid w:val="59A321FB"/>
    <w:rsid w:val="59B12B6A"/>
    <w:rsid w:val="5A225816"/>
    <w:rsid w:val="5A3115B5"/>
    <w:rsid w:val="5A4215A5"/>
    <w:rsid w:val="5A7140A7"/>
    <w:rsid w:val="5A7159CB"/>
    <w:rsid w:val="5A84202D"/>
    <w:rsid w:val="5A8D4EC8"/>
    <w:rsid w:val="5ACE7AC6"/>
    <w:rsid w:val="5AD00DCE"/>
    <w:rsid w:val="5AD14B46"/>
    <w:rsid w:val="5AD92379"/>
    <w:rsid w:val="5ADD34EB"/>
    <w:rsid w:val="5B084A0C"/>
    <w:rsid w:val="5B0F5D9A"/>
    <w:rsid w:val="5B152C85"/>
    <w:rsid w:val="5B234DAB"/>
    <w:rsid w:val="5B4B48F9"/>
    <w:rsid w:val="5B4D0671"/>
    <w:rsid w:val="5B811EE9"/>
    <w:rsid w:val="5BA04C44"/>
    <w:rsid w:val="5BC22E0D"/>
    <w:rsid w:val="5BF62AB6"/>
    <w:rsid w:val="5C69139E"/>
    <w:rsid w:val="5C7659A5"/>
    <w:rsid w:val="5C776F19"/>
    <w:rsid w:val="5C9D1184"/>
    <w:rsid w:val="5CC47CC0"/>
    <w:rsid w:val="5D1F7DEB"/>
    <w:rsid w:val="5D2418A5"/>
    <w:rsid w:val="5D5850AB"/>
    <w:rsid w:val="5D6817CC"/>
    <w:rsid w:val="5D813F03"/>
    <w:rsid w:val="5D891708"/>
    <w:rsid w:val="5DC310BE"/>
    <w:rsid w:val="5DC7295C"/>
    <w:rsid w:val="5DDA107D"/>
    <w:rsid w:val="5DE54B90"/>
    <w:rsid w:val="5E062D59"/>
    <w:rsid w:val="5E0C4813"/>
    <w:rsid w:val="5E135BA1"/>
    <w:rsid w:val="5E521F28"/>
    <w:rsid w:val="5E59557E"/>
    <w:rsid w:val="5E631F59"/>
    <w:rsid w:val="5E947CF6"/>
    <w:rsid w:val="5E9C06C0"/>
    <w:rsid w:val="5EB01642"/>
    <w:rsid w:val="5F061262"/>
    <w:rsid w:val="5F103E8F"/>
    <w:rsid w:val="5F5A7800"/>
    <w:rsid w:val="5F813C55"/>
    <w:rsid w:val="5FA6034F"/>
    <w:rsid w:val="5FC5111D"/>
    <w:rsid w:val="5FD51606"/>
    <w:rsid w:val="5FD62369"/>
    <w:rsid w:val="5FFE1F39"/>
    <w:rsid w:val="602F47E9"/>
    <w:rsid w:val="60651FB9"/>
    <w:rsid w:val="60CA4511"/>
    <w:rsid w:val="60CC028A"/>
    <w:rsid w:val="60DA29A7"/>
    <w:rsid w:val="60EC6236"/>
    <w:rsid w:val="60EE0200"/>
    <w:rsid w:val="61025A59"/>
    <w:rsid w:val="610F0176"/>
    <w:rsid w:val="61563F40"/>
    <w:rsid w:val="61581B1D"/>
    <w:rsid w:val="615E2F29"/>
    <w:rsid w:val="61686204"/>
    <w:rsid w:val="61834DEC"/>
    <w:rsid w:val="619B1B56"/>
    <w:rsid w:val="61B72CE8"/>
    <w:rsid w:val="61C7551C"/>
    <w:rsid w:val="61DE0274"/>
    <w:rsid w:val="61F41846"/>
    <w:rsid w:val="620B6B90"/>
    <w:rsid w:val="622C5484"/>
    <w:rsid w:val="626A7D5A"/>
    <w:rsid w:val="628F77C1"/>
    <w:rsid w:val="62BC7E8A"/>
    <w:rsid w:val="62C84A81"/>
    <w:rsid w:val="62CA07F9"/>
    <w:rsid w:val="62E775FD"/>
    <w:rsid w:val="62EA5F00"/>
    <w:rsid w:val="62F37D50"/>
    <w:rsid w:val="62FD0BCE"/>
    <w:rsid w:val="630F26B0"/>
    <w:rsid w:val="63184EA6"/>
    <w:rsid w:val="6353259C"/>
    <w:rsid w:val="63585E05"/>
    <w:rsid w:val="6376143E"/>
    <w:rsid w:val="637675BB"/>
    <w:rsid w:val="637B5C87"/>
    <w:rsid w:val="63DC0BE1"/>
    <w:rsid w:val="640146EE"/>
    <w:rsid w:val="64032DE5"/>
    <w:rsid w:val="64033FC2"/>
    <w:rsid w:val="640F4998"/>
    <w:rsid w:val="642F3009"/>
    <w:rsid w:val="643248A8"/>
    <w:rsid w:val="643E6049"/>
    <w:rsid w:val="64470089"/>
    <w:rsid w:val="64560DC9"/>
    <w:rsid w:val="64581D25"/>
    <w:rsid w:val="646627A3"/>
    <w:rsid w:val="64746C6E"/>
    <w:rsid w:val="64872E45"/>
    <w:rsid w:val="649F5C21"/>
    <w:rsid w:val="64BE5FF1"/>
    <w:rsid w:val="64F12F62"/>
    <w:rsid w:val="653E07D2"/>
    <w:rsid w:val="65493C57"/>
    <w:rsid w:val="65876E75"/>
    <w:rsid w:val="65C300C9"/>
    <w:rsid w:val="65E25469"/>
    <w:rsid w:val="65EF2F86"/>
    <w:rsid w:val="65F13BD8"/>
    <w:rsid w:val="65FC516D"/>
    <w:rsid w:val="6607508D"/>
    <w:rsid w:val="66482160"/>
    <w:rsid w:val="66507267"/>
    <w:rsid w:val="66567ECF"/>
    <w:rsid w:val="666B40A1"/>
    <w:rsid w:val="66794A10"/>
    <w:rsid w:val="668D04BB"/>
    <w:rsid w:val="668F47CF"/>
    <w:rsid w:val="66C67529"/>
    <w:rsid w:val="66D1294E"/>
    <w:rsid w:val="66DB1CF9"/>
    <w:rsid w:val="66F96496"/>
    <w:rsid w:val="66FB3677"/>
    <w:rsid w:val="673821D5"/>
    <w:rsid w:val="6786252D"/>
    <w:rsid w:val="67BF3E48"/>
    <w:rsid w:val="67F00D02"/>
    <w:rsid w:val="682C160E"/>
    <w:rsid w:val="682D5AB2"/>
    <w:rsid w:val="682E182A"/>
    <w:rsid w:val="68351D14"/>
    <w:rsid w:val="684A6664"/>
    <w:rsid w:val="68646FFA"/>
    <w:rsid w:val="68660FC4"/>
    <w:rsid w:val="68B47F81"/>
    <w:rsid w:val="68C33E9D"/>
    <w:rsid w:val="68CE644A"/>
    <w:rsid w:val="69012A9A"/>
    <w:rsid w:val="69083E29"/>
    <w:rsid w:val="69117181"/>
    <w:rsid w:val="691E189E"/>
    <w:rsid w:val="692C5D69"/>
    <w:rsid w:val="69342E70"/>
    <w:rsid w:val="698E07D2"/>
    <w:rsid w:val="69C96332"/>
    <w:rsid w:val="6A022F6E"/>
    <w:rsid w:val="6A4122F5"/>
    <w:rsid w:val="6A5135AE"/>
    <w:rsid w:val="6A6432E1"/>
    <w:rsid w:val="6A856AFE"/>
    <w:rsid w:val="6A9716FC"/>
    <w:rsid w:val="6AD3266D"/>
    <w:rsid w:val="6AE306AA"/>
    <w:rsid w:val="6B1D005F"/>
    <w:rsid w:val="6B3E598B"/>
    <w:rsid w:val="6B5B7C6C"/>
    <w:rsid w:val="6B7B4D86"/>
    <w:rsid w:val="6B864EA6"/>
    <w:rsid w:val="6BA37E39"/>
    <w:rsid w:val="6BC760AC"/>
    <w:rsid w:val="6BEA3CBA"/>
    <w:rsid w:val="6BF63D55"/>
    <w:rsid w:val="6C0B610A"/>
    <w:rsid w:val="6C1A459F"/>
    <w:rsid w:val="6C2816D6"/>
    <w:rsid w:val="6C2C42D2"/>
    <w:rsid w:val="6C3D203B"/>
    <w:rsid w:val="6C44786E"/>
    <w:rsid w:val="6C5555D7"/>
    <w:rsid w:val="6C6121CE"/>
    <w:rsid w:val="6CAB47C9"/>
    <w:rsid w:val="6CAF118B"/>
    <w:rsid w:val="6CD26F07"/>
    <w:rsid w:val="6CDF1345"/>
    <w:rsid w:val="6CED3A62"/>
    <w:rsid w:val="6CED5810"/>
    <w:rsid w:val="6CF070AE"/>
    <w:rsid w:val="6D194857"/>
    <w:rsid w:val="6D1B5985"/>
    <w:rsid w:val="6D372F2F"/>
    <w:rsid w:val="6D4F64CA"/>
    <w:rsid w:val="6D9702C2"/>
    <w:rsid w:val="6DF901E4"/>
    <w:rsid w:val="6DFD5F26"/>
    <w:rsid w:val="6E0A3A02"/>
    <w:rsid w:val="6E1A472B"/>
    <w:rsid w:val="6E2820F9"/>
    <w:rsid w:val="6E31797E"/>
    <w:rsid w:val="6E4C5EDF"/>
    <w:rsid w:val="6E62222D"/>
    <w:rsid w:val="6E667AAA"/>
    <w:rsid w:val="6E95615F"/>
    <w:rsid w:val="6ED00F45"/>
    <w:rsid w:val="6EFC61DE"/>
    <w:rsid w:val="6F5953DE"/>
    <w:rsid w:val="6F6618A9"/>
    <w:rsid w:val="6F6721E9"/>
    <w:rsid w:val="6F712728"/>
    <w:rsid w:val="6F767D3E"/>
    <w:rsid w:val="6F96218E"/>
    <w:rsid w:val="6FB24AEE"/>
    <w:rsid w:val="6FB865A9"/>
    <w:rsid w:val="6FC9117A"/>
    <w:rsid w:val="70001CFE"/>
    <w:rsid w:val="701B08E6"/>
    <w:rsid w:val="701E2184"/>
    <w:rsid w:val="70860455"/>
    <w:rsid w:val="70A628A5"/>
    <w:rsid w:val="70A94143"/>
    <w:rsid w:val="70CE3BAA"/>
    <w:rsid w:val="70DA60AB"/>
    <w:rsid w:val="711E068D"/>
    <w:rsid w:val="71494FDF"/>
    <w:rsid w:val="714F4CEB"/>
    <w:rsid w:val="7157594D"/>
    <w:rsid w:val="718E3E69"/>
    <w:rsid w:val="71922E29"/>
    <w:rsid w:val="71F303C7"/>
    <w:rsid w:val="72013E79"/>
    <w:rsid w:val="720B04B9"/>
    <w:rsid w:val="72483D31"/>
    <w:rsid w:val="7255539E"/>
    <w:rsid w:val="72685DCC"/>
    <w:rsid w:val="727B1B10"/>
    <w:rsid w:val="72BF19FC"/>
    <w:rsid w:val="72F71196"/>
    <w:rsid w:val="72FA6ED8"/>
    <w:rsid w:val="730E4732"/>
    <w:rsid w:val="734A7FD8"/>
    <w:rsid w:val="73B476CA"/>
    <w:rsid w:val="73B9469D"/>
    <w:rsid w:val="740361AD"/>
    <w:rsid w:val="747F7695"/>
    <w:rsid w:val="750C77B8"/>
    <w:rsid w:val="75134281"/>
    <w:rsid w:val="75171B85"/>
    <w:rsid w:val="752B3379"/>
    <w:rsid w:val="7548694E"/>
    <w:rsid w:val="75790588"/>
    <w:rsid w:val="758807CB"/>
    <w:rsid w:val="758F2B31"/>
    <w:rsid w:val="75A60C51"/>
    <w:rsid w:val="75B710B1"/>
    <w:rsid w:val="76522B87"/>
    <w:rsid w:val="766964A3"/>
    <w:rsid w:val="76876CD5"/>
    <w:rsid w:val="76AF1D88"/>
    <w:rsid w:val="76CB7012"/>
    <w:rsid w:val="77004391"/>
    <w:rsid w:val="77046360"/>
    <w:rsid w:val="77250B48"/>
    <w:rsid w:val="7747584D"/>
    <w:rsid w:val="77512E3F"/>
    <w:rsid w:val="77585F7B"/>
    <w:rsid w:val="775A1CF3"/>
    <w:rsid w:val="77A608CC"/>
    <w:rsid w:val="77AB402B"/>
    <w:rsid w:val="77B6491E"/>
    <w:rsid w:val="77DE2925"/>
    <w:rsid w:val="77EB0D23"/>
    <w:rsid w:val="78054355"/>
    <w:rsid w:val="780A371A"/>
    <w:rsid w:val="784D7AAA"/>
    <w:rsid w:val="785D1817"/>
    <w:rsid w:val="78A91184"/>
    <w:rsid w:val="78B83176"/>
    <w:rsid w:val="78BD0EFA"/>
    <w:rsid w:val="78C80EDF"/>
    <w:rsid w:val="78D11888"/>
    <w:rsid w:val="7920024A"/>
    <w:rsid w:val="792E51E6"/>
    <w:rsid w:val="794D2383"/>
    <w:rsid w:val="797F1EE5"/>
    <w:rsid w:val="79802137"/>
    <w:rsid w:val="79865022"/>
    <w:rsid w:val="799A287B"/>
    <w:rsid w:val="799E001E"/>
    <w:rsid w:val="79AE4D15"/>
    <w:rsid w:val="79C57453"/>
    <w:rsid w:val="79E54F49"/>
    <w:rsid w:val="79EB1329"/>
    <w:rsid w:val="79EE4820"/>
    <w:rsid w:val="7A0032B4"/>
    <w:rsid w:val="7A066163"/>
    <w:rsid w:val="7A1513AE"/>
    <w:rsid w:val="7A17211E"/>
    <w:rsid w:val="7A4D1FE3"/>
    <w:rsid w:val="7A7818A0"/>
    <w:rsid w:val="7A8F43AA"/>
    <w:rsid w:val="7ADA0A3D"/>
    <w:rsid w:val="7B007056"/>
    <w:rsid w:val="7B3332E6"/>
    <w:rsid w:val="7B503B39"/>
    <w:rsid w:val="7B62561B"/>
    <w:rsid w:val="7B931C78"/>
    <w:rsid w:val="7B9A6B62"/>
    <w:rsid w:val="7BB75A6B"/>
    <w:rsid w:val="7BD06A28"/>
    <w:rsid w:val="7BD278AA"/>
    <w:rsid w:val="7BD302C6"/>
    <w:rsid w:val="7BF302A3"/>
    <w:rsid w:val="7C2D3E7B"/>
    <w:rsid w:val="7C3D017D"/>
    <w:rsid w:val="7C42402A"/>
    <w:rsid w:val="7C690454"/>
    <w:rsid w:val="7CA51C63"/>
    <w:rsid w:val="7CA915F3"/>
    <w:rsid w:val="7CDF4D92"/>
    <w:rsid w:val="7D177B8B"/>
    <w:rsid w:val="7D537911"/>
    <w:rsid w:val="7D6513F2"/>
    <w:rsid w:val="7D690A8C"/>
    <w:rsid w:val="7D7C30CE"/>
    <w:rsid w:val="7D80622C"/>
    <w:rsid w:val="7D983576"/>
    <w:rsid w:val="7E0C7AC0"/>
    <w:rsid w:val="7E174DE1"/>
    <w:rsid w:val="7E4F632A"/>
    <w:rsid w:val="7E6B2A38"/>
    <w:rsid w:val="7E70004F"/>
    <w:rsid w:val="7E9C2A65"/>
    <w:rsid w:val="7EAC0B6C"/>
    <w:rsid w:val="7EB663A9"/>
    <w:rsid w:val="7EBF5DA6"/>
    <w:rsid w:val="7EE03426"/>
    <w:rsid w:val="7F0864D9"/>
    <w:rsid w:val="7F0A04A3"/>
    <w:rsid w:val="7F4A1A3A"/>
    <w:rsid w:val="7F875650"/>
    <w:rsid w:val="7F9F508F"/>
    <w:rsid w:val="7FA977A8"/>
    <w:rsid w:val="7FDE455C"/>
    <w:rsid w:val="7FE40CF4"/>
    <w:rsid w:val="7FE536E9"/>
    <w:rsid w:val="7FE9455C"/>
    <w:rsid w:val="7FEE5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unhideWhenUsed/>
    <w:qFormat/>
    <w:uiPriority w:val="0"/>
    <w:pPr>
      <w:keepNext/>
      <w:keepLines/>
      <w:spacing w:line="360" w:lineRule="auto"/>
      <w:ind w:firstLine="964"/>
      <w:outlineLvl w:val="1"/>
    </w:pPr>
    <w:rPr>
      <w:rFonts w:ascii="Cambria" w:hAnsi="Cambria" w:eastAsia="仿宋"/>
      <w:b/>
      <w:bCs/>
      <w:sz w:val="30"/>
      <w:szCs w:val="32"/>
    </w:rPr>
  </w:style>
  <w:style w:type="paragraph" w:styleId="6">
    <w:name w:val="heading 3"/>
    <w:basedOn w:val="1"/>
    <w:next w:val="1"/>
    <w:link w:val="28"/>
    <w:autoRedefine/>
    <w:qFormat/>
    <w:uiPriority w:val="9"/>
    <w:pPr>
      <w:keepNext/>
      <w:keepLines/>
      <w:adjustRightInd w:val="0"/>
      <w:spacing w:before="260" w:after="260" w:line="360" w:lineRule="auto"/>
      <w:jc w:val="left"/>
      <w:outlineLvl w:val="2"/>
    </w:pPr>
    <w:rPr>
      <w:rFonts w:eastAsia="黑体"/>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9"/>
    <w:next w:val="10"/>
    <w:autoRedefine/>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line="440" w:lineRule="exact"/>
      <w:jc w:val="left"/>
      <w:outlineLvl w:val="4"/>
    </w:pPr>
    <w:rPr>
      <w:rFonts w:cs="黑体" w:asciiTheme="minorEastAsia" w:hAnsiTheme="minorEastAsia" w:eastAsiaTheme="minorEastAsia"/>
      <w:kern w:val="0"/>
      <w:szCs w:val="21"/>
    </w:rPr>
  </w:style>
  <w:style w:type="paragraph" w:customStyle="1" w:styleId="3">
    <w:name w:val="正文（绿盟科技）"/>
    <w:autoRedefine/>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styleId="9">
    <w:name w:val="List Number 2"/>
    <w:basedOn w:val="1"/>
    <w:autoRedefine/>
    <w:qFormat/>
    <w:uiPriority w:val="0"/>
    <w:pPr>
      <w:numPr>
        <w:ilvl w:val="0"/>
        <w:numId w:val="2"/>
      </w:numPr>
    </w:p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text"/>
    <w:basedOn w:val="1"/>
    <w:link w:val="38"/>
    <w:autoRedefine/>
    <w:unhideWhenUsed/>
    <w:qFormat/>
    <w:uiPriority w:val="99"/>
    <w:pPr>
      <w:jc w:val="left"/>
    </w:pPr>
  </w:style>
  <w:style w:type="paragraph" w:styleId="12">
    <w:name w:val="Body Text"/>
    <w:basedOn w:val="1"/>
    <w:next w:val="1"/>
    <w:autoRedefine/>
    <w:qFormat/>
    <w:uiPriority w:val="1"/>
    <w:rPr>
      <w:b/>
      <w:szCs w:val="24"/>
    </w:rPr>
  </w:style>
  <w:style w:type="paragraph" w:styleId="13">
    <w:name w:val="Plain Text"/>
    <w:basedOn w:val="1"/>
    <w:next w:val="1"/>
    <w:autoRedefine/>
    <w:unhideWhenUsed/>
    <w:qFormat/>
    <w:uiPriority w:val="99"/>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qFormat/>
    <w:uiPriority w:val="39"/>
    <w:pPr>
      <w:ind w:left="420" w:leftChars="200"/>
    </w:pPr>
  </w:style>
  <w:style w:type="paragraph" w:styleId="19">
    <w:name w:val="Body Text 2"/>
    <w:basedOn w:val="1"/>
    <w:next w:val="12"/>
    <w:autoRedefine/>
    <w:qFormat/>
    <w:uiPriority w:val="0"/>
    <w:pPr>
      <w:spacing w:line="480" w:lineRule="auto"/>
    </w:pPr>
    <w:rPr>
      <w:kern w:val="0"/>
      <w:sz w:val="20"/>
    </w:rPr>
  </w:style>
  <w:style w:type="paragraph" w:styleId="20">
    <w:name w:val="annotation subject"/>
    <w:basedOn w:val="11"/>
    <w:next w:val="11"/>
    <w:link w:val="39"/>
    <w:autoRedefine/>
    <w:qFormat/>
    <w:uiPriority w:val="0"/>
    <w:rPr>
      <w:b/>
      <w:bCs/>
    </w:rPr>
  </w:style>
  <w:style w:type="paragraph" w:styleId="21">
    <w:name w:val="Body Text First Indent"/>
    <w:basedOn w:val="12"/>
    <w:autoRedefine/>
    <w:qFormat/>
    <w:uiPriority w:val="0"/>
    <w:pPr>
      <w:spacing w:line="380" w:lineRule="atLeast"/>
      <w:ind w:firstLine="420" w:firstLineChars="100"/>
    </w:pPr>
    <w:rPr>
      <w:rFonts w:ascii="宋体" w:hAnsi="Times New Roman"/>
      <w:kern w:val="0"/>
      <w:sz w:val="20"/>
      <w:szCs w:val="20"/>
    </w:rPr>
  </w:style>
  <w:style w:type="table" w:styleId="23">
    <w:name w:val="Table Grid"/>
    <w:basedOn w:val="2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autoRedefine/>
    <w:qFormat/>
    <w:uiPriority w:val="99"/>
  </w:style>
  <w:style w:type="character" w:styleId="26">
    <w:name w:val="Hyperlink"/>
    <w:autoRedefine/>
    <w:unhideWhenUsed/>
    <w:qFormat/>
    <w:uiPriority w:val="99"/>
    <w:rPr>
      <w:color w:val="0000FF"/>
      <w:u w:val="single"/>
    </w:rPr>
  </w:style>
  <w:style w:type="character" w:styleId="27">
    <w:name w:val="annotation reference"/>
    <w:basedOn w:val="24"/>
    <w:autoRedefine/>
    <w:qFormat/>
    <w:uiPriority w:val="0"/>
    <w:rPr>
      <w:sz w:val="21"/>
      <w:szCs w:val="21"/>
    </w:rPr>
  </w:style>
  <w:style w:type="character" w:customStyle="1" w:styleId="28">
    <w:name w:val="标题 3 Char"/>
    <w:link w:val="6"/>
    <w:autoRedefine/>
    <w:qFormat/>
    <w:uiPriority w:val="0"/>
    <w:rPr>
      <w:rFonts w:eastAsia="黑体"/>
      <w:bCs/>
      <w:sz w:val="32"/>
      <w:szCs w:val="32"/>
    </w:rPr>
  </w:style>
  <w:style w:type="paragraph" w:customStyle="1" w:styleId="29">
    <w:name w:val="null3"/>
    <w:autoRedefine/>
    <w:qFormat/>
    <w:uiPriority w:val="0"/>
    <w:rPr>
      <w:rFonts w:hint="eastAsia" w:ascii="Calibri" w:hAnsi="Calibri" w:eastAsia="宋体" w:cs="Times New Roman"/>
      <w:lang w:val="en-US" w:eastAsia="zh-CN" w:bidi="ar-SA"/>
    </w:rPr>
  </w:style>
  <w:style w:type="paragraph" w:customStyle="1" w:styleId="30">
    <w:name w:val="样式1"/>
    <w:basedOn w:val="1"/>
    <w:autoRedefine/>
    <w:qFormat/>
    <w:uiPriority w:val="0"/>
    <w:pPr>
      <w:jc w:val="center"/>
    </w:pPr>
    <w:rPr>
      <w:rFonts w:eastAsia="方正大标宋简体"/>
      <w:sz w:val="52"/>
    </w:rPr>
  </w:style>
  <w:style w:type="paragraph" w:customStyle="1" w:styleId="31">
    <w:name w:val="Normal Indent1"/>
    <w:autoRedefine/>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Table Paragraph"/>
    <w:basedOn w:val="1"/>
    <w:autoRedefine/>
    <w:unhideWhenUsed/>
    <w:qFormat/>
    <w:uiPriority w:val="1"/>
    <w:rPr>
      <w:sz w:val="24"/>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批注框文本 Char"/>
    <w:basedOn w:val="24"/>
    <w:link w:val="14"/>
    <w:autoRedefine/>
    <w:qFormat/>
    <w:uiPriority w:val="0"/>
    <w:rPr>
      <w:rFonts w:ascii="Calibri" w:hAnsi="Calibri"/>
      <w:kern w:val="2"/>
      <w:sz w:val="18"/>
      <w:szCs w:val="18"/>
    </w:rPr>
  </w:style>
  <w:style w:type="character" w:customStyle="1" w:styleId="37">
    <w:name w:val="页眉 Char"/>
    <w:basedOn w:val="24"/>
    <w:link w:val="16"/>
    <w:autoRedefine/>
    <w:qFormat/>
    <w:uiPriority w:val="0"/>
    <w:rPr>
      <w:rFonts w:ascii="Calibri" w:hAnsi="Calibri"/>
      <w:kern w:val="2"/>
      <w:sz w:val="18"/>
      <w:szCs w:val="18"/>
    </w:rPr>
  </w:style>
  <w:style w:type="character" w:customStyle="1" w:styleId="38">
    <w:name w:val="批注文字 Char"/>
    <w:basedOn w:val="24"/>
    <w:link w:val="11"/>
    <w:autoRedefine/>
    <w:qFormat/>
    <w:uiPriority w:val="99"/>
    <w:rPr>
      <w:rFonts w:ascii="Calibri" w:hAnsi="Calibri"/>
      <w:kern w:val="2"/>
      <w:sz w:val="21"/>
      <w:szCs w:val="22"/>
    </w:rPr>
  </w:style>
  <w:style w:type="character" w:customStyle="1" w:styleId="39">
    <w:name w:val="批注主题 Char"/>
    <w:basedOn w:val="38"/>
    <w:link w:val="2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A8F74-F032-4922-A7AC-11A02A05BB2B}">
  <ds:schemaRefs/>
</ds:datastoreItem>
</file>

<file path=docProps/app.xml><?xml version="1.0" encoding="utf-8"?>
<Properties xmlns="http://schemas.openxmlformats.org/officeDocument/2006/extended-properties" xmlns:vt="http://schemas.openxmlformats.org/officeDocument/2006/docPropsVTypes">
  <Template>Normal</Template>
  <Pages>84</Pages>
  <Words>7260</Words>
  <Characters>41383</Characters>
  <Lines>344</Lines>
  <Paragraphs>97</Paragraphs>
  <TotalTime>47</TotalTime>
  <ScaleCrop>false</ScaleCrop>
  <LinksUpToDate>false</LinksUpToDate>
  <CharactersWithSpaces>48546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2024-04-16T10:04:00Z</dcterms:created>
  <dc:creator>宁冰</dc:creator>
  <cp:lastModifiedBy>代理姚茜</cp:lastModifiedBy>
  <dcterms:modified xsi:type="dcterms:W3CDTF">2024-05-14T00:39:44Z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5154F69CDA334EEF8CA1B211576C554F_12</vt:lpwstr>
  </property>
</Properties>
</file>