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s="Times New Roman"/>
          <w:b/>
          <w:sz w:val="44"/>
          <w:szCs w:val="44"/>
        </w:rPr>
      </w:pPr>
      <w:r>
        <w:rPr>
          <w:rFonts w:hint="eastAsia" w:ascii="方正小标宋简体" w:hAnsi="仿宋" w:eastAsia="方正小标宋简体" w:cs="Times New Roman"/>
          <w:b/>
          <w:sz w:val="44"/>
          <w:szCs w:val="44"/>
        </w:rPr>
        <w:t>2024年安全设备升级项目</w:t>
      </w:r>
    </w:p>
    <w:p>
      <w:pPr>
        <w:jc w:val="center"/>
        <w:rPr>
          <w:rFonts w:ascii="方正小标宋简体" w:hAnsi="仿宋" w:eastAsia="方正小标宋简体"/>
          <w:b/>
          <w:sz w:val="44"/>
          <w:szCs w:val="44"/>
        </w:rPr>
      </w:pPr>
      <w:r>
        <w:rPr>
          <w:rFonts w:hint="eastAsia" w:ascii="方正小标宋简体" w:hAnsi="仿宋" w:eastAsia="方正小标宋简体" w:cs="Times New Roman"/>
          <w:b/>
          <w:sz w:val="44"/>
          <w:szCs w:val="44"/>
        </w:rPr>
        <w:t>采购需求</w:t>
      </w:r>
    </w:p>
    <w:p>
      <w:pPr>
        <w:pStyle w:val="4"/>
        <w:spacing w:line="360" w:lineRule="auto"/>
        <w:jc w:val="left"/>
        <w:rPr>
          <w:rFonts w:hAnsi="宋体"/>
          <w:b/>
          <w:sz w:val="28"/>
          <w:szCs w:val="28"/>
        </w:rPr>
      </w:pPr>
      <w:r>
        <w:rPr>
          <w:rFonts w:hint="eastAsia" w:hAnsi="宋体"/>
          <w:b/>
          <w:sz w:val="28"/>
          <w:szCs w:val="28"/>
        </w:rPr>
        <w:t>一、项目预算金额：22</w:t>
      </w:r>
      <w:r>
        <w:rPr>
          <w:rFonts w:hint="eastAsia" w:hAnsi="宋体"/>
          <w:b/>
          <w:sz w:val="28"/>
          <w:szCs w:val="28"/>
          <w:lang w:val="en-US" w:eastAsia="zh-CN"/>
        </w:rPr>
        <w:t>6</w:t>
      </w:r>
      <w:r>
        <w:rPr>
          <w:rFonts w:hint="eastAsia" w:hAnsi="宋体"/>
          <w:b/>
          <w:sz w:val="28"/>
          <w:szCs w:val="28"/>
        </w:rPr>
        <w:t>万元。</w:t>
      </w:r>
    </w:p>
    <w:p>
      <w:pPr>
        <w:pStyle w:val="4"/>
        <w:jc w:val="left"/>
        <w:outlineLvl w:val="0"/>
        <w:rPr>
          <w:rFonts w:hAnsi="宋体"/>
          <w:b/>
          <w:sz w:val="28"/>
          <w:szCs w:val="28"/>
        </w:rPr>
      </w:pPr>
      <w:r>
        <w:rPr>
          <w:rFonts w:hint="eastAsia" w:hAnsi="宋体"/>
          <w:b/>
          <w:sz w:val="28"/>
          <w:szCs w:val="28"/>
        </w:rPr>
        <w:t>二、不面向中小企业，行业标准为软件和信息技术服务业。</w:t>
      </w:r>
    </w:p>
    <w:tbl>
      <w:tblPr>
        <w:tblStyle w:val="9"/>
        <w:tblW w:w="5462" w:type="pct"/>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147"/>
        <w:gridCol w:w="1004"/>
        <w:gridCol w:w="6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gridSpan w:val="4"/>
            <w:tcBorders>
              <w:top w:val="nil"/>
              <w:left w:val="nil"/>
              <w:bottom w:val="nil"/>
              <w:right w:val="nil"/>
            </w:tcBorders>
            <w:shd w:val="clear" w:color="auto" w:fill="FFFFFF" w:themeFill="background1"/>
            <w:vAlign w:val="center"/>
          </w:tcPr>
          <w:p>
            <w:pPr>
              <w:pStyle w:val="3"/>
              <w:rPr>
                <w:rFonts w:ascii="仿宋_GB2312" w:eastAsia="仿宋_GB2312"/>
                <w:sz w:val="24"/>
                <w:szCs w:val="24"/>
                <w:highlight w:val="none"/>
              </w:rPr>
            </w:pPr>
            <w:r>
              <w:rPr>
                <w:rFonts w:hint="eastAsia" w:ascii="宋体" w:hAnsi="宋体" w:cs="宋体"/>
                <w:b/>
                <w:kern w:val="0"/>
                <w:sz w:val="28"/>
                <w:szCs w:val="28"/>
                <w:highlight w:val="none"/>
              </w:rPr>
              <w:t xml:space="preserve">  三、采购需求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000" w:type="pct"/>
            <w:gridSpan w:val="4"/>
            <w:tcBorders>
              <w:top w:val="single" w:color="auto" w:sz="4" w:space="0"/>
            </w:tcBorders>
            <w:shd w:val="clear" w:color="auto" w:fill="FFFFFF" w:themeFill="background1"/>
            <w:vAlign w:val="center"/>
          </w:tcPr>
          <w:p>
            <w:pPr>
              <w:rPr>
                <w:rFonts w:ascii="仿宋" w:hAnsi="仿宋" w:eastAsia="仿宋"/>
                <w:bCs/>
                <w:sz w:val="24"/>
                <w:szCs w:val="24"/>
                <w:highlight w:val="none"/>
              </w:rPr>
            </w:pPr>
            <w:r>
              <w:rPr>
                <w:rFonts w:hint="eastAsia" w:ascii="仿宋" w:hAnsi="仿宋" w:eastAsia="仿宋"/>
                <w:sz w:val="24"/>
                <w:szCs w:val="24"/>
                <w:highlight w:val="none"/>
              </w:rPr>
              <w:t>一、项目要求及技术需求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8" w:type="pct"/>
            <w:shd w:val="clear" w:color="auto" w:fill="FFFFFF" w:themeFill="background1"/>
            <w:vAlign w:val="center"/>
          </w:tcPr>
          <w:p>
            <w:pPr>
              <w:jc w:val="center"/>
              <w:rPr>
                <w:rFonts w:ascii="仿宋" w:hAnsi="仿宋" w:eastAsia="仿宋"/>
                <w:bCs/>
                <w:sz w:val="24"/>
                <w:szCs w:val="24"/>
                <w:highlight w:val="none"/>
              </w:rPr>
            </w:pPr>
            <w:r>
              <w:rPr>
                <w:rFonts w:hint="eastAsia" w:ascii="仿宋" w:hAnsi="仿宋" w:eastAsia="仿宋"/>
                <w:bCs/>
                <w:sz w:val="24"/>
                <w:szCs w:val="24"/>
                <w:highlight w:val="none"/>
              </w:rPr>
              <w:t>序号</w:t>
            </w:r>
          </w:p>
        </w:tc>
        <w:tc>
          <w:tcPr>
            <w:tcW w:w="616" w:type="pct"/>
            <w:shd w:val="clear" w:color="auto" w:fill="FFFFFF" w:themeFill="background1"/>
            <w:vAlign w:val="center"/>
          </w:tcPr>
          <w:p>
            <w:pPr>
              <w:jc w:val="center"/>
              <w:rPr>
                <w:rFonts w:ascii="仿宋" w:hAnsi="仿宋" w:eastAsia="仿宋"/>
                <w:bCs/>
                <w:sz w:val="24"/>
                <w:szCs w:val="24"/>
                <w:highlight w:val="none"/>
              </w:rPr>
            </w:pPr>
            <w:r>
              <w:rPr>
                <w:rFonts w:hint="eastAsia" w:ascii="仿宋" w:hAnsi="仿宋" w:eastAsia="仿宋"/>
                <w:bCs/>
                <w:sz w:val="24"/>
                <w:szCs w:val="24"/>
                <w:highlight w:val="none"/>
              </w:rPr>
              <w:t>产品名称或标的名称</w:t>
            </w:r>
          </w:p>
        </w:tc>
        <w:tc>
          <w:tcPr>
            <w:tcW w:w="539" w:type="pct"/>
            <w:shd w:val="clear" w:color="auto" w:fill="FFFFFF" w:themeFill="background1"/>
            <w:vAlign w:val="center"/>
          </w:tcPr>
          <w:p>
            <w:pPr>
              <w:jc w:val="center"/>
              <w:rPr>
                <w:rFonts w:ascii="仿宋" w:hAnsi="仿宋" w:eastAsia="仿宋"/>
                <w:bCs/>
                <w:sz w:val="24"/>
                <w:szCs w:val="24"/>
                <w:highlight w:val="none"/>
              </w:rPr>
            </w:pPr>
            <w:r>
              <w:rPr>
                <w:rFonts w:hint="eastAsia" w:ascii="仿宋" w:hAnsi="仿宋" w:eastAsia="仿宋"/>
                <w:bCs/>
                <w:sz w:val="24"/>
                <w:szCs w:val="24"/>
                <w:highlight w:val="none"/>
              </w:rPr>
              <w:t>数量及单位</w:t>
            </w:r>
          </w:p>
        </w:tc>
        <w:tc>
          <w:tcPr>
            <w:tcW w:w="3437" w:type="pct"/>
            <w:shd w:val="clear" w:color="auto" w:fill="FFFFFF" w:themeFill="background1"/>
            <w:vAlign w:val="center"/>
          </w:tcPr>
          <w:p>
            <w:pPr>
              <w:jc w:val="center"/>
              <w:rPr>
                <w:rFonts w:ascii="仿宋" w:hAnsi="仿宋" w:eastAsia="仿宋"/>
                <w:bCs/>
                <w:sz w:val="24"/>
                <w:szCs w:val="24"/>
                <w:highlight w:val="none"/>
              </w:rPr>
            </w:pPr>
            <w:r>
              <w:rPr>
                <w:rFonts w:hint="eastAsia" w:ascii="仿宋" w:hAnsi="仿宋" w:eastAsia="仿宋"/>
                <w:bCs/>
                <w:sz w:val="24"/>
                <w:szCs w:val="24"/>
                <w:highlight w:val="none"/>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1</w:t>
            </w:r>
          </w:p>
        </w:tc>
        <w:tc>
          <w:tcPr>
            <w:tcW w:w="616" w:type="pct"/>
            <w:vAlign w:val="center"/>
          </w:tcPr>
          <w:p>
            <w:pPr>
              <w:jc w:val="center"/>
              <w:rPr>
                <w:rFonts w:ascii="仿宋" w:hAnsi="仿宋" w:eastAsia="仿宋"/>
                <w:sz w:val="24"/>
                <w:szCs w:val="24"/>
                <w:highlight w:val="none"/>
              </w:rPr>
            </w:pPr>
            <w:r>
              <w:rPr>
                <w:rFonts w:ascii="仿宋" w:hAnsi="仿宋" w:eastAsia="仿宋"/>
                <w:sz w:val="24"/>
                <w:szCs w:val="24"/>
                <w:highlight w:val="none"/>
              </w:rPr>
              <w:t>Web漏洞感知系统</w:t>
            </w:r>
          </w:p>
        </w:tc>
        <w:tc>
          <w:tcPr>
            <w:tcW w:w="539" w:type="pct"/>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2台</w:t>
            </w:r>
          </w:p>
        </w:tc>
        <w:tc>
          <w:tcPr>
            <w:tcW w:w="3437" w:type="pct"/>
            <w:vAlign w:val="center"/>
          </w:tcPr>
          <w:p>
            <w:pPr>
              <w:pStyle w:val="14"/>
              <w:numPr>
                <w:ilvl w:val="0"/>
                <w:numId w:val="1"/>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★硬件配置：机架式设备≤</w:t>
            </w:r>
            <w:r>
              <w:rPr>
                <w:rFonts w:ascii="仿宋" w:hAnsi="仿宋" w:eastAsia="仿宋" w:cs="宋体"/>
                <w:kern w:val="0"/>
                <w:sz w:val="24"/>
                <w:szCs w:val="24"/>
                <w:highlight w:val="none"/>
              </w:rPr>
              <w:t>2U，冗余电源，CPU核数≥8核；内存容量≥64G；硬盘容量≥20TB ；管理口≥1</w:t>
            </w:r>
            <w:r>
              <w:rPr>
                <w:rFonts w:hint="eastAsia" w:ascii="仿宋" w:hAnsi="仿宋" w:eastAsia="仿宋" w:cs="宋体"/>
                <w:kern w:val="0"/>
                <w:sz w:val="24"/>
                <w:szCs w:val="24"/>
                <w:highlight w:val="none"/>
              </w:rPr>
              <w:t>个</w:t>
            </w:r>
            <w:r>
              <w:rPr>
                <w:rFonts w:ascii="仿宋" w:hAnsi="仿宋" w:eastAsia="仿宋" w:cs="宋体"/>
                <w:kern w:val="0"/>
                <w:sz w:val="24"/>
                <w:szCs w:val="24"/>
                <w:highlight w:val="none"/>
              </w:rPr>
              <w:t>；千兆电口≥4</w:t>
            </w:r>
            <w:r>
              <w:rPr>
                <w:rFonts w:hint="eastAsia" w:ascii="仿宋" w:hAnsi="仿宋" w:eastAsia="仿宋" w:cs="宋体"/>
                <w:kern w:val="0"/>
                <w:sz w:val="24"/>
                <w:szCs w:val="24"/>
                <w:highlight w:val="none"/>
              </w:rPr>
              <w:t>个</w:t>
            </w:r>
            <w:r>
              <w:rPr>
                <w:rFonts w:ascii="仿宋" w:hAnsi="仿宋" w:eastAsia="仿宋" w:cs="宋体"/>
                <w:kern w:val="0"/>
                <w:sz w:val="24"/>
                <w:szCs w:val="24"/>
                <w:highlight w:val="none"/>
              </w:rPr>
              <w:t>；万兆光口≥2</w:t>
            </w:r>
            <w:r>
              <w:rPr>
                <w:rFonts w:hint="eastAsia" w:ascii="仿宋" w:hAnsi="仿宋" w:eastAsia="仿宋" w:cs="宋体"/>
                <w:kern w:val="0"/>
                <w:sz w:val="24"/>
                <w:szCs w:val="24"/>
                <w:highlight w:val="none"/>
              </w:rPr>
              <w:t>个（含万兆多模光模块）</w:t>
            </w:r>
            <w:r>
              <w:rPr>
                <w:rFonts w:ascii="仿宋" w:hAnsi="仿宋" w:eastAsia="仿宋" w:cs="宋体"/>
                <w:kern w:val="0"/>
                <w:sz w:val="24"/>
                <w:szCs w:val="24"/>
                <w:highlight w:val="none"/>
              </w:rPr>
              <w:t>；</w:t>
            </w:r>
          </w:p>
          <w:p>
            <w:pPr>
              <w:pStyle w:val="14"/>
              <w:numPr>
                <w:ilvl w:val="0"/>
                <w:numId w:val="1"/>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性能要求：处理能力≥</w:t>
            </w:r>
            <w:r>
              <w:rPr>
                <w:rFonts w:ascii="仿宋" w:hAnsi="仿宋" w:eastAsia="仿宋" w:cs="宋体"/>
                <w:kern w:val="0"/>
                <w:sz w:val="24"/>
                <w:szCs w:val="24"/>
                <w:highlight w:val="none"/>
              </w:rPr>
              <w:t>2Gbps ；监控并发连接数≥200万；IP碎片包重组能力≥20M；</w:t>
            </w:r>
            <w:r>
              <w:rPr>
                <w:rFonts w:hint="eastAsia" w:ascii="仿宋" w:hAnsi="仿宋" w:eastAsia="仿宋" w:cs="宋体"/>
                <w:kern w:val="0"/>
                <w:sz w:val="24"/>
                <w:szCs w:val="24"/>
                <w:highlight w:val="none"/>
              </w:rPr>
              <w:t>支持保存</w:t>
            </w:r>
            <w:r>
              <w:rPr>
                <w:rFonts w:ascii="仿宋" w:hAnsi="仿宋" w:eastAsia="仿宋" w:cs="宋体"/>
                <w:kern w:val="0"/>
                <w:sz w:val="24"/>
                <w:szCs w:val="24"/>
                <w:highlight w:val="none"/>
              </w:rPr>
              <w:t>1-6个月的Web双向数据包，同时能够保存请</w:t>
            </w:r>
            <w:bookmarkStart w:id="0" w:name="_GoBack"/>
            <w:bookmarkEnd w:id="0"/>
            <w:r>
              <w:rPr>
                <w:rFonts w:ascii="仿宋" w:hAnsi="仿宋" w:eastAsia="仿宋" w:cs="宋体"/>
                <w:kern w:val="0"/>
                <w:sz w:val="24"/>
                <w:szCs w:val="24"/>
                <w:highlight w:val="none"/>
              </w:rPr>
              <w:t>求包和响应包。</w:t>
            </w:r>
            <w:r>
              <w:rPr>
                <w:rFonts w:hint="eastAsia" w:ascii="仿宋" w:hAnsi="仿宋" w:eastAsia="仿宋" w:cs="宋体"/>
                <w:kern w:val="0"/>
                <w:sz w:val="24"/>
                <w:szCs w:val="24"/>
                <w:highlight w:val="none"/>
              </w:rPr>
              <w:t>检测规则数量不少于</w:t>
            </w:r>
            <w:r>
              <w:rPr>
                <w:rFonts w:ascii="仿宋" w:hAnsi="仿宋" w:eastAsia="仿宋" w:cs="宋体"/>
                <w:kern w:val="0"/>
                <w:sz w:val="24"/>
                <w:szCs w:val="24"/>
                <w:highlight w:val="none"/>
              </w:rPr>
              <w:t>200种。</w:t>
            </w:r>
          </w:p>
          <w:p>
            <w:pPr>
              <w:pStyle w:val="14"/>
              <w:numPr>
                <w:ilvl w:val="0"/>
                <w:numId w:val="1"/>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部署要求：支持旁路部署模式；系统管理可支持</w:t>
            </w:r>
            <w:r>
              <w:rPr>
                <w:rFonts w:ascii="仿宋" w:hAnsi="仿宋" w:eastAsia="仿宋" w:cs="宋体"/>
                <w:kern w:val="0"/>
                <w:sz w:val="24"/>
                <w:szCs w:val="24"/>
                <w:highlight w:val="none"/>
              </w:rPr>
              <w:t>IPv4，可扩展IPv6协议</w:t>
            </w:r>
            <w:r>
              <w:rPr>
                <w:rFonts w:hint="eastAsia" w:ascii="仿宋" w:hAnsi="仿宋" w:eastAsia="仿宋" w:cs="宋体"/>
                <w:kern w:val="0"/>
                <w:sz w:val="24"/>
                <w:szCs w:val="24"/>
                <w:highlight w:val="none"/>
              </w:rPr>
              <w:t>;</w:t>
            </w:r>
          </w:p>
          <w:p>
            <w:pPr>
              <w:pStyle w:val="14"/>
              <w:numPr>
                <w:ilvl w:val="0"/>
                <w:numId w:val="1"/>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数据采集探测能力：</w:t>
            </w:r>
          </w:p>
          <w:p>
            <w:pPr>
              <w:pStyle w:val="14"/>
              <w:numPr>
                <w:ilvl w:val="0"/>
                <w:numId w:val="2"/>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w:t>
            </w:r>
            <w:r>
              <w:rPr>
                <w:rFonts w:ascii="仿宋" w:hAnsi="仿宋" w:eastAsia="仿宋" w:cs="宋体"/>
                <w:kern w:val="0"/>
                <w:sz w:val="24"/>
                <w:szCs w:val="24"/>
                <w:highlight w:val="none"/>
              </w:rPr>
              <w:t>ASCII、UNICODE等编码解码，将复杂编码后的数据还原为最基本的数据格式进行检测，以便有效防止黑客利用大小写变换、ASCII编码、UNICODE编码、注释、混淆等方式绕过检测引擎。</w:t>
            </w:r>
          </w:p>
          <w:p>
            <w:pPr>
              <w:pStyle w:val="14"/>
              <w:numPr>
                <w:ilvl w:val="0"/>
                <w:numId w:val="2"/>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支持分析基于</w:t>
            </w:r>
            <w:r>
              <w:rPr>
                <w:rFonts w:ascii="仿宋" w:hAnsi="仿宋" w:eastAsia="仿宋" w:cs="宋体"/>
                <w:kern w:val="0"/>
                <w:sz w:val="24"/>
                <w:szCs w:val="24"/>
                <w:highlight w:val="none"/>
              </w:rPr>
              <w:t>TCP、UDP、ICMP、ARP、RIP、RPC、HTTP、FTP、TFTP、IMAP、SNMP、TELNET、DNS、SMTP、POP3、NETBIOS、NFS等协议的事件。</w:t>
            </w:r>
          </w:p>
          <w:p>
            <w:pPr>
              <w:pStyle w:val="14"/>
              <w:numPr>
                <w:ilvl w:val="0"/>
                <w:numId w:val="2"/>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支持监视端口扫描、强力攻击、木马后门攻击、拒绝服务攻击、缓冲区溢出攻击、</w:t>
            </w:r>
            <w:r>
              <w:rPr>
                <w:rFonts w:ascii="仿宋" w:hAnsi="仿宋" w:eastAsia="仿宋" w:cs="宋体"/>
                <w:kern w:val="0"/>
                <w:sz w:val="24"/>
                <w:szCs w:val="24"/>
                <w:highlight w:val="none"/>
              </w:rPr>
              <w:t>IP碎片攻击、网络蠕虫攻击、文件脆弱性攻击、浏览器脆弱性攻击、应用层安全漏洞攻击等攻击行为。</w:t>
            </w:r>
          </w:p>
          <w:p>
            <w:pPr>
              <w:pStyle w:val="14"/>
              <w:numPr>
                <w:ilvl w:val="0"/>
                <w:numId w:val="1"/>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威胁检测能力：</w:t>
            </w:r>
          </w:p>
          <w:p>
            <w:pPr>
              <w:pStyle w:val="14"/>
              <w:numPr>
                <w:ilvl w:val="0"/>
                <w:numId w:val="3"/>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具备对</w:t>
            </w:r>
            <w:r>
              <w:rPr>
                <w:rFonts w:ascii="仿宋" w:hAnsi="仿宋" w:eastAsia="仿宋" w:cs="宋体"/>
                <w:kern w:val="0"/>
                <w:sz w:val="24"/>
                <w:szCs w:val="24"/>
                <w:highlight w:val="none"/>
              </w:rPr>
              <w:t>OWASP Top10的Web应用攻击检测能力，具备Web漏洞感知和Web入侵分析两种功能，能够识别包括：SQL注入、XSS跨站攻击、OS命令注入、WEB文件泄露、目录遍历、命令执行、文件包含、web后门、暴力破解等攻击。</w:t>
            </w:r>
          </w:p>
          <w:p>
            <w:pPr>
              <w:pStyle w:val="14"/>
              <w:numPr>
                <w:ilvl w:val="0"/>
                <w:numId w:val="3"/>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w:t>
            </w:r>
            <w:r>
              <w:rPr>
                <w:rFonts w:ascii="仿宋" w:hAnsi="仿宋" w:eastAsia="仿宋" w:cs="宋体"/>
                <w:kern w:val="0"/>
                <w:sz w:val="24"/>
                <w:szCs w:val="24"/>
                <w:highlight w:val="none"/>
              </w:rPr>
              <w:t>http会话双向数据流的追踪和检测分析，如服务器返回的网页中包含特定敏感关键字、泄密数据库信息时报警。</w:t>
            </w:r>
          </w:p>
          <w:p>
            <w:pPr>
              <w:pStyle w:val="14"/>
              <w:numPr>
                <w:ilvl w:val="0"/>
                <w:numId w:val="3"/>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w:t>
            </w:r>
            <w:r>
              <w:rPr>
                <w:rFonts w:ascii="仿宋" w:hAnsi="仿宋" w:eastAsia="仿宋" w:cs="宋体"/>
                <w:kern w:val="0"/>
                <w:sz w:val="24"/>
                <w:szCs w:val="24"/>
                <w:highlight w:val="none"/>
              </w:rPr>
              <w:t>http、mysql、ssh、smb、ftp、远程桌面等协议的双向分析。可在同一个规则内关联分析一个TCP会话的双向报文，当请求包含有指定攻击报文，返回包含有受影响的报文时，才发出报警。在同一条报警日志中要求同时展示双向报文，同时针对每条单独的告警下载PCAP报文。</w:t>
            </w:r>
            <w:r>
              <w:rPr>
                <w:rFonts w:hint="eastAsia" w:ascii="仿宋" w:hAnsi="仿宋" w:eastAsia="仿宋" w:cs="宋体"/>
                <w:kern w:val="0"/>
                <w:sz w:val="24"/>
                <w:szCs w:val="24"/>
                <w:highlight w:val="none"/>
              </w:rPr>
              <w:t>（投标文件中提供相应功能截图证明）</w:t>
            </w:r>
          </w:p>
          <w:p>
            <w:pPr>
              <w:pStyle w:val="14"/>
              <w:numPr>
                <w:ilvl w:val="0"/>
                <w:numId w:val="3"/>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数据防泄漏：支持检测服务器泄漏大型数据文件事件</w:t>
            </w:r>
            <w:r>
              <w:rPr>
                <w:rFonts w:ascii="仿宋" w:hAnsi="仿宋" w:eastAsia="仿宋" w:cs="宋体"/>
                <w:kern w:val="0"/>
                <w:sz w:val="24"/>
                <w:szCs w:val="24"/>
                <w:highlight w:val="none"/>
              </w:rPr>
              <w:t>,如服务器返回超过20兆的数据文件。</w:t>
            </w:r>
          </w:p>
          <w:p>
            <w:pPr>
              <w:pStyle w:val="14"/>
              <w:numPr>
                <w:ilvl w:val="0"/>
                <w:numId w:val="1"/>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DNS检测能力：域名解析：支持对访问的所有域名进行解析和分析（包含正常的访问记录），并记录的字段包括：会话时间、来源</w:t>
            </w:r>
            <w:r>
              <w:rPr>
                <w:rFonts w:ascii="仿宋" w:hAnsi="仿宋" w:eastAsia="仿宋" w:cs="宋体"/>
                <w:kern w:val="0"/>
                <w:sz w:val="24"/>
                <w:szCs w:val="24"/>
                <w:highlight w:val="none"/>
              </w:rPr>
              <w:t>IP、域名IP、DNS服务器IP、DNS返回记录、查询域名、协议、长度、数据源、信息摘要等。</w:t>
            </w:r>
            <w:r>
              <w:rPr>
                <w:rFonts w:hint="eastAsia" w:ascii="仿宋" w:hAnsi="仿宋" w:eastAsia="仿宋" w:cs="宋体"/>
                <w:kern w:val="0"/>
                <w:sz w:val="24"/>
                <w:szCs w:val="24"/>
                <w:highlight w:val="none"/>
              </w:rPr>
              <w:t>（投标文件中提供相应功能截图证明）</w:t>
            </w:r>
          </w:p>
          <w:p>
            <w:pPr>
              <w:pStyle w:val="14"/>
              <w:numPr>
                <w:ilvl w:val="0"/>
                <w:numId w:val="1"/>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风险告警能力：</w:t>
            </w:r>
          </w:p>
          <w:p>
            <w:pPr>
              <w:pStyle w:val="14"/>
              <w:numPr>
                <w:ilvl w:val="0"/>
                <w:numId w:val="4"/>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支持提供充足证明此次告警的信息，报警内容包含完整的双向数据包，包括</w:t>
            </w:r>
            <w:r>
              <w:rPr>
                <w:rFonts w:ascii="仿宋" w:hAnsi="仿宋" w:eastAsia="仿宋" w:cs="宋体"/>
                <w:kern w:val="0"/>
                <w:sz w:val="24"/>
                <w:szCs w:val="24"/>
                <w:highlight w:val="none"/>
              </w:rPr>
              <w:t>HTTP报文头部、URL、POST数据包，以及服务器返回的内容，同时针对每条单独的告警下载PCAP报文。</w:t>
            </w:r>
          </w:p>
          <w:p>
            <w:pPr>
              <w:pStyle w:val="14"/>
              <w:numPr>
                <w:ilvl w:val="0"/>
                <w:numId w:val="4"/>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★支持以网页快照形式展示服务器返回的内容。（投标文件中提供相应功能截图证明）</w:t>
            </w:r>
          </w:p>
          <w:p>
            <w:pPr>
              <w:pStyle w:val="14"/>
              <w:numPr>
                <w:ilvl w:val="0"/>
                <w:numId w:val="4"/>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★支持在告警中展示数据包交互的文件，如</w:t>
            </w:r>
            <w:r>
              <w:rPr>
                <w:rFonts w:ascii="仿宋" w:hAnsi="仿宋" w:eastAsia="仿宋" w:cs="宋体"/>
                <w:kern w:val="0"/>
                <w:sz w:val="24"/>
                <w:szCs w:val="24"/>
                <w:highlight w:val="none"/>
              </w:rPr>
              <w:t>:PDF、word、excel</w:t>
            </w:r>
            <w:r>
              <w:rPr>
                <w:rFonts w:hint="eastAsia" w:ascii="仿宋" w:hAnsi="仿宋" w:eastAsia="仿宋" w:cs="宋体"/>
                <w:kern w:val="0"/>
                <w:sz w:val="24"/>
                <w:szCs w:val="24"/>
                <w:highlight w:val="none"/>
              </w:rPr>
              <w:t>、exe</w:t>
            </w:r>
            <w:r>
              <w:rPr>
                <w:rFonts w:ascii="仿宋" w:hAnsi="仿宋" w:eastAsia="仿宋" w:cs="宋体"/>
                <w:kern w:val="0"/>
                <w:sz w:val="24"/>
                <w:szCs w:val="24"/>
                <w:highlight w:val="none"/>
              </w:rPr>
              <w:t>等</w:t>
            </w:r>
            <w:r>
              <w:rPr>
                <w:rFonts w:hint="eastAsia" w:ascii="仿宋" w:hAnsi="仿宋" w:eastAsia="仿宋" w:cs="宋体"/>
                <w:kern w:val="0"/>
                <w:sz w:val="24"/>
                <w:szCs w:val="24"/>
                <w:highlight w:val="none"/>
              </w:rPr>
              <w:t>文件（非展示文件存放的路径）</w:t>
            </w:r>
            <w:r>
              <w:rPr>
                <w:rFonts w:ascii="仿宋" w:hAnsi="仿宋" w:eastAsia="仿宋" w:cs="宋体"/>
                <w:kern w:val="0"/>
                <w:sz w:val="24"/>
                <w:szCs w:val="24"/>
                <w:highlight w:val="none"/>
              </w:rPr>
              <w:t>。</w:t>
            </w:r>
            <w:r>
              <w:rPr>
                <w:rFonts w:hint="eastAsia" w:ascii="仿宋" w:hAnsi="仿宋" w:eastAsia="仿宋" w:cs="宋体"/>
                <w:kern w:val="0"/>
                <w:sz w:val="24"/>
                <w:szCs w:val="24"/>
                <w:highlight w:val="none"/>
              </w:rPr>
              <w:t>（投标文件中提供相应功能截图证明）</w:t>
            </w:r>
          </w:p>
          <w:p>
            <w:pPr>
              <w:pStyle w:val="14"/>
              <w:numPr>
                <w:ilvl w:val="0"/>
                <w:numId w:val="1"/>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告警管理与回溯分析能力：</w:t>
            </w:r>
          </w:p>
          <w:p>
            <w:pPr>
              <w:pStyle w:val="14"/>
              <w:numPr>
                <w:ilvl w:val="0"/>
                <w:numId w:val="5"/>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★支持通过时间、</w:t>
            </w:r>
            <w:r>
              <w:rPr>
                <w:rFonts w:ascii="仿宋" w:hAnsi="仿宋" w:eastAsia="仿宋" w:cs="宋体"/>
                <w:kern w:val="0"/>
                <w:sz w:val="24"/>
                <w:szCs w:val="24"/>
                <w:highlight w:val="none"/>
              </w:rPr>
              <w:t>IP、Url、Post数据包、状态码、检索关键字等内容进行回溯分析，支持在回溯分析时去除含特定关键字的相关日志记录，支持复现整个攻击事件全部HTTP报文的关联分析。</w:t>
            </w:r>
          </w:p>
          <w:p>
            <w:pPr>
              <w:pStyle w:val="14"/>
              <w:numPr>
                <w:ilvl w:val="0"/>
                <w:numId w:val="5"/>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支持通过时间、</w:t>
            </w:r>
            <w:r>
              <w:rPr>
                <w:rFonts w:ascii="仿宋" w:hAnsi="仿宋" w:eastAsia="仿宋" w:cs="宋体"/>
                <w:kern w:val="0"/>
                <w:sz w:val="24"/>
                <w:szCs w:val="24"/>
                <w:highlight w:val="none"/>
              </w:rPr>
              <w:t>IP、关键字、get参数、目的主机、日志类型、状态码等多个关键字及正则表达式的模式进行全文检索和回溯分析。</w:t>
            </w:r>
          </w:p>
          <w:p>
            <w:pPr>
              <w:pStyle w:val="14"/>
              <w:numPr>
                <w:ilvl w:val="0"/>
                <w:numId w:val="5"/>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支持存储全量的</w:t>
            </w:r>
            <w:r>
              <w:rPr>
                <w:rFonts w:ascii="仿宋" w:hAnsi="仿宋" w:eastAsia="仿宋" w:cs="宋体"/>
                <w:kern w:val="0"/>
                <w:sz w:val="24"/>
                <w:szCs w:val="24"/>
                <w:highlight w:val="none"/>
              </w:rPr>
              <w:t>Web应用交互双向数据包，包含正常交互的http日志数据包，且有单独页面展示，http日志数据包需包括HTTP报文头部、URL、POST数据包，以及服务器返回的内容，且可存储1-6个月的全量应用日志。</w:t>
            </w:r>
            <w:r>
              <w:rPr>
                <w:rFonts w:hint="eastAsia" w:ascii="仿宋" w:hAnsi="仿宋" w:eastAsia="仿宋" w:cs="宋体"/>
                <w:kern w:val="0"/>
                <w:sz w:val="24"/>
                <w:szCs w:val="24"/>
                <w:highlight w:val="none"/>
              </w:rPr>
              <w:t>（投标文件中提供相应功能截图证明）</w:t>
            </w:r>
          </w:p>
          <w:p>
            <w:pPr>
              <w:pStyle w:val="14"/>
              <w:numPr>
                <w:ilvl w:val="0"/>
                <w:numId w:val="1"/>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资产管理能力：</w:t>
            </w:r>
          </w:p>
          <w:p>
            <w:pPr>
              <w:pStyle w:val="14"/>
              <w:numPr>
                <w:ilvl w:val="0"/>
                <w:numId w:val="6"/>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支持扩展资产识别，能够识别资产的</w:t>
            </w:r>
            <w:r>
              <w:rPr>
                <w:rFonts w:ascii="仿宋" w:hAnsi="仿宋" w:eastAsia="仿宋" w:cs="宋体"/>
                <w:kern w:val="0"/>
                <w:sz w:val="24"/>
                <w:szCs w:val="24"/>
                <w:highlight w:val="none"/>
              </w:rPr>
              <w:t>http、https、ftp、smtp、dhcp、rdp、ssh等协议。</w:t>
            </w:r>
          </w:p>
          <w:p>
            <w:pPr>
              <w:pStyle w:val="14"/>
              <w:numPr>
                <w:ilvl w:val="0"/>
                <w:numId w:val="6"/>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支持扩展外联告警识别，能监测非法外联（如服务器设备中了木马）、异常通信，并发出报警。</w:t>
            </w:r>
          </w:p>
          <w:p>
            <w:pPr>
              <w:pStyle w:val="14"/>
              <w:numPr>
                <w:ilvl w:val="0"/>
                <w:numId w:val="6"/>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支持扩展以图表的形式，展示</w:t>
            </w:r>
            <w:r>
              <w:rPr>
                <w:rFonts w:ascii="仿宋" w:hAnsi="仿宋" w:eastAsia="仿宋" w:cs="宋体"/>
                <w:kern w:val="0"/>
                <w:sz w:val="24"/>
                <w:szCs w:val="24"/>
                <w:highlight w:val="none"/>
              </w:rPr>
              <w:t>B段、C段、应用、域名、ip、端口的分布情况。</w:t>
            </w:r>
          </w:p>
          <w:p>
            <w:pPr>
              <w:pStyle w:val="14"/>
              <w:numPr>
                <w:ilvl w:val="0"/>
                <w:numId w:val="1"/>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协同联动能力：支持能够和一种或多种防火墙联动，阻断指定</w:t>
            </w:r>
            <w:r>
              <w:rPr>
                <w:rFonts w:ascii="仿宋" w:hAnsi="仿宋" w:eastAsia="仿宋" w:cs="宋体"/>
                <w:kern w:val="0"/>
                <w:sz w:val="24"/>
                <w:szCs w:val="24"/>
                <w:highlight w:val="none"/>
              </w:rPr>
              <w:t>url的访问。</w:t>
            </w:r>
          </w:p>
          <w:p>
            <w:pPr>
              <w:pStyle w:val="14"/>
              <w:numPr>
                <w:ilvl w:val="0"/>
                <w:numId w:val="1"/>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w:t>
            </w:r>
            <w:r>
              <w:rPr>
                <w:rFonts w:ascii="仿宋" w:hAnsi="仿宋" w:eastAsia="仿宋" w:cs="宋体"/>
                <w:kern w:val="0"/>
                <w:sz w:val="24"/>
                <w:szCs w:val="24"/>
                <w:highlight w:val="none"/>
              </w:rPr>
              <w:t>UEBA行为分析功能要求</w:t>
            </w:r>
            <w:r>
              <w:rPr>
                <w:rFonts w:hint="eastAsia" w:ascii="仿宋" w:hAnsi="仿宋" w:eastAsia="仿宋" w:cs="宋体"/>
                <w:kern w:val="0"/>
                <w:sz w:val="24"/>
                <w:szCs w:val="24"/>
                <w:highlight w:val="none"/>
              </w:rPr>
              <w:t>：支持用户和实体行为分析</w:t>
            </w:r>
            <w:r>
              <w:rPr>
                <w:rFonts w:ascii="仿宋" w:hAnsi="仿宋" w:eastAsia="仿宋" w:cs="宋体"/>
                <w:kern w:val="0"/>
                <w:sz w:val="24"/>
                <w:szCs w:val="24"/>
                <w:highlight w:val="none"/>
              </w:rPr>
              <w:t>(user and entity behavior analytics,UEBA），可自动关联分析多个会话、日志、行为；可自定义关联分析策略；关联时长不少于10分钟。</w:t>
            </w:r>
            <w:r>
              <w:rPr>
                <w:rFonts w:hint="eastAsia" w:ascii="仿宋" w:hAnsi="仿宋" w:eastAsia="仿宋" w:cs="宋体"/>
                <w:kern w:val="0"/>
                <w:sz w:val="24"/>
                <w:szCs w:val="24"/>
                <w:highlight w:val="none"/>
              </w:rPr>
              <w:t>（投标文件中提供相应功能截图证明）</w:t>
            </w:r>
          </w:p>
          <w:p>
            <w:pPr>
              <w:pStyle w:val="14"/>
              <w:numPr>
                <w:ilvl w:val="0"/>
                <w:numId w:val="1"/>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★旁路阻断能力：支持扩展旁路阻断模块。设备旁路部署时，可阻断攻击请求。（投标文件中提供相应功能截图证明）</w:t>
            </w:r>
          </w:p>
          <w:p>
            <w:pPr>
              <w:pStyle w:val="14"/>
              <w:numPr>
                <w:ilvl w:val="0"/>
                <w:numId w:val="1"/>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★漏洞检测能力：支持扩展漏洞检测模块，可自主扫描操作系统及网站漏洞。包括缓冲区溢出、</w:t>
            </w:r>
            <w:r>
              <w:rPr>
                <w:rFonts w:ascii="仿宋" w:hAnsi="仿宋" w:eastAsia="仿宋" w:cs="宋体"/>
                <w:kern w:val="0"/>
                <w:sz w:val="24"/>
                <w:szCs w:val="24"/>
                <w:highlight w:val="none"/>
              </w:rPr>
              <w:t>SQL注入、跨站脚本漏洞（XSS）、信息泄漏等常见的Web应用漏洞。</w:t>
            </w:r>
          </w:p>
          <w:p>
            <w:pPr>
              <w:pStyle w:val="14"/>
              <w:numPr>
                <w:ilvl w:val="0"/>
                <w:numId w:val="1"/>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自定义检测规则能力：</w:t>
            </w:r>
          </w:p>
          <w:p>
            <w:pPr>
              <w:pStyle w:val="14"/>
              <w:numPr>
                <w:ilvl w:val="0"/>
                <w:numId w:val="7"/>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支持以多个关键字及正则表达式的方式制定请求包检测规则：可同时按域名主机关键字、</w:t>
            </w:r>
            <w:r>
              <w:rPr>
                <w:rFonts w:ascii="仿宋" w:hAnsi="仿宋" w:eastAsia="仿宋" w:cs="宋体"/>
                <w:kern w:val="0"/>
                <w:sz w:val="24"/>
                <w:szCs w:val="24"/>
                <w:highlight w:val="none"/>
              </w:rPr>
              <w:t>URL关键字、文件名关键字、请求报文、等多维度以多个关键字及正则表达式的方式制定检测规则。</w:t>
            </w:r>
          </w:p>
          <w:p>
            <w:pPr>
              <w:pStyle w:val="14"/>
              <w:numPr>
                <w:ilvl w:val="0"/>
                <w:numId w:val="7"/>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支持以多个关键字及正则表达式的方式制定返回包检测规则：可同时按域名主机关键字、</w:t>
            </w:r>
            <w:r>
              <w:rPr>
                <w:rFonts w:ascii="仿宋" w:hAnsi="仿宋" w:eastAsia="仿宋" w:cs="宋体"/>
                <w:kern w:val="0"/>
                <w:sz w:val="24"/>
                <w:szCs w:val="24"/>
                <w:highlight w:val="none"/>
              </w:rPr>
              <w:t>URL关键字、文件名关键字、返回报文、返回页面MD5等多维度以多个关键字及正则表达式的方式制定检测规则。</w:t>
            </w:r>
            <w:r>
              <w:rPr>
                <w:rFonts w:hint="eastAsia" w:ascii="仿宋" w:hAnsi="仿宋" w:eastAsia="仿宋" w:cs="宋体"/>
                <w:kern w:val="0"/>
                <w:sz w:val="24"/>
                <w:szCs w:val="24"/>
                <w:highlight w:val="none"/>
              </w:rPr>
              <w:t>（投标文件中提供相应功能截图证明）</w:t>
            </w:r>
          </w:p>
          <w:p>
            <w:pPr>
              <w:pStyle w:val="14"/>
              <w:numPr>
                <w:ilvl w:val="0"/>
                <w:numId w:val="1"/>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研判助手：针对每条单独的告警，可自动关联该</w:t>
            </w:r>
            <w:r>
              <w:rPr>
                <w:rFonts w:ascii="仿宋" w:hAnsi="仿宋" w:eastAsia="仿宋" w:cs="宋体"/>
                <w:kern w:val="0"/>
                <w:sz w:val="24"/>
                <w:szCs w:val="24"/>
                <w:highlight w:val="none"/>
              </w:rPr>
              <w:t>IP在48小时内的异常请求详情，同时关联该IP触发攻击的类型、该IP触发的攻击的次数、其他IP触发该攻击类型的次数、其他IP访问该URL次数等协助用户研判此次攻击的危害，并可标记为高危、中危、低危和忽略，提供忽略加白功能等</w:t>
            </w:r>
            <w:r>
              <w:rPr>
                <w:rFonts w:hint="eastAsia" w:ascii="仿宋" w:hAnsi="仿宋" w:eastAsia="仿宋" w:cs="宋体"/>
                <w:kern w:val="0"/>
                <w:sz w:val="24"/>
                <w:szCs w:val="24"/>
                <w:highlight w:val="none"/>
              </w:rPr>
              <w:t>。（投标文件中提供相应功能截图证明）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pct"/>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2</w:t>
            </w:r>
          </w:p>
        </w:tc>
        <w:tc>
          <w:tcPr>
            <w:tcW w:w="616" w:type="pct"/>
            <w:vAlign w:val="center"/>
          </w:tcPr>
          <w:p>
            <w:pPr>
              <w:jc w:val="center"/>
              <w:rPr>
                <w:rFonts w:ascii="仿宋" w:hAnsi="仿宋" w:eastAsia="仿宋"/>
                <w:sz w:val="24"/>
                <w:szCs w:val="24"/>
                <w:highlight w:val="none"/>
              </w:rPr>
            </w:pPr>
            <w:r>
              <w:rPr>
                <w:rFonts w:ascii="仿宋" w:hAnsi="仿宋" w:eastAsia="仿宋"/>
                <w:sz w:val="24"/>
                <w:szCs w:val="24"/>
                <w:highlight w:val="none"/>
              </w:rPr>
              <w:t>API安全审计系统</w:t>
            </w:r>
          </w:p>
        </w:tc>
        <w:tc>
          <w:tcPr>
            <w:tcW w:w="539" w:type="pct"/>
            <w:vAlign w:val="center"/>
          </w:tcPr>
          <w:p>
            <w:pPr>
              <w:jc w:val="center"/>
              <w:rPr>
                <w:rFonts w:ascii="仿宋" w:hAnsi="仿宋" w:eastAsia="仿宋"/>
                <w:sz w:val="24"/>
                <w:szCs w:val="24"/>
                <w:highlight w:val="none"/>
              </w:rPr>
            </w:pPr>
            <w:r>
              <w:rPr>
                <w:rFonts w:hint="eastAsia" w:ascii="仿宋" w:hAnsi="仿宋" w:eastAsia="仿宋"/>
                <w:sz w:val="24"/>
                <w:szCs w:val="24"/>
                <w:highlight w:val="none"/>
              </w:rPr>
              <w:t>1台</w:t>
            </w:r>
          </w:p>
        </w:tc>
        <w:tc>
          <w:tcPr>
            <w:tcW w:w="3437" w:type="pct"/>
            <w:vAlign w:val="center"/>
          </w:tcPr>
          <w:p>
            <w:pPr>
              <w:pStyle w:val="14"/>
              <w:numPr>
                <w:ilvl w:val="0"/>
                <w:numId w:val="8"/>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硬件配置：</w:t>
            </w:r>
            <w:r>
              <w:rPr>
                <w:rFonts w:ascii="仿宋" w:hAnsi="仿宋" w:eastAsia="仿宋" w:cs="宋体"/>
                <w:kern w:val="0"/>
                <w:sz w:val="24"/>
                <w:szCs w:val="24"/>
                <w:highlight w:val="none"/>
              </w:rPr>
              <w:t>2U机架式设备；1+1冗余电源；内存≥32*2GB，硬盘≥16TB（4T*4）； ≥2个千兆电口管理口；≥2个千兆电口；≥2个万兆光口</w:t>
            </w:r>
            <w:r>
              <w:rPr>
                <w:rFonts w:hint="eastAsia" w:ascii="仿宋" w:hAnsi="仿宋" w:eastAsia="仿宋" w:cs="宋体"/>
                <w:kern w:val="0"/>
                <w:sz w:val="24"/>
                <w:szCs w:val="24"/>
                <w:highlight w:val="none"/>
              </w:rPr>
              <w:t>（含万兆多模光模块）</w:t>
            </w:r>
            <w:r>
              <w:rPr>
                <w:rFonts w:ascii="仿宋" w:hAnsi="仿宋" w:eastAsia="仿宋" w:cs="宋体"/>
                <w:kern w:val="0"/>
                <w:sz w:val="24"/>
                <w:szCs w:val="24"/>
                <w:highlight w:val="none"/>
              </w:rPr>
              <w:t>；整机数据吞吐量≥ 5 Gbps，</w:t>
            </w:r>
            <w:r>
              <w:rPr>
                <w:rFonts w:hint="eastAsia" w:ascii="仿宋" w:hAnsi="仿宋" w:eastAsia="仿宋" w:cs="宋体"/>
                <w:kern w:val="0"/>
                <w:sz w:val="24"/>
                <w:szCs w:val="24"/>
                <w:highlight w:val="none"/>
              </w:rPr>
              <w:t>提供</w:t>
            </w:r>
            <w:r>
              <w:rPr>
                <w:rFonts w:ascii="仿宋" w:hAnsi="仿宋" w:eastAsia="仿宋" w:cs="宋体"/>
                <w:kern w:val="0"/>
                <w:sz w:val="24"/>
                <w:szCs w:val="24"/>
                <w:highlight w:val="none"/>
              </w:rPr>
              <w:t>三年维保授权。</w:t>
            </w:r>
          </w:p>
          <w:p>
            <w:pPr>
              <w:pStyle w:val="14"/>
              <w:numPr>
                <w:ilvl w:val="0"/>
                <w:numId w:val="8"/>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★系统内置的脆弱性策略匹配规则达</w:t>
            </w:r>
            <w:r>
              <w:rPr>
                <w:rFonts w:ascii="仿宋" w:hAnsi="仿宋" w:eastAsia="仿宋" w:cs="宋体"/>
                <w:kern w:val="0"/>
                <w:sz w:val="24"/>
                <w:szCs w:val="24"/>
                <w:highlight w:val="none"/>
              </w:rPr>
              <w:t>1500条左右可对常用应用漏洞进行监测。其中接口未鉴权支持100条匹配规则，可覆盖Apache Spark、OpenAPI、Weblogic等常用组件未授权漏洞监测。命令执行漏洞支持近1000条匹配规则。（投标文件</w:t>
            </w:r>
            <w:r>
              <w:rPr>
                <w:rFonts w:hint="eastAsia" w:ascii="仿宋" w:hAnsi="仿宋" w:eastAsia="仿宋" w:cs="宋体"/>
                <w:kern w:val="0"/>
                <w:sz w:val="24"/>
                <w:szCs w:val="24"/>
                <w:highlight w:val="none"/>
              </w:rPr>
              <w:t>中</w:t>
            </w:r>
            <w:r>
              <w:rPr>
                <w:rFonts w:ascii="仿宋" w:hAnsi="仿宋" w:eastAsia="仿宋" w:cs="宋体"/>
                <w:kern w:val="0"/>
                <w:sz w:val="24"/>
                <w:szCs w:val="24"/>
                <w:highlight w:val="none"/>
              </w:rPr>
              <w:t>提供相应</w:t>
            </w:r>
            <w:r>
              <w:rPr>
                <w:rFonts w:hint="eastAsia" w:ascii="仿宋" w:hAnsi="仿宋" w:eastAsia="仿宋" w:cs="宋体"/>
                <w:kern w:val="0"/>
                <w:sz w:val="24"/>
                <w:szCs w:val="24"/>
                <w:highlight w:val="none"/>
              </w:rPr>
              <w:t>功能</w:t>
            </w:r>
            <w:r>
              <w:rPr>
                <w:rFonts w:ascii="仿宋" w:hAnsi="仿宋" w:eastAsia="仿宋" w:cs="宋体"/>
                <w:kern w:val="0"/>
                <w:sz w:val="24"/>
                <w:szCs w:val="24"/>
                <w:highlight w:val="none"/>
              </w:rPr>
              <w:t>截图证明）</w:t>
            </w:r>
          </w:p>
          <w:p>
            <w:pPr>
              <w:pStyle w:val="14"/>
              <w:numPr>
                <w:ilvl w:val="0"/>
                <w:numId w:val="8"/>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系统具有丰富的风险详情，包含：风险基本信息、历史记录、</w:t>
            </w:r>
            <w:r>
              <w:rPr>
                <w:rFonts w:ascii="仿宋" w:hAnsi="仿宋" w:eastAsia="仿宋" w:cs="宋体"/>
                <w:kern w:val="0"/>
                <w:sz w:val="24"/>
                <w:szCs w:val="24"/>
                <w:highlight w:val="none"/>
              </w:rPr>
              <w:t>API影响面评估、可被利用方式、修复建议等。其中API影响面评估可从去重数据量、API访问量、暴露数据标签、访问域等维度进行综合分析，与同类风险API进行对比，形成影响面评估结果，区分API治理重点。</w:t>
            </w:r>
          </w:p>
          <w:p>
            <w:pPr>
              <w:pStyle w:val="14"/>
              <w:numPr>
                <w:ilvl w:val="0"/>
                <w:numId w:val="8"/>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支持以</w:t>
            </w:r>
            <w:r>
              <w:rPr>
                <w:rFonts w:ascii="仿宋" w:hAnsi="仿宋" w:eastAsia="仿宋" w:cs="宋体"/>
                <w:kern w:val="0"/>
                <w:sz w:val="24"/>
                <w:szCs w:val="24"/>
                <w:highlight w:val="none"/>
              </w:rPr>
              <w:t>IP、账号、IP+API、账号+API、数据维度进行行为风险配置。支持通过多种指标自定义新增风险策略，例如：访问次数、访问时间、访问敏感数据等、上传下载文件、访问账号等。</w:t>
            </w:r>
          </w:p>
          <w:p>
            <w:pPr>
              <w:pStyle w:val="14"/>
              <w:numPr>
                <w:ilvl w:val="0"/>
                <w:numId w:val="8"/>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支持以数据为维度进行风险监测，以数据为线索关联分析相关</w:t>
            </w:r>
            <w:r>
              <w:rPr>
                <w:rFonts w:ascii="仿宋" w:hAnsi="仿宋" w:eastAsia="仿宋" w:cs="宋体"/>
                <w:kern w:val="0"/>
                <w:sz w:val="24"/>
                <w:szCs w:val="24"/>
                <w:highlight w:val="none"/>
              </w:rPr>
              <w:t>API、相关应用、相关主体等内容，可适用于洞察二次封装风险、核心数据防泄漏场景。（投标文件</w:t>
            </w:r>
            <w:r>
              <w:rPr>
                <w:rFonts w:hint="eastAsia" w:ascii="仿宋" w:hAnsi="仿宋" w:eastAsia="仿宋" w:cs="宋体"/>
                <w:kern w:val="0"/>
                <w:sz w:val="24"/>
                <w:szCs w:val="24"/>
                <w:highlight w:val="none"/>
              </w:rPr>
              <w:t>中</w:t>
            </w:r>
            <w:r>
              <w:rPr>
                <w:rFonts w:ascii="仿宋" w:hAnsi="仿宋" w:eastAsia="仿宋" w:cs="宋体"/>
                <w:kern w:val="0"/>
                <w:sz w:val="24"/>
                <w:szCs w:val="24"/>
                <w:highlight w:val="none"/>
              </w:rPr>
              <w:t>提供相应</w:t>
            </w:r>
            <w:r>
              <w:rPr>
                <w:rFonts w:hint="eastAsia" w:ascii="仿宋" w:hAnsi="仿宋" w:eastAsia="仿宋" w:cs="宋体"/>
                <w:kern w:val="0"/>
                <w:sz w:val="24"/>
                <w:szCs w:val="24"/>
                <w:highlight w:val="none"/>
              </w:rPr>
              <w:t>功能</w:t>
            </w:r>
            <w:r>
              <w:rPr>
                <w:rFonts w:ascii="仿宋" w:hAnsi="仿宋" w:eastAsia="仿宋" w:cs="宋体"/>
                <w:kern w:val="0"/>
                <w:sz w:val="24"/>
                <w:szCs w:val="24"/>
                <w:highlight w:val="none"/>
              </w:rPr>
              <w:t>截图证明）</w:t>
            </w:r>
          </w:p>
          <w:p>
            <w:pPr>
              <w:pStyle w:val="14"/>
              <w:numPr>
                <w:ilvl w:val="0"/>
                <w:numId w:val="8"/>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支持对少量多次的点滴泄漏数据行为构建风险行为画像，对数据的路径流转进行可视化拓扑分析。</w:t>
            </w:r>
          </w:p>
          <w:p>
            <w:pPr>
              <w:pStyle w:val="14"/>
              <w:numPr>
                <w:ilvl w:val="0"/>
                <w:numId w:val="8"/>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支持丰富的敏感数据识别技术：包括正则表达式、关键字典等先进技术自定义创建识别规则。</w:t>
            </w:r>
          </w:p>
          <w:p>
            <w:pPr>
              <w:pStyle w:val="14"/>
              <w:numPr>
                <w:ilvl w:val="0"/>
                <w:numId w:val="8"/>
              </w:numPr>
              <w:ind w:firstLineChars="0"/>
              <w:rPr>
                <w:rFonts w:ascii="仿宋" w:hAnsi="仿宋" w:eastAsia="仿宋" w:cs="宋体"/>
                <w:kern w:val="0"/>
                <w:sz w:val="24"/>
                <w:szCs w:val="24"/>
                <w:highlight w:val="none"/>
              </w:rPr>
            </w:pPr>
            <w:r>
              <w:rPr>
                <w:rFonts w:ascii="仿宋" w:hAnsi="仿宋" w:eastAsia="仿宋" w:cs="宋体"/>
                <w:kern w:val="0"/>
                <w:sz w:val="24"/>
                <w:szCs w:val="24"/>
                <w:highlight w:val="none"/>
              </w:rPr>
              <w:t>内置100+敏感数据标签，包括身份证号、手机号、银行卡号、姓名、地址、邮箱等个人敏感数据标签。（投标文件</w:t>
            </w:r>
            <w:r>
              <w:rPr>
                <w:rFonts w:hint="eastAsia" w:ascii="仿宋" w:hAnsi="仿宋" w:eastAsia="仿宋" w:cs="宋体"/>
                <w:kern w:val="0"/>
                <w:sz w:val="24"/>
                <w:szCs w:val="24"/>
                <w:highlight w:val="none"/>
              </w:rPr>
              <w:t>中</w:t>
            </w:r>
            <w:r>
              <w:rPr>
                <w:rFonts w:ascii="仿宋" w:hAnsi="仿宋" w:eastAsia="仿宋" w:cs="宋体"/>
                <w:kern w:val="0"/>
                <w:sz w:val="24"/>
                <w:szCs w:val="24"/>
                <w:highlight w:val="none"/>
              </w:rPr>
              <w:t>提供相应</w:t>
            </w:r>
            <w:r>
              <w:rPr>
                <w:rFonts w:hint="eastAsia" w:ascii="仿宋" w:hAnsi="仿宋" w:eastAsia="仿宋" w:cs="宋体"/>
                <w:kern w:val="0"/>
                <w:sz w:val="24"/>
                <w:szCs w:val="24"/>
                <w:highlight w:val="none"/>
              </w:rPr>
              <w:t>功能</w:t>
            </w:r>
            <w:r>
              <w:rPr>
                <w:rFonts w:ascii="仿宋" w:hAnsi="仿宋" w:eastAsia="仿宋" w:cs="宋体"/>
                <w:kern w:val="0"/>
                <w:sz w:val="24"/>
                <w:szCs w:val="24"/>
                <w:highlight w:val="none"/>
              </w:rPr>
              <w:t>截图证明）</w:t>
            </w:r>
          </w:p>
          <w:p>
            <w:pPr>
              <w:pStyle w:val="14"/>
              <w:numPr>
                <w:ilvl w:val="0"/>
                <w:numId w:val="8"/>
              </w:numPr>
              <w:ind w:firstLineChars="0"/>
              <w:rPr>
                <w:rFonts w:ascii="仿宋" w:hAnsi="仿宋" w:eastAsia="仿宋" w:cs="宋体"/>
                <w:kern w:val="0"/>
                <w:sz w:val="24"/>
                <w:szCs w:val="24"/>
                <w:highlight w:val="none"/>
              </w:rPr>
            </w:pPr>
            <w:r>
              <w:rPr>
                <w:rFonts w:ascii="仿宋" w:hAnsi="仿宋" w:eastAsia="仿宋"/>
                <w:sz w:val="24"/>
                <w:szCs w:val="24"/>
                <w:highlight w:val="none"/>
              </w:rPr>
              <w:t>★</w:t>
            </w:r>
            <w:r>
              <w:rPr>
                <w:rFonts w:hint="eastAsia" w:ascii="仿宋" w:hAnsi="仿宋" w:eastAsia="仿宋" w:cs="宋体"/>
                <w:kern w:val="0"/>
                <w:sz w:val="24"/>
                <w:szCs w:val="24"/>
                <w:highlight w:val="none"/>
              </w:rPr>
              <w:t>可识别文件中的敏感数据，可识别文件种类总计</w:t>
            </w:r>
            <w:r>
              <w:rPr>
                <w:rFonts w:ascii="仿宋" w:hAnsi="仿宋" w:eastAsia="仿宋" w:cs="宋体"/>
                <w:kern w:val="0"/>
                <w:sz w:val="24"/>
                <w:szCs w:val="24"/>
                <w:highlight w:val="none"/>
              </w:rPr>
              <w:t>100+类。例如 OFFICE办公文档((DOC/DOCX、 XLS/XLSX、PPT/PPTX）、 WPS、PDF、OFD、纯文本、标记文本、图片内容、设计文档等。（投标文件</w:t>
            </w:r>
            <w:r>
              <w:rPr>
                <w:rFonts w:hint="eastAsia" w:ascii="仿宋" w:hAnsi="仿宋" w:eastAsia="仿宋" w:cs="宋体"/>
                <w:kern w:val="0"/>
                <w:sz w:val="24"/>
                <w:szCs w:val="24"/>
                <w:highlight w:val="none"/>
              </w:rPr>
              <w:t>中</w:t>
            </w:r>
            <w:r>
              <w:rPr>
                <w:rFonts w:ascii="仿宋" w:hAnsi="仿宋" w:eastAsia="仿宋" w:cs="宋体"/>
                <w:kern w:val="0"/>
                <w:sz w:val="24"/>
                <w:szCs w:val="24"/>
                <w:highlight w:val="none"/>
              </w:rPr>
              <w:t>提供相应</w:t>
            </w:r>
            <w:r>
              <w:rPr>
                <w:rFonts w:hint="eastAsia" w:ascii="仿宋" w:hAnsi="仿宋" w:eastAsia="仿宋" w:cs="宋体"/>
                <w:kern w:val="0"/>
                <w:sz w:val="24"/>
                <w:szCs w:val="24"/>
                <w:highlight w:val="none"/>
              </w:rPr>
              <w:t>功能</w:t>
            </w:r>
            <w:r>
              <w:rPr>
                <w:rFonts w:ascii="仿宋" w:hAnsi="仿宋" w:eastAsia="仿宋" w:cs="宋体"/>
                <w:kern w:val="0"/>
                <w:sz w:val="24"/>
                <w:szCs w:val="24"/>
                <w:highlight w:val="none"/>
              </w:rPr>
              <w:t>截图证明）</w:t>
            </w:r>
          </w:p>
          <w:p>
            <w:pPr>
              <w:pStyle w:val="14"/>
              <w:numPr>
                <w:ilvl w:val="0"/>
                <w:numId w:val="8"/>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w:t>
            </w:r>
            <w:r>
              <w:rPr>
                <w:rFonts w:ascii="仿宋" w:hAnsi="仿宋" w:eastAsia="仿宋" w:cs="宋体"/>
                <w:kern w:val="0"/>
                <w:sz w:val="24"/>
                <w:szCs w:val="24"/>
                <w:highlight w:val="none"/>
              </w:rPr>
              <w:t>HTML、PDF、png、word多种格式的报表订阅，可定期通过邮件发送最新的报告。</w:t>
            </w:r>
          </w:p>
          <w:p>
            <w:pPr>
              <w:pStyle w:val="14"/>
              <w:numPr>
                <w:ilvl w:val="0"/>
                <w:numId w:val="8"/>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支持通过界面自定义新增脆弱性漏洞，可细粒度配置到请求头字段、</w:t>
            </w:r>
            <w:r>
              <w:rPr>
                <w:rFonts w:ascii="仿宋" w:hAnsi="仿宋" w:eastAsia="仿宋" w:cs="宋体"/>
                <w:kern w:val="0"/>
                <w:sz w:val="24"/>
                <w:szCs w:val="24"/>
                <w:highlight w:val="none"/>
              </w:rPr>
              <w:t>API类型、请求方法、响应状态、返回字段等，支持对以上维度正则匹配、敏感数据类型识别或敏感数据量数量识别等方式进行配置。</w:t>
            </w:r>
          </w:p>
          <w:p>
            <w:pPr>
              <w:pStyle w:val="14"/>
              <w:numPr>
                <w:ilvl w:val="0"/>
                <w:numId w:val="8"/>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支持监测</w:t>
            </w:r>
            <w:r>
              <w:rPr>
                <w:rFonts w:ascii="仿宋" w:hAnsi="仿宋" w:eastAsia="仿宋" w:cs="宋体"/>
                <w:kern w:val="0"/>
                <w:sz w:val="24"/>
                <w:szCs w:val="24"/>
                <w:highlight w:val="none"/>
              </w:rPr>
              <w:t>API的生命周期变化，并可通过可视化方式修改生命周期的打标周期。</w:t>
            </w:r>
          </w:p>
          <w:p>
            <w:pPr>
              <w:pStyle w:val="14"/>
              <w:numPr>
                <w:ilvl w:val="0"/>
                <w:numId w:val="8"/>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支持根据策略自动识别划分静态资源页面和数据共享</w:t>
            </w:r>
            <w:r>
              <w:rPr>
                <w:rFonts w:ascii="仿宋" w:hAnsi="仿宋" w:eastAsia="仿宋" w:cs="宋体"/>
                <w:kern w:val="0"/>
                <w:sz w:val="24"/>
                <w:szCs w:val="24"/>
                <w:highlight w:val="none"/>
              </w:rPr>
              <w:t>API，支持可视化多指标组合配置划分规则，配置指标维度包括：URL、请求用户代理、请求方法、响应内容类型、请求头、响应头。</w:t>
            </w:r>
          </w:p>
          <w:p>
            <w:pPr>
              <w:pStyle w:val="14"/>
              <w:numPr>
                <w:ilvl w:val="0"/>
                <w:numId w:val="8"/>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支持以</w:t>
            </w:r>
            <w:r>
              <w:rPr>
                <w:rFonts w:ascii="仿宋" w:hAnsi="仿宋" w:eastAsia="仿宋" w:cs="宋体"/>
                <w:kern w:val="0"/>
                <w:sz w:val="24"/>
                <w:szCs w:val="24"/>
                <w:highlight w:val="none"/>
              </w:rPr>
              <w:t>IP、账号、IP+API、账号+API、数据维度进行行为风险配置。支持通过多种指标组合自定义配置新增风险策略，例如：请求数据标签、返回数据标签、下载文件、上传文件、访问频次、登录账号数、账号密码去重数、手机号验证码去重数、操作时间等。支持以滑动窗口计数方式匹配监测规则。</w:t>
            </w:r>
          </w:p>
          <w:p>
            <w:pPr>
              <w:pStyle w:val="14"/>
              <w:numPr>
                <w:ilvl w:val="0"/>
                <w:numId w:val="8"/>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支持留存全量的</w:t>
            </w:r>
            <w:r>
              <w:rPr>
                <w:rFonts w:ascii="仿宋" w:hAnsi="仿宋" w:eastAsia="仿宋" w:cs="宋体"/>
                <w:kern w:val="0"/>
                <w:sz w:val="24"/>
                <w:szCs w:val="24"/>
                <w:highlight w:val="none"/>
              </w:rPr>
              <w:t>API操作日志，最高可审计的单日志大小为 16MB，支持配置日志留存时间，默认日志完整保存 180天以上。</w:t>
            </w:r>
          </w:p>
          <w:p>
            <w:pPr>
              <w:pStyle w:val="14"/>
              <w:numPr>
                <w:ilvl w:val="0"/>
                <w:numId w:val="8"/>
              </w:numPr>
              <w:ind w:firstLineChars="0"/>
              <w:rPr>
                <w:rFonts w:ascii="仿宋" w:hAnsi="仿宋" w:eastAsia="仿宋" w:cs="宋体"/>
                <w:kern w:val="0"/>
                <w:sz w:val="24"/>
                <w:szCs w:val="24"/>
                <w:highlight w:val="none"/>
              </w:rPr>
            </w:pPr>
            <w:r>
              <w:rPr>
                <w:rFonts w:hint="eastAsia" w:ascii="仿宋" w:hAnsi="仿宋" w:eastAsia="仿宋" w:cs="宋体"/>
                <w:kern w:val="0"/>
                <w:sz w:val="24"/>
                <w:szCs w:val="24"/>
                <w:highlight w:val="none"/>
              </w:rPr>
              <w:t>支持根据内置脆弱性风险策略自动从流量中识别监测接口中存在脆弱性，并留存</w:t>
            </w:r>
            <w:r>
              <w:rPr>
                <w:rFonts w:ascii="仿宋" w:hAnsi="仿宋" w:eastAsia="仿宋" w:cs="宋体"/>
                <w:kern w:val="0"/>
                <w:sz w:val="24"/>
                <w:szCs w:val="24"/>
                <w:highlight w:val="none"/>
              </w:rPr>
              <w:t xml:space="preserve"> API 脆弱性证据样例，并给出对应的修复建议。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rPr>
                <w:rFonts w:ascii="仿宋" w:hAnsi="仿宋" w:eastAsia="仿宋"/>
                <w:sz w:val="24"/>
                <w:szCs w:val="24"/>
                <w:highlight w:val="none"/>
              </w:rPr>
            </w:pPr>
            <w:r>
              <w:rPr>
                <w:rFonts w:hint="eastAsia" w:ascii="仿宋" w:hAnsi="仿宋" w:eastAsia="仿宋"/>
                <w:b/>
                <w:sz w:val="24"/>
                <w:szCs w:val="24"/>
                <w:highlight w:val="none"/>
              </w:rPr>
              <w:t>二、商务条款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gridSpan w:val="3"/>
            <w:vAlign w:val="center"/>
          </w:tcPr>
          <w:p>
            <w:pPr>
              <w:jc w:val="center"/>
              <w:rPr>
                <w:rFonts w:ascii="仿宋" w:hAnsi="仿宋" w:eastAsia="仿宋"/>
                <w:sz w:val="24"/>
                <w:szCs w:val="24"/>
                <w:highlight w:val="none"/>
              </w:rPr>
            </w:pPr>
            <w:r>
              <w:rPr>
                <w:rFonts w:hint="eastAsia" w:ascii="仿宋" w:hAnsi="仿宋" w:eastAsia="仿宋"/>
                <w:w w:val="95"/>
                <w:sz w:val="24"/>
                <w:szCs w:val="24"/>
                <w:highlight w:val="none"/>
              </w:rPr>
              <w:t>★</w:t>
            </w:r>
            <w:r>
              <w:rPr>
                <w:rFonts w:hint="eastAsia" w:ascii="仿宋" w:hAnsi="仿宋" w:eastAsia="仿宋" w:cs="Arial"/>
                <w:sz w:val="24"/>
                <w:szCs w:val="24"/>
                <w:highlight w:val="none"/>
              </w:rPr>
              <w:t>合同履行期限</w:t>
            </w:r>
          </w:p>
        </w:tc>
        <w:tc>
          <w:tcPr>
            <w:tcW w:w="3437" w:type="pct"/>
            <w:vAlign w:val="center"/>
          </w:tcPr>
          <w:p>
            <w:pPr>
              <w:rPr>
                <w:rFonts w:ascii="仿宋" w:hAnsi="仿宋" w:eastAsia="仿宋"/>
                <w:sz w:val="24"/>
                <w:szCs w:val="24"/>
                <w:highlight w:val="none"/>
              </w:rPr>
            </w:pPr>
            <w:r>
              <w:rPr>
                <w:rFonts w:hint="eastAsia" w:ascii="仿宋" w:hAnsi="仿宋" w:eastAsia="仿宋" w:cs="Arial"/>
                <w:sz w:val="24"/>
                <w:szCs w:val="24"/>
                <w:highlight w:val="none"/>
              </w:rPr>
              <w:t>合同签订后</w:t>
            </w:r>
            <w:r>
              <w:rPr>
                <w:rFonts w:ascii="仿宋" w:hAnsi="仿宋" w:eastAsia="仿宋" w:cs="Arial"/>
                <w:sz w:val="24"/>
                <w:szCs w:val="24"/>
                <w:highlight w:val="none"/>
              </w:rPr>
              <w:t>30</w:t>
            </w:r>
            <w:r>
              <w:rPr>
                <w:rFonts w:hint="eastAsia" w:ascii="仿宋" w:hAnsi="仿宋" w:eastAsia="仿宋" w:cs="Arial"/>
                <w:sz w:val="24"/>
                <w:szCs w:val="24"/>
                <w:highlight w:val="none"/>
              </w:rPr>
              <w:t>天内交货；设备到货验收后6</w:t>
            </w:r>
            <w:r>
              <w:rPr>
                <w:rFonts w:ascii="仿宋" w:hAnsi="仿宋" w:eastAsia="仿宋" w:cs="Arial"/>
                <w:sz w:val="24"/>
                <w:szCs w:val="24"/>
                <w:highlight w:val="none"/>
              </w:rPr>
              <w:t>0</w:t>
            </w:r>
            <w:r>
              <w:rPr>
                <w:rFonts w:hint="eastAsia" w:ascii="仿宋" w:hAnsi="仿宋" w:eastAsia="仿宋" w:cs="Arial"/>
                <w:sz w:val="24"/>
                <w:szCs w:val="24"/>
                <w:highlight w:val="none"/>
              </w:rPr>
              <w:t>天内完成安装调试。技术支持、售后服务及质量保障期3年，从项目验收合格之日起计算。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gridSpan w:val="3"/>
            <w:vAlign w:val="center"/>
          </w:tcPr>
          <w:p>
            <w:pPr>
              <w:jc w:val="center"/>
              <w:rPr>
                <w:rFonts w:ascii="仿宋" w:hAnsi="仿宋" w:eastAsia="仿宋"/>
                <w:sz w:val="24"/>
                <w:szCs w:val="24"/>
                <w:highlight w:val="none"/>
              </w:rPr>
            </w:pPr>
            <w:r>
              <w:rPr>
                <w:rFonts w:hint="eastAsia" w:ascii="仿宋" w:hAnsi="仿宋" w:eastAsia="仿宋"/>
                <w:w w:val="95"/>
                <w:sz w:val="24"/>
                <w:szCs w:val="24"/>
                <w:highlight w:val="none"/>
              </w:rPr>
              <w:t>★</w:t>
            </w:r>
            <w:r>
              <w:rPr>
                <w:rFonts w:hint="eastAsia" w:ascii="仿宋" w:hAnsi="仿宋" w:eastAsia="仿宋" w:cs="Arial"/>
                <w:sz w:val="24"/>
                <w:szCs w:val="24"/>
                <w:highlight w:val="none"/>
              </w:rPr>
              <w:t>交货地点</w:t>
            </w:r>
          </w:p>
        </w:tc>
        <w:tc>
          <w:tcPr>
            <w:tcW w:w="3437" w:type="pct"/>
            <w:vAlign w:val="center"/>
          </w:tcPr>
          <w:p>
            <w:pPr>
              <w:rPr>
                <w:rFonts w:ascii="仿宋" w:hAnsi="仿宋" w:eastAsia="仿宋"/>
                <w:sz w:val="24"/>
                <w:szCs w:val="24"/>
                <w:highlight w:val="none"/>
              </w:rPr>
            </w:pPr>
            <w:r>
              <w:rPr>
                <w:rFonts w:hint="eastAsia" w:ascii="仿宋" w:hAnsi="仿宋" w:eastAsia="仿宋" w:cs="Arial"/>
                <w:sz w:val="24"/>
                <w:szCs w:val="24"/>
                <w:highlight w:val="none"/>
              </w:rPr>
              <w:t>广西南宁市。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gridSpan w:val="3"/>
            <w:vAlign w:val="center"/>
          </w:tcPr>
          <w:p>
            <w:pPr>
              <w:jc w:val="center"/>
              <w:rPr>
                <w:rFonts w:ascii="仿宋" w:hAnsi="仿宋" w:eastAsia="仿宋"/>
                <w:sz w:val="24"/>
                <w:szCs w:val="24"/>
                <w:highlight w:val="none"/>
              </w:rPr>
            </w:pPr>
            <w:r>
              <w:rPr>
                <w:rFonts w:hint="eastAsia" w:ascii="仿宋" w:hAnsi="仿宋" w:eastAsia="仿宋"/>
                <w:w w:val="95"/>
                <w:sz w:val="24"/>
                <w:szCs w:val="24"/>
                <w:highlight w:val="none"/>
              </w:rPr>
              <w:t>★报价要求</w:t>
            </w:r>
          </w:p>
        </w:tc>
        <w:tc>
          <w:tcPr>
            <w:tcW w:w="3437" w:type="pct"/>
            <w:vAlign w:val="center"/>
          </w:tcPr>
          <w:p>
            <w:pPr>
              <w:rPr>
                <w:rFonts w:ascii="仿宋" w:hAnsi="仿宋" w:eastAsia="仿宋"/>
                <w:sz w:val="24"/>
                <w:szCs w:val="24"/>
                <w:highlight w:val="none"/>
              </w:rPr>
            </w:pPr>
            <w:r>
              <w:rPr>
                <w:rFonts w:hint="eastAsia" w:ascii="仿宋" w:hAnsi="仿宋" w:eastAsia="仿宋" w:cs="Arial"/>
                <w:sz w:val="24"/>
                <w:szCs w:val="24"/>
                <w:highlight w:val="none"/>
              </w:rPr>
              <w:t>投标报价指货物、标准附件、备品备件、专用工具、运输、安装、调试、验收等各种费用和售后服务、税金及其它所有成本费用的总和。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gridSpan w:val="3"/>
            <w:vAlign w:val="center"/>
          </w:tcPr>
          <w:p>
            <w:pPr>
              <w:jc w:val="center"/>
              <w:rPr>
                <w:rFonts w:ascii="仿宋" w:hAnsi="仿宋" w:eastAsia="仿宋"/>
                <w:sz w:val="24"/>
                <w:szCs w:val="24"/>
                <w:highlight w:val="none"/>
              </w:rPr>
            </w:pPr>
            <w:r>
              <w:rPr>
                <w:rFonts w:hint="eastAsia" w:ascii="仿宋" w:hAnsi="仿宋" w:eastAsia="仿宋"/>
                <w:w w:val="95"/>
                <w:sz w:val="24"/>
                <w:szCs w:val="24"/>
                <w:highlight w:val="none"/>
              </w:rPr>
              <w:t>★</w:t>
            </w:r>
            <w:r>
              <w:rPr>
                <w:rFonts w:hint="eastAsia" w:ascii="仿宋" w:hAnsi="仿宋" w:eastAsia="仿宋"/>
                <w:sz w:val="24"/>
                <w:szCs w:val="24"/>
                <w:highlight w:val="none"/>
              </w:rPr>
              <w:t>项目系统集成要求</w:t>
            </w:r>
          </w:p>
        </w:tc>
        <w:tc>
          <w:tcPr>
            <w:tcW w:w="3437" w:type="pct"/>
            <w:vAlign w:val="center"/>
          </w:tcPr>
          <w:p>
            <w:pPr>
              <w:pStyle w:val="3"/>
              <w:spacing w:line="400" w:lineRule="exact"/>
              <w:rPr>
                <w:rFonts w:ascii="仿宋" w:hAnsi="仿宋" w:eastAsia="仿宋"/>
                <w:sz w:val="24"/>
                <w:szCs w:val="24"/>
                <w:highlight w:val="none"/>
              </w:rPr>
            </w:pPr>
            <w:r>
              <w:rPr>
                <w:rFonts w:hint="eastAsia" w:ascii="仿宋" w:hAnsi="仿宋" w:eastAsia="仿宋"/>
                <w:sz w:val="24"/>
                <w:szCs w:val="24"/>
                <w:highlight w:val="none"/>
              </w:rPr>
              <w:t>1、 中标人须完成中标产品的安装调试、线缆部署等系统集成工作，本项目采购的设备的相应配件（譬如光纤线、电源线等）若与使用单位环境不符，中标人及中标品牌厂家需更换为符合环境的同等或更高级别配件；部署新增软硬件设备不得对现有系统造成影响，不得影响业务系统正常运行；</w:t>
            </w:r>
          </w:p>
          <w:p>
            <w:pPr>
              <w:pStyle w:val="3"/>
              <w:spacing w:line="400" w:lineRule="exact"/>
              <w:rPr>
                <w:rFonts w:ascii="仿宋" w:hAnsi="仿宋" w:eastAsia="仿宋"/>
                <w:sz w:val="24"/>
                <w:szCs w:val="24"/>
                <w:highlight w:val="none"/>
              </w:rPr>
            </w:pPr>
            <w:r>
              <w:rPr>
                <w:rFonts w:hint="eastAsia" w:ascii="仿宋" w:hAnsi="仿宋" w:eastAsia="仿宋"/>
                <w:sz w:val="24"/>
                <w:szCs w:val="24"/>
                <w:highlight w:val="none"/>
              </w:rPr>
              <w:t>2、 中标人在实施前，须提供详细的安装实施方案给采购人审核，经采购人确认后，方可进行项目实施。中标供应商完成所供软硬件的安装部署还需根据采购人的要求按成以下集成工作：</w:t>
            </w:r>
          </w:p>
          <w:p>
            <w:pPr>
              <w:pStyle w:val="3"/>
              <w:spacing w:line="400" w:lineRule="exact"/>
              <w:rPr>
                <w:rFonts w:ascii="仿宋" w:hAnsi="仿宋" w:eastAsia="仿宋"/>
                <w:sz w:val="24"/>
                <w:szCs w:val="24"/>
                <w:highlight w:val="none"/>
              </w:rPr>
            </w:pPr>
            <w:r>
              <w:rPr>
                <w:rFonts w:hint="eastAsia" w:ascii="仿宋" w:hAnsi="仿宋" w:eastAsia="仿宋"/>
                <w:sz w:val="24"/>
                <w:szCs w:val="24"/>
                <w:highlight w:val="none"/>
              </w:rPr>
              <w:t>（1）根据网络安全设备现有实际情况设置相关策略，完成新购设备的安装部署调试工作；</w:t>
            </w:r>
          </w:p>
          <w:p>
            <w:pPr>
              <w:pStyle w:val="3"/>
              <w:spacing w:line="400" w:lineRule="exact"/>
              <w:rPr>
                <w:rFonts w:ascii="仿宋" w:hAnsi="仿宋" w:eastAsia="仿宋"/>
                <w:sz w:val="24"/>
                <w:szCs w:val="24"/>
                <w:highlight w:val="none"/>
              </w:rPr>
            </w:pPr>
            <w:r>
              <w:rPr>
                <w:rFonts w:hint="eastAsia" w:ascii="仿宋" w:hAnsi="仿宋" w:eastAsia="仿宋"/>
                <w:sz w:val="24"/>
                <w:szCs w:val="24"/>
                <w:highlight w:val="none"/>
              </w:rPr>
              <w:t>（2）对新购产品设备与现有网络安全相关软硬件设备环境进行集成联调及调优工作；须与采购人系统内网络安全相关软硬件设备的服务商等进行积极主动的合作，服从采购人的统一协调，完成项目的各个阶段；实施部署完成后提交采购人完整的配置文档。</w:t>
            </w:r>
          </w:p>
          <w:p>
            <w:pPr>
              <w:pStyle w:val="3"/>
              <w:spacing w:line="400" w:lineRule="exact"/>
              <w:rPr>
                <w:rFonts w:ascii="仿宋" w:hAnsi="仿宋" w:eastAsia="仿宋"/>
                <w:sz w:val="24"/>
                <w:szCs w:val="24"/>
                <w:highlight w:val="none"/>
              </w:rPr>
            </w:pPr>
            <w:r>
              <w:rPr>
                <w:rFonts w:hint="eastAsia" w:ascii="仿宋" w:hAnsi="仿宋" w:eastAsia="仿宋"/>
                <w:sz w:val="24"/>
                <w:szCs w:val="24"/>
                <w:highlight w:val="none"/>
              </w:rPr>
              <w:t>（3）安装部署阶段,至少提供具备3年以上网络安全行业从业经历的2名服务工程师保障本项目的实施工作，其中一名工程师需是所供产品原厂工程师,一名工程师需获得CISP注册信息安全专业人员证书。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gridSpan w:val="3"/>
            <w:vAlign w:val="center"/>
          </w:tcPr>
          <w:p>
            <w:pPr>
              <w:jc w:val="center"/>
              <w:rPr>
                <w:rFonts w:ascii="仿宋" w:hAnsi="仿宋" w:eastAsia="仿宋"/>
                <w:sz w:val="24"/>
                <w:szCs w:val="24"/>
                <w:highlight w:val="none"/>
              </w:rPr>
            </w:pPr>
            <w:r>
              <w:rPr>
                <w:rFonts w:hint="eastAsia" w:ascii="仿宋" w:hAnsi="仿宋" w:eastAsia="仿宋" w:cs="Arial"/>
                <w:sz w:val="24"/>
                <w:szCs w:val="24"/>
                <w:highlight w:val="none"/>
              </w:rPr>
              <w:t>售后服务要求</w:t>
            </w:r>
          </w:p>
        </w:tc>
        <w:tc>
          <w:tcPr>
            <w:tcW w:w="3437" w:type="pct"/>
            <w:vAlign w:val="center"/>
          </w:tcPr>
          <w:p>
            <w:pPr>
              <w:spacing w:line="400" w:lineRule="exact"/>
              <w:rPr>
                <w:rFonts w:ascii="仿宋" w:hAnsi="仿宋" w:eastAsia="仿宋" w:cs="Arial"/>
                <w:sz w:val="24"/>
                <w:szCs w:val="24"/>
                <w:highlight w:val="none"/>
              </w:rPr>
            </w:pPr>
            <w:r>
              <w:rPr>
                <w:rFonts w:hint="eastAsia" w:ascii="仿宋" w:hAnsi="仿宋" w:eastAsia="仿宋"/>
                <w:w w:val="95"/>
                <w:sz w:val="24"/>
                <w:szCs w:val="24"/>
                <w:highlight w:val="none"/>
              </w:rPr>
              <w:t>★</w:t>
            </w:r>
            <w:r>
              <w:rPr>
                <w:rFonts w:hint="eastAsia" w:ascii="仿宋" w:hAnsi="仿宋" w:eastAsia="仿宋" w:cs="Arial"/>
                <w:sz w:val="24"/>
                <w:szCs w:val="24"/>
                <w:highlight w:val="none"/>
              </w:rPr>
              <w:t>（1）安装实施服务：中标人必须按照本项目的要求，完成中标产品的安装部署实施工作，并提供中标产品原厂商对此项目的售后服务承诺函。要求中标人确保中标产品能在采购人现有网络环境安全、可靠、稳定的运行，不影响现有业务系统的正常使用；实施过程中如中标产品可能会对现有业务系统有重大影响的，中标人应提前三天将涉及到这个环节的实施方案提交给采购人，经过采购人认可并商定实施时间后，方能按照商定的时间进行实施。</w:t>
            </w:r>
          </w:p>
          <w:p>
            <w:pPr>
              <w:spacing w:line="400" w:lineRule="exact"/>
              <w:rPr>
                <w:rFonts w:ascii="仿宋" w:hAnsi="仿宋" w:eastAsia="仿宋" w:cs="Arial"/>
                <w:sz w:val="24"/>
                <w:szCs w:val="24"/>
                <w:highlight w:val="none"/>
              </w:rPr>
            </w:pPr>
            <w:r>
              <w:rPr>
                <w:rFonts w:hint="eastAsia" w:ascii="仿宋" w:hAnsi="仿宋" w:eastAsia="仿宋" w:cs="Arial"/>
                <w:sz w:val="24"/>
                <w:szCs w:val="24"/>
                <w:highlight w:val="none"/>
              </w:rPr>
              <w:t>（2）质保期内技术支持服务：提供7*24小时技术支持服务，电话服务请求的响应时间应少于1小时，在接到报故障后，应在2小时内派技术人员到现场，进行故障排查及修复工作。在质保期内由中标人提供中标产品的定期升级服务；对于软件版本的重大升级，需由原厂技术工程师亲自上门实施，确保中标产品的稳定运行；</w:t>
            </w:r>
          </w:p>
          <w:p>
            <w:pPr>
              <w:spacing w:line="400" w:lineRule="exact"/>
              <w:rPr>
                <w:rFonts w:ascii="仿宋" w:hAnsi="仿宋" w:eastAsia="仿宋" w:cs="Arial"/>
                <w:sz w:val="24"/>
                <w:szCs w:val="24"/>
                <w:highlight w:val="none"/>
              </w:rPr>
            </w:pPr>
            <w:r>
              <w:rPr>
                <w:rFonts w:hint="eastAsia" w:ascii="仿宋" w:hAnsi="仿宋" w:eastAsia="仿宋" w:cs="Arial"/>
                <w:sz w:val="24"/>
                <w:szCs w:val="24"/>
                <w:highlight w:val="none"/>
              </w:rPr>
              <w:t>（3）异常故障分析服务：采购人的网络环境发生调整导致中标产品不可用时，中标人要协调原厂技术工程师提供紧急现场服务，1小时内到达指定现场，分析故障原因并提出解决方案，故障处置过程复杂的，原厂技术工程师要提出临时解决方案，确保采购人网络的正常运行。</w:t>
            </w:r>
          </w:p>
          <w:p>
            <w:pPr>
              <w:spacing w:line="400" w:lineRule="exact"/>
              <w:rPr>
                <w:rFonts w:ascii="仿宋" w:hAnsi="仿宋" w:eastAsia="仿宋"/>
                <w:sz w:val="24"/>
                <w:szCs w:val="24"/>
                <w:highlight w:val="none"/>
              </w:rPr>
            </w:pPr>
            <w:r>
              <w:rPr>
                <w:rFonts w:hint="eastAsia" w:ascii="仿宋" w:hAnsi="仿宋" w:eastAsia="仿宋" w:cs="Arial"/>
                <w:sz w:val="24"/>
                <w:szCs w:val="24"/>
                <w:highlight w:val="none"/>
              </w:rPr>
              <w:t>（5）培训服务：中标人负责对采购人指定的技术人员进行技术培训，培训内容包括产品操作、维护、简单维修和其他采购单位要求的内容，经培训应能进行日常运行维护工作。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gridSpan w:val="3"/>
            <w:vAlign w:val="center"/>
          </w:tcPr>
          <w:p>
            <w:pPr>
              <w:jc w:val="center"/>
              <w:rPr>
                <w:rFonts w:ascii="仿宋" w:hAnsi="仿宋" w:eastAsia="仿宋"/>
                <w:sz w:val="24"/>
                <w:szCs w:val="24"/>
                <w:highlight w:val="none"/>
              </w:rPr>
            </w:pPr>
            <w:r>
              <w:rPr>
                <w:rFonts w:hint="eastAsia" w:ascii="仿宋" w:hAnsi="仿宋" w:eastAsia="仿宋"/>
                <w:w w:val="95"/>
                <w:sz w:val="24"/>
                <w:szCs w:val="24"/>
                <w:highlight w:val="none"/>
              </w:rPr>
              <w:t>★</w:t>
            </w:r>
            <w:r>
              <w:rPr>
                <w:rFonts w:hint="eastAsia" w:ascii="仿宋" w:hAnsi="仿宋" w:eastAsia="仿宋" w:cs="Arial"/>
                <w:sz w:val="24"/>
                <w:szCs w:val="24"/>
                <w:highlight w:val="none"/>
              </w:rPr>
              <w:t>付款方式</w:t>
            </w:r>
          </w:p>
        </w:tc>
        <w:tc>
          <w:tcPr>
            <w:tcW w:w="3437" w:type="pct"/>
            <w:vAlign w:val="center"/>
          </w:tcPr>
          <w:p>
            <w:pPr>
              <w:spacing w:line="400" w:lineRule="exact"/>
              <w:rPr>
                <w:rFonts w:ascii="仿宋" w:hAnsi="仿宋" w:eastAsia="仿宋" w:cs="Arial"/>
                <w:sz w:val="24"/>
                <w:szCs w:val="24"/>
                <w:highlight w:val="none"/>
              </w:rPr>
            </w:pPr>
            <w:r>
              <w:rPr>
                <w:rFonts w:hint="eastAsia" w:ascii="仿宋" w:hAnsi="仿宋" w:eastAsia="仿宋" w:cs="Arial"/>
                <w:sz w:val="24"/>
                <w:szCs w:val="24"/>
                <w:highlight w:val="none"/>
              </w:rPr>
              <w:t>签订合同之日起 15 个工作日内，采购人预付款合同总金额的60%；所有货物验收合格并交付正常使用后，采购人根据项目验收标准及本项目合同罚则条款进行考核，按考核结果对合同服务费进行核算后，15 个工作日内支付合同剩余款项。</w:t>
            </w:r>
          </w:p>
          <w:p>
            <w:pPr>
              <w:rPr>
                <w:rFonts w:ascii="仿宋" w:hAnsi="仿宋" w:eastAsia="仿宋"/>
                <w:sz w:val="24"/>
                <w:szCs w:val="24"/>
                <w:highlight w:val="none"/>
              </w:rPr>
            </w:pPr>
            <w:r>
              <w:rPr>
                <w:rFonts w:hint="eastAsia" w:ascii="仿宋" w:hAnsi="仿宋" w:eastAsia="仿宋" w:cs="Arial"/>
                <w:sz w:val="24"/>
                <w:szCs w:val="24"/>
                <w:highlight w:val="none"/>
              </w:rPr>
              <w:t>采购人付款前，中标人应向采购人开具等额有效的增值税发票，采购人未收到发票的，有权不予支付相应款项直至中标人提供合格发票，并不承担延迟付款责任。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gridSpan w:val="3"/>
            <w:vAlign w:val="center"/>
          </w:tcPr>
          <w:p>
            <w:pPr>
              <w:jc w:val="center"/>
              <w:rPr>
                <w:rFonts w:ascii="仿宋" w:hAnsi="仿宋" w:eastAsia="仿宋"/>
                <w:sz w:val="24"/>
                <w:szCs w:val="24"/>
                <w:highlight w:val="none"/>
              </w:rPr>
            </w:pPr>
            <w:r>
              <w:rPr>
                <w:rFonts w:hint="eastAsia" w:ascii="仿宋" w:hAnsi="仿宋" w:eastAsia="仿宋" w:cs="Calibri"/>
                <w:sz w:val="24"/>
                <w:szCs w:val="24"/>
                <w:highlight w:val="none"/>
              </w:rPr>
              <w:t>验收方式及标准</w:t>
            </w:r>
          </w:p>
        </w:tc>
        <w:tc>
          <w:tcPr>
            <w:tcW w:w="3437" w:type="pct"/>
            <w:vAlign w:val="center"/>
          </w:tcPr>
          <w:p>
            <w:pPr>
              <w:pStyle w:val="3"/>
              <w:spacing w:line="400" w:lineRule="exact"/>
              <w:rPr>
                <w:rFonts w:ascii="仿宋" w:hAnsi="仿宋" w:eastAsia="仿宋"/>
                <w:sz w:val="24"/>
                <w:szCs w:val="24"/>
                <w:highlight w:val="none"/>
              </w:rPr>
            </w:pPr>
            <w:r>
              <w:rPr>
                <w:rFonts w:hint="eastAsia" w:ascii="仿宋" w:hAnsi="仿宋" w:eastAsia="仿宋"/>
                <w:sz w:val="24"/>
                <w:szCs w:val="24"/>
                <w:highlight w:val="none"/>
              </w:rPr>
              <w:t>（一）验收条件</w:t>
            </w:r>
          </w:p>
          <w:p>
            <w:pPr>
              <w:pStyle w:val="3"/>
              <w:spacing w:line="400" w:lineRule="exact"/>
              <w:ind w:firstLine="480"/>
              <w:rPr>
                <w:rFonts w:ascii="仿宋" w:hAnsi="仿宋" w:eastAsia="仿宋"/>
                <w:sz w:val="24"/>
                <w:szCs w:val="24"/>
                <w:highlight w:val="none"/>
              </w:rPr>
            </w:pPr>
            <w:r>
              <w:rPr>
                <w:rFonts w:hint="eastAsia" w:ascii="仿宋" w:hAnsi="仿宋" w:eastAsia="仿宋"/>
                <w:sz w:val="24"/>
                <w:szCs w:val="24"/>
                <w:highlight w:val="none"/>
              </w:rPr>
              <w:t>本需求书中包含的设备按期完成安装、部署、配置，以及组织管理和项目文档满足本采购文件的规定要求。</w:t>
            </w:r>
          </w:p>
          <w:p>
            <w:pPr>
              <w:pStyle w:val="3"/>
              <w:spacing w:line="400" w:lineRule="exact"/>
              <w:rPr>
                <w:rFonts w:ascii="仿宋" w:hAnsi="仿宋" w:eastAsia="仿宋"/>
                <w:sz w:val="24"/>
                <w:szCs w:val="24"/>
                <w:highlight w:val="none"/>
              </w:rPr>
            </w:pPr>
            <w:r>
              <w:rPr>
                <w:rFonts w:hint="eastAsia" w:ascii="仿宋" w:hAnsi="仿宋" w:eastAsia="仿宋"/>
                <w:sz w:val="24"/>
                <w:szCs w:val="24"/>
                <w:highlight w:val="none"/>
              </w:rPr>
              <w:t>（二）验收标准</w:t>
            </w:r>
          </w:p>
          <w:p>
            <w:pPr>
              <w:pStyle w:val="3"/>
              <w:spacing w:line="400" w:lineRule="exact"/>
              <w:ind w:firstLine="480"/>
              <w:rPr>
                <w:rFonts w:ascii="仿宋" w:hAnsi="仿宋" w:eastAsia="仿宋"/>
                <w:sz w:val="24"/>
                <w:szCs w:val="24"/>
                <w:highlight w:val="none"/>
              </w:rPr>
            </w:pPr>
            <w:r>
              <w:rPr>
                <w:rFonts w:hint="eastAsia" w:ascii="仿宋" w:hAnsi="仿宋" w:eastAsia="仿宋"/>
                <w:sz w:val="24"/>
                <w:szCs w:val="24"/>
                <w:highlight w:val="none"/>
              </w:rPr>
              <w:t>以本需求书中相关内容及其要求为依据，作为项目验收标准。供应商是否按照本招标需求书中定义的各项要求开展各项设备安装部署工作，工作流程和结果是否符合采购人质量管理要求，是否在规定时间内提交相关工作文档。</w:t>
            </w:r>
          </w:p>
          <w:p>
            <w:pPr>
              <w:pStyle w:val="3"/>
              <w:spacing w:line="400" w:lineRule="exact"/>
              <w:rPr>
                <w:rFonts w:ascii="仿宋" w:hAnsi="仿宋" w:eastAsia="仿宋"/>
                <w:sz w:val="24"/>
                <w:szCs w:val="24"/>
                <w:highlight w:val="none"/>
              </w:rPr>
            </w:pPr>
            <w:r>
              <w:rPr>
                <w:rFonts w:hint="eastAsia" w:ascii="仿宋" w:hAnsi="仿宋" w:eastAsia="仿宋"/>
                <w:sz w:val="24"/>
                <w:szCs w:val="24"/>
                <w:highlight w:val="none"/>
              </w:rPr>
              <w:t>（三）验收流程</w:t>
            </w:r>
          </w:p>
          <w:p>
            <w:pPr>
              <w:pStyle w:val="3"/>
              <w:spacing w:line="400" w:lineRule="exact"/>
              <w:ind w:firstLine="480"/>
              <w:rPr>
                <w:rFonts w:ascii="仿宋" w:hAnsi="仿宋" w:eastAsia="仿宋"/>
                <w:sz w:val="24"/>
                <w:szCs w:val="24"/>
                <w:highlight w:val="none"/>
              </w:rPr>
            </w:pPr>
            <w:r>
              <w:rPr>
                <w:rFonts w:hint="eastAsia" w:ascii="仿宋" w:hAnsi="仿宋" w:eastAsia="仿宋"/>
                <w:sz w:val="24"/>
                <w:szCs w:val="24"/>
                <w:highlight w:val="none"/>
              </w:rPr>
              <w:t>符合项目验收条件后，供应商可提出项目验收书面申请。向采购人提交验收申请。向采购人整理提交项目相关管理、技术文档。</w:t>
            </w:r>
          </w:p>
          <w:p>
            <w:pPr>
              <w:pStyle w:val="3"/>
              <w:spacing w:line="400" w:lineRule="exact"/>
              <w:ind w:firstLine="480"/>
              <w:rPr>
                <w:rFonts w:ascii="仿宋" w:hAnsi="仿宋" w:eastAsia="仿宋"/>
                <w:sz w:val="24"/>
                <w:szCs w:val="24"/>
                <w:highlight w:val="none"/>
              </w:rPr>
            </w:pPr>
            <w:r>
              <w:rPr>
                <w:rFonts w:hint="eastAsia" w:ascii="仿宋" w:hAnsi="仿宋" w:eastAsia="仿宋"/>
                <w:sz w:val="24"/>
                <w:szCs w:val="24"/>
                <w:highlight w:val="none"/>
              </w:rPr>
              <w:t>采购人对项目工作内容及文档进行验收，项目验收通过后，采购人出具项目验收报告。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gridSpan w:val="3"/>
            <w:vAlign w:val="center"/>
          </w:tcPr>
          <w:p>
            <w:pPr>
              <w:jc w:val="center"/>
              <w:rPr>
                <w:rFonts w:ascii="仿宋" w:hAnsi="仿宋" w:eastAsia="仿宋"/>
                <w:sz w:val="24"/>
                <w:szCs w:val="24"/>
                <w:highlight w:val="none"/>
              </w:rPr>
            </w:pPr>
            <w:r>
              <w:rPr>
                <w:rFonts w:hint="eastAsia" w:ascii="仿宋" w:hAnsi="仿宋" w:eastAsia="仿宋" w:cs="Calibri"/>
                <w:sz w:val="24"/>
                <w:szCs w:val="24"/>
                <w:highlight w:val="none"/>
              </w:rPr>
              <w:t>安全保障和罚责要求</w:t>
            </w:r>
          </w:p>
        </w:tc>
        <w:tc>
          <w:tcPr>
            <w:tcW w:w="3437" w:type="pct"/>
            <w:vAlign w:val="center"/>
          </w:tcPr>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安全保障和罚责要求：</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1.信息安全保密要求</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1）中标人须严格遵守国家税务总局广西壮族自治区税务局的安全保密制度。</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2）中标人投入的项目人员须保证遵守国家有关版权和知识产权保护的政策、法律、法规和制度。</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3）中标人投入的项目人员应对本项目中接触到的国家税务总局广西壮族自治区税务局所有的知识产权、商业秘密、技术成果等信息负保密义务。未经国家税务总局广西壮族自治区税务局书面同意，不得向社会公众或第三方通过任何途径出示、泄露，不得许可使用，不得对上述信息进行复制、传播、销售；保证不向外泄漏任何相关数据，不向外泄漏任何保密的技术资料。如出现支持人员泄密事件，中标人应负有连带责任。</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4）中标人须与国家税务总局广西壮族自治区税务局签署合同项目实施期间的信息保密协议。</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5）中标人投入的项目人员须与国家税务总局广西壮族自治区税务局签署合同项目实施期间的信息保密承诺书。</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2.供应链安全管理要求</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在项目采购需求中，中标人必须严格按照税务系统供应链安全管理的各项规定要求开展运维服务，包括但不限于：</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1）中标人销售的产品具备销售许可证、满足国家认可的网络安全规范和认证要求；</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2）中标人销售产品满足业务持续稳定运行时限需求的使用授权；</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3）中标人采用安全可控的方式、渠道，交付产品或开展服务等；</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4）中标人必须明确产品安全性，如不可利用产品的便利条件非法获取用户数据、控制和操纵用户系统和设备，不得在未授权情况下对产品进行升级或更新换代等；</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5）中标人必须明确安全责任和义务，如供应商对软硬件产品和服务的设计、研发、生产、交付等关键环节加强安全管理；</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6）中标人必须按照国家法律法规开展的安全审查、安全评估、渗透测试等；</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7）中标人必须设置声明条款，说明采购第三方产品、开源限制性、知识产权等情况。</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3.网络安全和数据安全管理要求</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中标人投入的项目人员在合同期间应严格按采购人的网络安全和数据安全相关规定开展工作，由于中标人投入的项目人员网络安全工作落实不到位引发安全事件的，采购人将视安全事件严重情况按合同金额的</w:t>
            </w:r>
            <w:r>
              <w:rPr>
                <w:rFonts w:ascii="仿宋" w:hAnsi="仿宋" w:eastAsia="仿宋"/>
                <w:sz w:val="24"/>
                <w:szCs w:val="24"/>
                <w:highlight w:val="none"/>
              </w:rPr>
              <w:t>20%-30%的比例进行扣减。</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安全事件具体内容主要包括</w:t>
            </w:r>
            <w:r>
              <w:rPr>
                <w:rFonts w:ascii="仿宋" w:hAnsi="仿宋" w:eastAsia="仿宋"/>
                <w:sz w:val="24"/>
                <w:szCs w:val="24"/>
                <w:highlight w:val="none"/>
              </w:rPr>
              <w:t>(但不限于)以下内容：</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1）因补丁升级、漏洞修复、系统杀毒、数据备份、应用监控、网络监控等工作未落实到位，发生服务器被控制和应用系统被攻破的安全事件，被主管部门通报的。</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2）因违规进行税费数据查询、导出和拷出等操作造成敏感数据泄漏，以及发生非法窃取数据行为。</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3）因运维操作处置不当导致重要应用系统发生严重卡顿、停用的重大事件。</w:t>
            </w:r>
          </w:p>
          <w:p>
            <w:pPr>
              <w:pStyle w:val="3"/>
              <w:spacing w:line="240" w:lineRule="atLeas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4.罚责条款</w:t>
            </w:r>
          </w:p>
          <w:p>
            <w:pPr>
              <w:spacing w:line="240" w:lineRule="atLeast"/>
              <w:ind w:firstLine="480" w:firstLineChars="200"/>
              <w:rPr>
                <w:rFonts w:ascii="仿宋" w:hAnsi="仿宋" w:eastAsia="仿宋"/>
                <w:sz w:val="24"/>
                <w:szCs w:val="24"/>
                <w:highlight w:val="none"/>
              </w:rPr>
            </w:pPr>
            <w:r>
              <w:rPr>
                <w:rFonts w:hint="eastAsia" w:ascii="仿宋" w:hAnsi="仿宋" w:eastAsia="仿宋"/>
                <w:sz w:val="24"/>
                <w:szCs w:val="24"/>
                <w:highlight w:val="none"/>
              </w:rPr>
              <w:t>项目建设和运维过程中，因系统在对接、运行等服务中，导致其他系统受到影响的，由中标人负责组织相关服务厂商共同排查，明确问题根源、责任并报告采购人。中标人无法判定问题根源的，由中标人承担全部责任。采购人将根据问题的轻重、中标人责任的大小，扣除不高于合同款</w:t>
            </w:r>
            <w:r>
              <w:rPr>
                <w:rFonts w:ascii="仿宋" w:hAnsi="仿宋" w:eastAsia="仿宋"/>
                <w:sz w:val="24"/>
                <w:szCs w:val="24"/>
                <w:highlight w:val="none"/>
              </w:rPr>
              <w:t>5%服务金额。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pct"/>
            <w:gridSpan w:val="3"/>
            <w:vAlign w:val="center"/>
          </w:tcPr>
          <w:p>
            <w:pPr>
              <w:jc w:val="center"/>
              <w:rPr>
                <w:rFonts w:ascii="仿宋" w:hAnsi="仿宋" w:eastAsia="仿宋"/>
                <w:sz w:val="24"/>
                <w:szCs w:val="24"/>
                <w:highlight w:val="none"/>
              </w:rPr>
            </w:pPr>
            <w:r>
              <w:rPr>
                <w:rFonts w:hint="eastAsia" w:ascii="仿宋" w:hAnsi="仿宋" w:eastAsia="仿宋" w:cs="Calibri"/>
                <w:sz w:val="24"/>
                <w:szCs w:val="24"/>
                <w:highlight w:val="none"/>
              </w:rPr>
              <w:t>其他要求</w:t>
            </w:r>
          </w:p>
        </w:tc>
        <w:tc>
          <w:tcPr>
            <w:tcW w:w="3437" w:type="pct"/>
            <w:vAlign w:val="center"/>
          </w:tcPr>
          <w:p>
            <w:pPr>
              <w:rPr>
                <w:rFonts w:ascii="仿宋" w:hAnsi="仿宋" w:eastAsia="仿宋"/>
                <w:sz w:val="24"/>
                <w:szCs w:val="24"/>
                <w:highlight w:val="none"/>
              </w:rPr>
            </w:pPr>
            <w:r>
              <w:rPr>
                <w:rFonts w:hint="eastAsia" w:ascii="仿宋" w:hAnsi="仿宋" w:eastAsia="仿宋"/>
                <w:sz w:val="24"/>
                <w:szCs w:val="24"/>
                <w:highlight w:val="none"/>
              </w:rPr>
              <w:t>1.中标人须在项目实施中负责解决全部技术问题。若投标文件中的设计或实施方案出现不合理或不完整的情况，中标人有责任和义务提出补充修改方案并征得采购人同意后付诸实施，所需费用由投标人承担，采购人不再支付任何费用。</w:t>
            </w:r>
          </w:p>
        </w:tc>
      </w:tr>
    </w:tbl>
    <w:p>
      <w:pPr>
        <w:widowControl/>
        <w:jc w:val="left"/>
        <w:rPr>
          <w:rFonts w:ascii="仿宋" w:hAnsi="仿宋" w:eastAsia="仿宋"/>
          <w:b/>
          <w:bCs/>
          <w:sz w:val="24"/>
          <w:szCs w:val="24"/>
        </w:rPr>
      </w:pPr>
    </w:p>
    <w:p>
      <w:pPr>
        <w:widowControl/>
        <w:jc w:val="left"/>
        <w:rPr>
          <w:rFonts w:ascii="仿宋_GB2312" w:hAnsi="仿宋" w:eastAsia="仿宋_GB2312"/>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252D1"/>
    <w:multiLevelType w:val="multilevel"/>
    <w:tmpl w:val="1BF252D1"/>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F301F91"/>
    <w:multiLevelType w:val="multilevel"/>
    <w:tmpl w:val="1F301F91"/>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214C27B5"/>
    <w:multiLevelType w:val="multilevel"/>
    <w:tmpl w:val="214C27B5"/>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550737C0"/>
    <w:multiLevelType w:val="multilevel"/>
    <w:tmpl w:val="550737C0"/>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5C574023"/>
    <w:multiLevelType w:val="multilevel"/>
    <w:tmpl w:val="5C574023"/>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62A06558"/>
    <w:multiLevelType w:val="multilevel"/>
    <w:tmpl w:val="62A06558"/>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6BC370E6"/>
    <w:multiLevelType w:val="multilevel"/>
    <w:tmpl w:val="6BC370E6"/>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2491FD1"/>
    <w:multiLevelType w:val="multilevel"/>
    <w:tmpl w:val="72491FD1"/>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4"/>
  </w:num>
  <w:num w:numId="3">
    <w:abstractNumId w:val="5"/>
  </w:num>
  <w:num w:numId="4">
    <w:abstractNumId w:val="6"/>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53"/>
    <w:rsid w:val="00001479"/>
    <w:rsid w:val="0000733F"/>
    <w:rsid w:val="000225DE"/>
    <w:rsid w:val="00052067"/>
    <w:rsid w:val="00052D53"/>
    <w:rsid w:val="00060178"/>
    <w:rsid w:val="00067B14"/>
    <w:rsid w:val="00094119"/>
    <w:rsid w:val="000A52CD"/>
    <w:rsid w:val="000D0C36"/>
    <w:rsid w:val="000D625B"/>
    <w:rsid w:val="000D7D65"/>
    <w:rsid w:val="000E28C8"/>
    <w:rsid w:val="000E50DD"/>
    <w:rsid w:val="000F2F10"/>
    <w:rsid w:val="000F77F0"/>
    <w:rsid w:val="00102BC3"/>
    <w:rsid w:val="00124F03"/>
    <w:rsid w:val="00132CF8"/>
    <w:rsid w:val="001412F7"/>
    <w:rsid w:val="00161A2F"/>
    <w:rsid w:val="0017498A"/>
    <w:rsid w:val="00177E73"/>
    <w:rsid w:val="00192C1E"/>
    <w:rsid w:val="00194473"/>
    <w:rsid w:val="001969E5"/>
    <w:rsid w:val="001A0D55"/>
    <w:rsid w:val="001C65ED"/>
    <w:rsid w:val="001D27C1"/>
    <w:rsid w:val="00203056"/>
    <w:rsid w:val="00227681"/>
    <w:rsid w:val="00230082"/>
    <w:rsid w:val="0023241E"/>
    <w:rsid w:val="00243C6D"/>
    <w:rsid w:val="00253EC6"/>
    <w:rsid w:val="00262739"/>
    <w:rsid w:val="00280645"/>
    <w:rsid w:val="002A3953"/>
    <w:rsid w:val="002A76BB"/>
    <w:rsid w:val="002B5950"/>
    <w:rsid w:val="002C2075"/>
    <w:rsid w:val="002C51C5"/>
    <w:rsid w:val="002D6235"/>
    <w:rsid w:val="002F0662"/>
    <w:rsid w:val="003005EF"/>
    <w:rsid w:val="003203FC"/>
    <w:rsid w:val="0032174E"/>
    <w:rsid w:val="003466B9"/>
    <w:rsid w:val="00346BF4"/>
    <w:rsid w:val="00346F74"/>
    <w:rsid w:val="003541A8"/>
    <w:rsid w:val="00397A17"/>
    <w:rsid w:val="003A0A2F"/>
    <w:rsid w:val="003A187D"/>
    <w:rsid w:val="003A7B8C"/>
    <w:rsid w:val="003C24AD"/>
    <w:rsid w:val="003C41A4"/>
    <w:rsid w:val="003D5898"/>
    <w:rsid w:val="003F1F64"/>
    <w:rsid w:val="003F653B"/>
    <w:rsid w:val="0044597E"/>
    <w:rsid w:val="00464CE0"/>
    <w:rsid w:val="004768C8"/>
    <w:rsid w:val="0048293E"/>
    <w:rsid w:val="00483D4A"/>
    <w:rsid w:val="00492850"/>
    <w:rsid w:val="00492AF3"/>
    <w:rsid w:val="00497B37"/>
    <w:rsid w:val="004E213C"/>
    <w:rsid w:val="004E2C5C"/>
    <w:rsid w:val="004E5648"/>
    <w:rsid w:val="004F1148"/>
    <w:rsid w:val="004F3FA4"/>
    <w:rsid w:val="004F7729"/>
    <w:rsid w:val="00512EEA"/>
    <w:rsid w:val="005136C5"/>
    <w:rsid w:val="00557CA0"/>
    <w:rsid w:val="00572A56"/>
    <w:rsid w:val="0059164F"/>
    <w:rsid w:val="005B745A"/>
    <w:rsid w:val="005D135A"/>
    <w:rsid w:val="005D45B1"/>
    <w:rsid w:val="005D67B6"/>
    <w:rsid w:val="005E1DC0"/>
    <w:rsid w:val="005E55EF"/>
    <w:rsid w:val="005F2860"/>
    <w:rsid w:val="005F645C"/>
    <w:rsid w:val="00600AD0"/>
    <w:rsid w:val="006127D5"/>
    <w:rsid w:val="00631413"/>
    <w:rsid w:val="006C1D32"/>
    <w:rsid w:val="006D48FA"/>
    <w:rsid w:val="006E3AB5"/>
    <w:rsid w:val="00700BA4"/>
    <w:rsid w:val="00717A52"/>
    <w:rsid w:val="00723896"/>
    <w:rsid w:val="00733417"/>
    <w:rsid w:val="00734E61"/>
    <w:rsid w:val="0074148A"/>
    <w:rsid w:val="0074330E"/>
    <w:rsid w:val="00777600"/>
    <w:rsid w:val="00792876"/>
    <w:rsid w:val="007A3111"/>
    <w:rsid w:val="007B1F4E"/>
    <w:rsid w:val="007B7311"/>
    <w:rsid w:val="007C28C5"/>
    <w:rsid w:val="007E34C6"/>
    <w:rsid w:val="007F1502"/>
    <w:rsid w:val="007F1C6A"/>
    <w:rsid w:val="00815E0E"/>
    <w:rsid w:val="0082349E"/>
    <w:rsid w:val="00825726"/>
    <w:rsid w:val="00832E80"/>
    <w:rsid w:val="00834438"/>
    <w:rsid w:val="00855D8F"/>
    <w:rsid w:val="00864F43"/>
    <w:rsid w:val="00865820"/>
    <w:rsid w:val="008676D3"/>
    <w:rsid w:val="00885637"/>
    <w:rsid w:val="00895FF3"/>
    <w:rsid w:val="008C3274"/>
    <w:rsid w:val="008D143B"/>
    <w:rsid w:val="008D79BC"/>
    <w:rsid w:val="008E0640"/>
    <w:rsid w:val="008E67BA"/>
    <w:rsid w:val="008F09EA"/>
    <w:rsid w:val="008F50CB"/>
    <w:rsid w:val="008F6931"/>
    <w:rsid w:val="00904CFD"/>
    <w:rsid w:val="009352A3"/>
    <w:rsid w:val="00942631"/>
    <w:rsid w:val="00947A29"/>
    <w:rsid w:val="00954E4A"/>
    <w:rsid w:val="00956869"/>
    <w:rsid w:val="0096530D"/>
    <w:rsid w:val="00972B63"/>
    <w:rsid w:val="009760A6"/>
    <w:rsid w:val="00977A69"/>
    <w:rsid w:val="00990A20"/>
    <w:rsid w:val="00996481"/>
    <w:rsid w:val="009974AE"/>
    <w:rsid w:val="009A56F0"/>
    <w:rsid w:val="009C1F78"/>
    <w:rsid w:val="009C4B9E"/>
    <w:rsid w:val="009F21FE"/>
    <w:rsid w:val="00A019FA"/>
    <w:rsid w:val="00A11F68"/>
    <w:rsid w:val="00A208CD"/>
    <w:rsid w:val="00A35998"/>
    <w:rsid w:val="00A3796D"/>
    <w:rsid w:val="00A41154"/>
    <w:rsid w:val="00A523A8"/>
    <w:rsid w:val="00A7223A"/>
    <w:rsid w:val="00A752FC"/>
    <w:rsid w:val="00A90305"/>
    <w:rsid w:val="00AA421B"/>
    <w:rsid w:val="00AB08A6"/>
    <w:rsid w:val="00AB23AC"/>
    <w:rsid w:val="00AC0310"/>
    <w:rsid w:val="00AC7016"/>
    <w:rsid w:val="00AD5E72"/>
    <w:rsid w:val="00AE42E2"/>
    <w:rsid w:val="00AF0B4C"/>
    <w:rsid w:val="00B05CAA"/>
    <w:rsid w:val="00B0691C"/>
    <w:rsid w:val="00B10CBF"/>
    <w:rsid w:val="00B155B8"/>
    <w:rsid w:val="00B21276"/>
    <w:rsid w:val="00B2312A"/>
    <w:rsid w:val="00B45723"/>
    <w:rsid w:val="00B524B6"/>
    <w:rsid w:val="00B5767A"/>
    <w:rsid w:val="00B64327"/>
    <w:rsid w:val="00B7546A"/>
    <w:rsid w:val="00B863A8"/>
    <w:rsid w:val="00B914DC"/>
    <w:rsid w:val="00B95CB2"/>
    <w:rsid w:val="00BB251D"/>
    <w:rsid w:val="00BD7A72"/>
    <w:rsid w:val="00BF2A39"/>
    <w:rsid w:val="00C130A4"/>
    <w:rsid w:val="00C34EAE"/>
    <w:rsid w:val="00C70EF2"/>
    <w:rsid w:val="00C7523A"/>
    <w:rsid w:val="00C77DC6"/>
    <w:rsid w:val="00C8764C"/>
    <w:rsid w:val="00C90147"/>
    <w:rsid w:val="00C908DC"/>
    <w:rsid w:val="00C9166A"/>
    <w:rsid w:val="00CB7DBA"/>
    <w:rsid w:val="00CC36EA"/>
    <w:rsid w:val="00CD1985"/>
    <w:rsid w:val="00CD6C87"/>
    <w:rsid w:val="00CD78C1"/>
    <w:rsid w:val="00CE1FB3"/>
    <w:rsid w:val="00D12BD2"/>
    <w:rsid w:val="00D14B68"/>
    <w:rsid w:val="00D20AAB"/>
    <w:rsid w:val="00D20F3F"/>
    <w:rsid w:val="00D21004"/>
    <w:rsid w:val="00D22193"/>
    <w:rsid w:val="00D47E41"/>
    <w:rsid w:val="00D537CA"/>
    <w:rsid w:val="00D67F52"/>
    <w:rsid w:val="00D81B4B"/>
    <w:rsid w:val="00DC62AF"/>
    <w:rsid w:val="00DD04EE"/>
    <w:rsid w:val="00DD6C70"/>
    <w:rsid w:val="00DD73D1"/>
    <w:rsid w:val="00DF4A86"/>
    <w:rsid w:val="00DF6BE5"/>
    <w:rsid w:val="00E05432"/>
    <w:rsid w:val="00E4351D"/>
    <w:rsid w:val="00E65E9D"/>
    <w:rsid w:val="00E66ABD"/>
    <w:rsid w:val="00E82AA9"/>
    <w:rsid w:val="00E83F9E"/>
    <w:rsid w:val="00EB35BE"/>
    <w:rsid w:val="00EC3091"/>
    <w:rsid w:val="00EE6F0A"/>
    <w:rsid w:val="00EF600B"/>
    <w:rsid w:val="00F0170A"/>
    <w:rsid w:val="00F27727"/>
    <w:rsid w:val="00F73B8D"/>
    <w:rsid w:val="00F76F32"/>
    <w:rsid w:val="00F847BE"/>
    <w:rsid w:val="00F8494F"/>
    <w:rsid w:val="00F928E1"/>
    <w:rsid w:val="00F966FD"/>
    <w:rsid w:val="00FC08B6"/>
    <w:rsid w:val="00FC41FC"/>
    <w:rsid w:val="3ED83683"/>
    <w:rsid w:val="539158F9"/>
    <w:rsid w:val="5E685A6E"/>
    <w:rsid w:val="BFFB7126"/>
    <w:rsid w:val="FE7FB7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1"/>
    <w:link w:val="16"/>
    <w:unhideWhenUsed/>
    <w:qFormat/>
    <w:uiPriority w:val="0"/>
    <w:pPr>
      <w:spacing w:after="120"/>
    </w:pPr>
    <w:rPr>
      <w:rFonts w:ascii="Calibri" w:hAnsi="Calibri" w:eastAsia="宋体" w:cs="Calibri"/>
      <w:szCs w:val="21"/>
    </w:rPr>
  </w:style>
  <w:style w:type="paragraph" w:styleId="4">
    <w:name w:val="Plain Text"/>
    <w:basedOn w:val="1"/>
    <w:next w:val="1"/>
    <w:link w:val="18"/>
    <w:qFormat/>
    <w:uiPriority w:val="0"/>
    <w:rPr>
      <w:rFonts w:ascii="宋体" w:hAnsi="Courier New" w:eastAsia="宋体" w:cs="宋体"/>
      <w:kern w:val="0"/>
      <w:sz w:val="20"/>
      <w:szCs w:val="21"/>
    </w:r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正文文本 Char"/>
    <w:basedOn w:val="10"/>
    <w:link w:val="3"/>
    <w:qFormat/>
    <w:uiPriority w:val="0"/>
    <w:rPr>
      <w:rFonts w:ascii="Calibri" w:hAnsi="Calibri" w:eastAsia="宋体" w:cs="Calibri"/>
      <w:kern w:val="2"/>
      <w:sz w:val="21"/>
      <w:szCs w:val="21"/>
    </w:rPr>
  </w:style>
  <w:style w:type="paragraph" w:customStyle="1" w:styleId="17">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8">
    <w:name w:val="纯文本 Char"/>
    <w:link w:val="4"/>
    <w:qFormat/>
    <w:locked/>
    <w:uiPriority w:val="0"/>
    <w:rPr>
      <w:rFonts w:ascii="宋体" w:hAnsi="Courier New" w:eastAsia="宋体" w:cs="宋体"/>
      <w:szCs w:val="21"/>
    </w:rPr>
  </w:style>
  <w:style w:type="character" w:customStyle="1" w:styleId="19">
    <w:name w:val="纯文本 字符"/>
    <w:basedOn w:val="10"/>
    <w:semiHidden/>
    <w:qFormat/>
    <w:uiPriority w:val="99"/>
    <w:rPr>
      <w:rFonts w:hAnsi="Courier New" w:cs="Courier New" w:asciiTheme="minorEastAsia"/>
      <w:kern w:val="2"/>
      <w:sz w:val="21"/>
      <w:szCs w:val="22"/>
    </w:rPr>
  </w:style>
  <w:style w:type="paragraph" w:customStyle="1" w:styleId="20">
    <w:name w:val="Table Paragraph"/>
    <w:basedOn w:val="1"/>
    <w:qFormat/>
    <w:uiPriority w:val="1"/>
    <w:pPr>
      <w:autoSpaceDE w:val="0"/>
      <w:autoSpaceDN w:val="0"/>
      <w:jc w:val="left"/>
    </w:pPr>
    <w:rPr>
      <w:rFonts w:ascii="宋体" w:hAnsi="宋体" w:eastAsia="宋体" w:cs="宋体"/>
      <w:kern w:val="0"/>
      <w:sz w:val="22"/>
      <w:lang w:eastAsia="en-US"/>
    </w:rPr>
  </w:style>
  <w:style w:type="character" w:customStyle="1" w:styleId="21">
    <w:name w:val="纯文本 Char1"/>
    <w:qFormat/>
    <w:locked/>
    <w:uiPriority w:val="0"/>
    <w:rPr>
      <w:rFonts w:ascii="宋体" w:hAnsi="Courier New" w:eastAsia="宋体" w:cs="宋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1006</Words>
  <Characters>5738</Characters>
  <Lines>47</Lines>
  <Paragraphs>13</Paragraphs>
  <TotalTime>206</TotalTime>
  <ScaleCrop>false</ScaleCrop>
  <LinksUpToDate>false</LinksUpToDate>
  <CharactersWithSpaces>6731</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2024-05-10T11:45:00Z</dcterms:created>
  <dc:creator>Q</dc:creator>
  <cp:lastModifiedBy>蓝俊</cp:lastModifiedBy>
  <dcterms:modified xsi:type="dcterms:W3CDTF">2024-05-17T00:36:01Z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05BF077D9ED07FD6C6C79264663C0AB4_42</vt:lpwstr>
  </property>
</Properties>
</file>