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b/>
          <w:color w:val="auto"/>
          <w:sz w:val="84"/>
          <w:szCs w:val="84"/>
        </w:rPr>
      </w:pPr>
      <w:r>
        <w:rPr>
          <w:rFonts w:hint="eastAsia" w:ascii="微软雅黑" w:hAnsi="微软雅黑"/>
          <w:b/>
          <w:color w:val="auto"/>
          <w:sz w:val="84"/>
          <w:szCs w:val="84"/>
        </w:rPr>
        <w:drawing>
          <wp:inline distT="0" distB="0" distL="114300" distR="114300">
            <wp:extent cx="2809875" cy="114300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2809875" cy="1143000"/>
                    </a:xfrm>
                    <a:prstGeom prst="rect">
                      <a:avLst/>
                    </a:prstGeom>
                    <a:noFill/>
                    <a:ln>
                      <a:noFill/>
                    </a:ln>
                  </pic:spPr>
                </pic:pic>
              </a:graphicData>
            </a:graphic>
          </wp:inline>
        </w:drawing>
      </w:r>
    </w:p>
    <w:p>
      <w:pPr>
        <w:pStyle w:val="43"/>
        <w:ind w:firstLine="210"/>
        <w:rPr>
          <w:color w:val="auto"/>
        </w:rPr>
      </w:pPr>
    </w:p>
    <w:p>
      <w:pPr>
        <w:jc w:val="center"/>
        <w:rPr>
          <w:color w:val="auto"/>
          <w:sz w:val="72"/>
          <w:szCs w:val="72"/>
        </w:rPr>
      </w:pPr>
      <w:r>
        <w:rPr>
          <w:rFonts w:hint="eastAsia" w:ascii="华文新魏" w:hAnsi="华文新魏" w:eastAsia="华文新魏"/>
          <w:color w:val="auto"/>
          <w:sz w:val="52"/>
          <w:szCs w:val="52"/>
        </w:rPr>
        <w:t>广西众联工程项目管理有限公司</w:t>
      </w:r>
    </w:p>
    <w:p>
      <w:pPr>
        <w:spacing w:line="400" w:lineRule="exact"/>
        <w:jc w:val="center"/>
        <w:rPr>
          <w:rFonts w:ascii="华文新魏" w:hAnsi="华文新魏" w:eastAsia="华文新魏"/>
          <w:color w:val="auto"/>
          <w:spacing w:val="116"/>
          <w:sz w:val="52"/>
        </w:rPr>
      </w:pPr>
    </w:p>
    <w:p>
      <w:pPr>
        <w:jc w:val="center"/>
        <w:rPr>
          <w:rFonts w:ascii="楷体_GB2312" w:eastAsia="楷体_GB2312"/>
          <w:b/>
          <w:bCs/>
          <w:color w:val="auto"/>
          <w:spacing w:val="100"/>
          <w:sz w:val="84"/>
          <w:szCs w:val="84"/>
        </w:rPr>
      </w:pPr>
    </w:p>
    <w:p>
      <w:pPr>
        <w:jc w:val="center"/>
        <w:rPr>
          <w:rFonts w:hint="eastAsia" w:ascii="宋体" w:hAnsi="宋体" w:eastAsia="宋体" w:cs="宋体"/>
          <w:color w:val="auto"/>
          <w:szCs w:val="84"/>
        </w:rPr>
      </w:pPr>
      <w:r>
        <w:rPr>
          <w:rFonts w:hint="eastAsia" w:ascii="宋体" w:hAnsi="宋体" w:eastAsia="宋体" w:cs="宋体"/>
          <w:b/>
          <w:bCs/>
          <w:color w:val="auto"/>
          <w:spacing w:val="100"/>
          <w:sz w:val="84"/>
          <w:szCs w:val="84"/>
        </w:rPr>
        <w:t>磋商文件</w:t>
      </w:r>
    </w:p>
    <w:p>
      <w:pPr>
        <w:jc w:val="center"/>
        <w:rPr>
          <w:rFonts w:hint="eastAsia" w:ascii="宋体" w:hAnsi="宋体" w:eastAsia="宋体" w:cs="宋体"/>
          <w:color w:val="auto"/>
        </w:rPr>
      </w:pPr>
    </w:p>
    <w:p>
      <w:pPr>
        <w:jc w:val="center"/>
        <w:rPr>
          <w:color w:val="auto"/>
        </w:rPr>
      </w:pPr>
    </w:p>
    <w:p>
      <w:pPr>
        <w:spacing w:line="480" w:lineRule="auto"/>
        <w:rPr>
          <w:b/>
          <w:color w:val="auto"/>
          <w:sz w:val="32"/>
        </w:rPr>
      </w:pPr>
    </w:p>
    <w:p>
      <w:pPr>
        <w:spacing w:line="480" w:lineRule="auto"/>
        <w:ind w:firstLine="964" w:firstLineChars="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项目名称：国家税务总局广西壮族自治区税务局</w:t>
      </w:r>
    </w:p>
    <w:p>
      <w:pPr>
        <w:spacing w:line="480" w:lineRule="auto"/>
        <w:ind w:firstLine="2570" w:firstLineChars="8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12366热线系统通信设备升级项目</w:t>
      </w:r>
    </w:p>
    <w:p>
      <w:pPr>
        <w:spacing w:line="480" w:lineRule="auto"/>
        <w:ind w:firstLine="964" w:firstLineChars="3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项目编号：ZB2024-142</w:t>
      </w:r>
    </w:p>
    <w:p>
      <w:pPr>
        <w:spacing w:line="480" w:lineRule="auto"/>
        <w:ind w:left="838" w:leftChars="399"/>
        <w:jc w:val="center"/>
        <w:rPr>
          <w:rFonts w:asciiTheme="minorEastAsia" w:hAnsiTheme="minorEastAsia" w:eastAsiaTheme="minorEastAsia" w:cstheme="minorEastAsia"/>
          <w:b/>
          <w:color w:val="auto"/>
          <w:sz w:val="32"/>
        </w:rPr>
      </w:pPr>
    </w:p>
    <w:p>
      <w:pPr>
        <w:spacing w:line="480" w:lineRule="auto"/>
        <w:rPr>
          <w:rFonts w:asciiTheme="minorEastAsia" w:hAnsiTheme="minorEastAsia" w:eastAsiaTheme="minorEastAsia" w:cstheme="minorEastAsia"/>
          <w:b/>
          <w:color w:val="auto"/>
          <w:sz w:val="32"/>
          <w:szCs w:val="32"/>
        </w:rPr>
      </w:pPr>
    </w:p>
    <w:p>
      <w:pPr>
        <w:spacing w:line="480" w:lineRule="auto"/>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szCs w:val="32"/>
        </w:rPr>
        <w:t>采购单位：</w:t>
      </w:r>
      <w:r>
        <w:rPr>
          <w:rFonts w:hint="eastAsia" w:asciiTheme="minorEastAsia" w:hAnsiTheme="minorEastAsia" w:eastAsiaTheme="minorEastAsia" w:cstheme="minorEastAsia"/>
          <w:b/>
          <w:color w:val="auto"/>
          <w:sz w:val="32"/>
        </w:rPr>
        <w:t>国家税务总局广西壮族自治区税务局</w:t>
      </w:r>
    </w:p>
    <w:p>
      <w:pPr>
        <w:spacing w:line="48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采购代理机构：广西众联工程项目管理有限公司</w:t>
      </w:r>
    </w:p>
    <w:p>
      <w:pPr>
        <w:spacing w:line="48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2024年</w:t>
      </w:r>
      <w:r>
        <w:rPr>
          <w:rFonts w:hint="eastAsia" w:asciiTheme="minorEastAsia" w:hAnsiTheme="minorEastAsia" w:eastAsiaTheme="minorEastAsia" w:cstheme="minorEastAsia"/>
          <w:b/>
          <w:color w:val="auto"/>
          <w:sz w:val="32"/>
          <w:szCs w:val="32"/>
          <w:lang w:val="en-US" w:eastAsia="zh-CN"/>
        </w:rPr>
        <w:t>07</w:t>
      </w:r>
      <w:r>
        <w:rPr>
          <w:rFonts w:hint="eastAsia" w:asciiTheme="minorEastAsia" w:hAnsiTheme="minorEastAsia" w:eastAsiaTheme="minorEastAsia" w:cstheme="minorEastAsia"/>
          <w:b/>
          <w:color w:val="auto"/>
          <w:sz w:val="32"/>
          <w:szCs w:val="32"/>
        </w:rPr>
        <w:t>月</w:t>
      </w:r>
      <w:r>
        <w:rPr>
          <w:rFonts w:hint="eastAsia" w:asciiTheme="minorEastAsia" w:hAnsiTheme="minorEastAsia" w:eastAsiaTheme="minorEastAsia" w:cstheme="minorEastAsia"/>
          <w:b/>
          <w:color w:val="auto"/>
          <w:sz w:val="32"/>
          <w:szCs w:val="32"/>
          <w:lang w:val="en-US" w:eastAsia="zh-CN"/>
        </w:rPr>
        <w:t>05</w:t>
      </w:r>
      <w:r>
        <w:rPr>
          <w:rFonts w:hint="eastAsia" w:asciiTheme="minorEastAsia" w:hAnsiTheme="minorEastAsia" w:eastAsiaTheme="minorEastAsia" w:cstheme="minorEastAsia"/>
          <w:b/>
          <w:color w:val="auto"/>
          <w:sz w:val="32"/>
          <w:szCs w:val="32"/>
        </w:rPr>
        <w:t>日</w:t>
      </w:r>
    </w:p>
    <w:p>
      <w:pPr>
        <w:spacing w:line="600" w:lineRule="auto"/>
        <w:jc w:val="center"/>
        <w:rPr>
          <w:rFonts w:asciiTheme="minorEastAsia" w:hAnsiTheme="minorEastAsia" w:eastAsiaTheme="minorEastAsia" w:cstheme="minorEastAsia"/>
          <w:b/>
          <w:color w:val="auto"/>
          <w:sz w:val="44"/>
          <w:szCs w:val="52"/>
        </w:rPr>
        <w:sectPr>
          <w:headerReference r:id="rId3" w:type="first"/>
          <w:footerReference r:id="rId5" w:type="first"/>
          <w:footerReference r:id="rId4" w:type="default"/>
          <w:pgSz w:w="11906" w:h="16838"/>
          <w:pgMar w:top="1417" w:right="1417" w:bottom="1417" w:left="1417" w:header="720" w:footer="720" w:gutter="0"/>
          <w:cols w:space="720" w:num="1"/>
          <w:docGrid w:type="lines" w:linePitch="331" w:charSpace="0"/>
        </w:sectPr>
      </w:pPr>
    </w:p>
    <w:p>
      <w:pPr>
        <w:spacing w:line="600" w:lineRule="auto"/>
        <w:jc w:val="center"/>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44"/>
          <w:szCs w:val="52"/>
        </w:rPr>
        <w:t>目  录</w:t>
      </w:r>
    </w:p>
    <w:p>
      <w:pPr>
        <w:pStyle w:val="29"/>
        <w:spacing w:line="600" w:lineRule="auto"/>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第一部分　商务部分</w:t>
      </w:r>
    </w:p>
    <w:p>
      <w:pPr>
        <w:pStyle w:val="29"/>
        <w:tabs>
          <w:tab w:val="right" w:leader="dot" w:pos="8845"/>
          <w:tab w:val="clear" w:pos="9628"/>
        </w:tabs>
        <w:spacing w:line="600" w:lineRule="auto"/>
        <w:rPr>
          <w:color w:val="auto"/>
        </w:rPr>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color w:val="auto"/>
          <w:szCs w:val="30"/>
        </w:rPr>
        <w:instrText xml:space="preserve"> TOC \o "1-3" \h \z \u </w:instrText>
      </w:r>
      <w:r>
        <w:rPr>
          <w:rFonts w:hint="eastAsia" w:asciiTheme="minorEastAsia" w:hAnsiTheme="minorEastAsia" w:eastAsiaTheme="minorEastAsia" w:cstheme="minorEastAsia"/>
          <w:color w:val="auto"/>
          <w:szCs w:val="30"/>
        </w:rPr>
        <w:fldChar w:fldCharType="separate"/>
      </w:r>
      <w:r>
        <w:rPr>
          <w:color w:val="auto"/>
        </w:rPr>
        <w:fldChar w:fldCharType="begin"/>
      </w:r>
      <w:r>
        <w:rPr>
          <w:color w:val="auto"/>
        </w:rPr>
        <w:instrText xml:space="preserve"> HYPERLINK \l "_Toc9180" </w:instrText>
      </w:r>
      <w:r>
        <w:rPr>
          <w:color w:val="auto"/>
        </w:rPr>
        <w:fldChar w:fldCharType="separate"/>
      </w:r>
      <w:r>
        <w:rPr>
          <w:rFonts w:hint="eastAsia" w:asciiTheme="minorEastAsia" w:hAnsiTheme="minorEastAsia" w:eastAsiaTheme="minorEastAsia" w:cstheme="minorEastAsia"/>
          <w:color w:val="auto"/>
          <w:szCs w:val="28"/>
        </w:rPr>
        <w:t>第一章 磋商邀请</w:t>
      </w:r>
      <w:r>
        <w:rPr>
          <w:color w:val="auto"/>
        </w:rPr>
        <w:tab/>
      </w:r>
      <w:r>
        <w:rPr>
          <w:color w:val="auto"/>
        </w:rPr>
        <w:fldChar w:fldCharType="begin"/>
      </w:r>
      <w:r>
        <w:rPr>
          <w:color w:val="auto"/>
        </w:rPr>
        <w:instrText xml:space="preserve"> PAGEREF _Toc9180 </w:instrText>
      </w:r>
      <w:r>
        <w:rPr>
          <w:color w:val="auto"/>
        </w:rPr>
        <w:fldChar w:fldCharType="separate"/>
      </w:r>
      <w:r>
        <w:rPr>
          <w:color w:val="auto"/>
        </w:rPr>
        <w:t>2</w:t>
      </w:r>
      <w:r>
        <w:rPr>
          <w:color w:val="auto"/>
        </w:rPr>
        <w:fldChar w:fldCharType="end"/>
      </w:r>
      <w:r>
        <w:rPr>
          <w:color w:val="auto"/>
        </w:rPr>
        <w:fldChar w:fldCharType="end"/>
      </w:r>
    </w:p>
    <w:p>
      <w:pPr>
        <w:pStyle w:val="29"/>
        <w:tabs>
          <w:tab w:val="right" w:leader="dot" w:pos="8845"/>
          <w:tab w:val="clear" w:pos="9628"/>
        </w:tabs>
        <w:spacing w:line="600" w:lineRule="auto"/>
        <w:rPr>
          <w:color w:val="auto"/>
        </w:rPr>
      </w:pPr>
      <w:r>
        <w:rPr>
          <w:color w:val="auto"/>
        </w:rPr>
        <w:fldChar w:fldCharType="begin"/>
      </w:r>
      <w:r>
        <w:rPr>
          <w:color w:val="auto"/>
        </w:rPr>
        <w:instrText xml:space="preserve"> HYPERLINK \l "_Toc31183" </w:instrText>
      </w:r>
      <w:r>
        <w:rPr>
          <w:color w:val="auto"/>
        </w:rPr>
        <w:fldChar w:fldCharType="separate"/>
      </w:r>
      <w:r>
        <w:rPr>
          <w:rFonts w:hint="eastAsia" w:asciiTheme="minorEastAsia" w:hAnsiTheme="minorEastAsia" w:eastAsiaTheme="minorEastAsia" w:cstheme="minorEastAsia"/>
          <w:color w:val="auto"/>
          <w:szCs w:val="28"/>
        </w:rPr>
        <w:t>第二章 磋商须知</w:t>
      </w:r>
      <w:r>
        <w:rPr>
          <w:color w:val="auto"/>
        </w:rPr>
        <w:tab/>
      </w:r>
      <w:r>
        <w:rPr>
          <w:rFonts w:hint="eastAsia"/>
          <w:color w:val="auto"/>
          <w:lang w:val="en-US" w:eastAsia="zh-CN"/>
        </w:rPr>
        <w:t>6</w:t>
      </w:r>
      <w:r>
        <w:rPr>
          <w:color w:val="auto"/>
        </w:rPr>
        <w:fldChar w:fldCharType="end"/>
      </w:r>
    </w:p>
    <w:p>
      <w:pPr>
        <w:pStyle w:val="29"/>
        <w:tabs>
          <w:tab w:val="right" w:leader="dot" w:pos="8845"/>
          <w:tab w:val="clear" w:pos="9628"/>
        </w:tabs>
        <w:spacing w:line="600" w:lineRule="auto"/>
        <w:rPr>
          <w:color w:val="auto"/>
        </w:rPr>
      </w:pPr>
      <w:r>
        <w:rPr>
          <w:color w:val="auto"/>
        </w:rPr>
        <w:fldChar w:fldCharType="begin"/>
      </w:r>
      <w:r>
        <w:rPr>
          <w:color w:val="auto"/>
        </w:rPr>
        <w:instrText xml:space="preserve"> HYPERLINK \l "_Toc22872" </w:instrText>
      </w:r>
      <w:r>
        <w:rPr>
          <w:color w:val="auto"/>
        </w:rPr>
        <w:fldChar w:fldCharType="separate"/>
      </w:r>
      <w:r>
        <w:rPr>
          <w:rFonts w:hint="eastAsia" w:asciiTheme="minorEastAsia" w:hAnsiTheme="minorEastAsia" w:eastAsiaTheme="minorEastAsia" w:cstheme="minorEastAsia"/>
          <w:color w:val="auto"/>
          <w:szCs w:val="28"/>
        </w:rPr>
        <w:t>第三章 评审方法及标准</w:t>
      </w:r>
      <w:r>
        <w:rPr>
          <w:color w:val="auto"/>
        </w:rPr>
        <w:tab/>
      </w:r>
      <w:r>
        <w:rPr>
          <w:color w:val="auto"/>
        </w:rPr>
        <w:fldChar w:fldCharType="begin"/>
      </w:r>
      <w:r>
        <w:rPr>
          <w:color w:val="auto"/>
        </w:rPr>
        <w:instrText xml:space="preserve"> PAGEREF _Toc22872 </w:instrText>
      </w:r>
      <w:r>
        <w:rPr>
          <w:color w:val="auto"/>
        </w:rPr>
        <w:fldChar w:fldCharType="separate"/>
      </w:r>
      <w:r>
        <w:rPr>
          <w:color w:val="auto"/>
        </w:rPr>
        <w:t>2</w:t>
      </w:r>
      <w:r>
        <w:rPr>
          <w:rFonts w:hint="eastAsia"/>
          <w:color w:val="auto"/>
          <w:lang w:val="en-US" w:eastAsia="zh-CN"/>
        </w:rPr>
        <w:t>3</w:t>
      </w:r>
      <w:r>
        <w:rPr>
          <w:color w:val="auto"/>
        </w:rPr>
        <w:fldChar w:fldCharType="end"/>
      </w:r>
      <w:r>
        <w:rPr>
          <w:color w:val="auto"/>
        </w:rPr>
        <w:fldChar w:fldCharType="end"/>
      </w:r>
    </w:p>
    <w:p>
      <w:pPr>
        <w:pStyle w:val="29"/>
        <w:tabs>
          <w:tab w:val="right" w:leader="dot" w:pos="8845"/>
          <w:tab w:val="clear" w:pos="9628"/>
        </w:tabs>
        <w:spacing w:line="600" w:lineRule="auto"/>
        <w:rPr>
          <w:color w:val="auto"/>
        </w:rPr>
      </w:pPr>
      <w:r>
        <w:rPr>
          <w:color w:val="auto"/>
        </w:rPr>
        <w:fldChar w:fldCharType="begin"/>
      </w:r>
      <w:r>
        <w:rPr>
          <w:color w:val="auto"/>
        </w:rPr>
        <w:instrText xml:space="preserve"> HYPERLINK \l "_Toc26773" </w:instrText>
      </w:r>
      <w:r>
        <w:rPr>
          <w:color w:val="auto"/>
        </w:rPr>
        <w:fldChar w:fldCharType="separate"/>
      </w:r>
      <w:r>
        <w:rPr>
          <w:rFonts w:hint="eastAsia" w:asciiTheme="minorEastAsia" w:hAnsiTheme="minorEastAsia" w:eastAsiaTheme="minorEastAsia" w:cstheme="minorEastAsia"/>
          <w:color w:val="auto"/>
          <w:szCs w:val="28"/>
        </w:rPr>
        <w:t>第四章 合同草案条款</w:t>
      </w:r>
      <w:r>
        <w:rPr>
          <w:color w:val="auto"/>
        </w:rPr>
        <w:tab/>
      </w:r>
      <w:r>
        <w:rPr>
          <w:color w:val="auto"/>
        </w:rPr>
        <w:fldChar w:fldCharType="begin"/>
      </w:r>
      <w:r>
        <w:rPr>
          <w:color w:val="auto"/>
        </w:rPr>
        <w:instrText xml:space="preserve"> PAGEREF _Toc26773 </w:instrText>
      </w:r>
      <w:r>
        <w:rPr>
          <w:color w:val="auto"/>
        </w:rPr>
        <w:fldChar w:fldCharType="separate"/>
      </w:r>
      <w:r>
        <w:rPr>
          <w:color w:val="auto"/>
        </w:rPr>
        <w:t>2</w:t>
      </w:r>
      <w:r>
        <w:rPr>
          <w:rFonts w:hint="eastAsia"/>
          <w:color w:val="auto"/>
          <w:lang w:val="en-US" w:eastAsia="zh-CN"/>
        </w:rPr>
        <w:t>7</w:t>
      </w:r>
      <w:r>
        <w:rPr>
          <w:color w:val="auto"/>
        </w:rPr>
        <w:fldChar w:fldCharType="end"/>
      </w:r>
      <w:r>
        <w:rPr>
          <w:color w:val="auto"/>
        </w:rPr>
        <w:fldChar w:fldCharType="end"/>
      </w:r>
    </w:p>
    <w:p>
      <w:pPr>
        <w:pStyle w:val="29"/>
        <w:tabs>
          <w:tab w:val="right" w:leader="dot" w:pos="8845"/>
          <w:tab w:val="clear" w:pos="9628"/>
        </w:tabs>
        <w:spacing w:line="600" w:lineRule="auto"/>
        <w:rPr>
          <w:rFonts w:hint="eastAsia" w:eastAsia="黑体"/>
          <w:color w:val="auto"/>
          <w:lang w:val="en-US" w:eastAsia="zh-CN"/>
        </w:rPr>
      </w:pPr>
      <w:r>
        <w:rPr>
          <w:color w:val="auto"/>
        </w:rPr>
        <w:fldChar w:fldCharType="begin"/>
      </w:r>
      <w:r>
        <w:rPr>
          <w:color w:val="auto"/>
        </w:rPr>
        <w:instrText xml:space="preserve"> HYPERLINK \l "_Toc3075" </w:instrText>
      </w:r>
      <w:r>
        <w:rPr>
          <w:color w:val="auto"/>
        </w:rPr>
        <w:fldChar w:fldCharType="separate"/>
      </w:r>
      <w:r>
        <w:rPr>
          <w:rFonts w:hint="eastAsia" w:asciiTheme="minorEastAsia" w:hAnsiTheme="minorEastAsia" w:eastAsiaTheme="minorEastAsia" w:cstheme="minorEastAsia"/>
          <w:color w:val="auto"/>
          <w:szCs w:val="28"/>
        </w:rPr>
        <w:t>第五章 响应文件组成</w:t>
      </w:r>
      <w:r>
        <w:rPr>
          <w:color w:val="auto"/>
        </w:rPr>
        <w:tab/>
      </w:r>
      <w:r>
        <w:rPr>
          <w:rFonts w:hint="eastAsia"/>
          <w:color w:val="auto"/>
          <w:lang w:val="en-US" w:eastAsia="zh-CN"/>
        </w:rPr>
        <w:t>4</w:t>
      </w:r>
      <w:r>
        <w:rPr>
          <w:color w:val="auto"/>
        </w:rPr>
        <w:fldChar w:fldCharType="end"/>
      </w:r>
      <w:r>
        <w:rPr>
          <w:rFonts w:hint="eastAsia"/>
          <w:color w:val="auto"/>
          <w:lang w:val="en-US" w:eastAsia="zh-CN"/>
        </w:rPr>
        <w:t>1</w:t>
      </w:r>
    </w:p>
    <w:p>
      <w:pPr>
        <w:tabs>
          <w:tab w:val="right" w:leader="dot" w:pos="9639"/>
        </w:tabs>
        <w:spacing w:line="600" w:lineRule="auto"/>
        <w:jc w:val="center"/>
        <w:rPr>
          <w:rFonts w:asciiTheme="minorEastAsia" w:hAnsiTheme="minorEastAsia" w:eastAsiaTheme="minorEastAsia" w:cstheme="minorEastAsia"/>
          <w:b/>
          <w:color w:val="auto"/>
          <w:sz w:val="36"/>
          <w:szCs w:val="32"/>
          <w:u w:val="single"/>
        </w:rPr>
      </w:pPr>
      <w:r>
        <w:rPr>
          <w:rFonts w:hint="eastAsia" w:asciiTheme="minorEastAsia" w:hAnsiTheme="minorEastAsia" w:eastAsiaTheme="minorEastAsia" w:cstheme="minorEastAsia"/>
          <w:b/>
          <w:color w:val="auto"/>
          <w:sz w:val="32"/>
          <w:szCs w:val="30"/>
        </w:rPr>
        <w:t>第二部分　技术部分</w:t>
      </w:r>
    </w:p>
    <w:p>
      <w:pPr>
        <w:pStyle w:val="29"/>
        <w:tabs>
          <w:tab w:val="right" w:leader="dot" w:pos="8845"/>
          <w:tab w:val="clear" w:pos="9628"/>
        </w:tabs>
        <w:spacing w:line="600" w:lineRule="auto"/>
        <w:rPr>
          <w:color w:val="auto"/>
        </w:rPr>
      </w:pPr>
      <w:r>
        <w:rPr>
          <w:color w:val="auto"/>
        </w:rPr>
        <w:fldChar w:fldCharType="begin"/>
      </w:r>
      <w:r>
        <w:rPr>
          <w:color w:val="auto"/>
        </w:rPr>
        <w:instrText xml:space="preserve"> HYPERLINK \l "_Toc17978" </w:instrText>
      </w:r>
      <w:r>
        <w:rPr>
          <w:color w:val="auto"/>
        </w:rPr>
        <w:fldChar w:fldCharType="separate"/>
      </w:r>
      <w:r>
        <w:rPr>
          <w:rFonts w:hint="eastAsia" w:asciiTheme="minorEastAsia" w:hAnsiTheme="minorEastAsia" w:eastAsiaTheme="minorEastAsia" w:cstheme="minorEastAsia"/>
          <w:color w:val="auto"/>
          <w:szCs w:val="28"/>
        </w:rPr>
        <w:t>第六章 项目采购需求</w:t>
      </w:r>
      <w:r>
        <w:rPr>
          <w:color w:val="auto"/>
        </w:rPr>
        <w:tab/>
      </w:r>
      <w:r>
        <w:rPr>
          <w:color w:val="auto"/>
        </w:rPr>
        <w:fldChar w:fldCharType="begin"/>
      </w:r>
      <w:r>
        <w:rPr>
          <w:color w:val="auto"/>
        </w:rPr>
        <w:instrText xml:space="preserve"> PAGEREF _Toc17978 </w:instrText>
      </w:r>
      <w:r>
        <w:rPr>
          <w:color w:val="auto"/>
        </w:rPr>
        <w:fldChar w:fldCharType="separate"/>
      </w:r>
      <w:r>
        <w:rPr>
          <w:color w:val="auto"/>
        </w:rPr>
        <w:t>6</w:t>
      </w:r>
      <w:r>
        <w:rPr>
          <w:rFonts w:hint="eastAsia"/>
          <w:color w:val="auto"/>
          <w:lang w:val="en-US" w:eastAsia="zh-CN"/>
        </w:rPr>
        <w:t>4</w:t>
      </w:r>
      <w:r>
        <w:rPr>
          <w:color w:val="auto"/>
        </w:rPr>
        <w:fldChar w:fldCharType="end"/>
      </w:r>
      <w:r>
        <w:rPr>
          <w:color w:val="auto"/>
        </w:rPr>
        <w:fldChar w:fldCharType="end"/>
      </w:r>
    </w:p>
    <w:p>
      <w:pPr>
        <w:pStyle w:val="21"/>
        <w:tabs>
          <w:tab w:val="right" w:leader="dot" w:pos="8845"/>
        </w:tabs>
        <w:spacing w:line="600" w:lineRule="auto"/>
        <w:ind w:left="840"/>
        <w:rPr>
          <w:color w:val="auto"/>
        </w:rPr>
      </w:pPr>
    </w:p>
    <w:p>
      <w:pPr>
        <w:pStyle w:val="29"/>
        <w:tabs>
          <w:tab w:val="right" w:leader="dot" w:pos="9639"/>
          <w:tab w:val="clear" w:pos="9628"/>
        </w:tabs>
        <w:spacing w:line="600" w:lineRule="auto"/>
        <w:rPr>
          <w:rStyle w:val="54"/>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30"/>
        </w:rPr>
        <w:fldChar w:fldCharType="end"/>
      </w:r>
    </w:p>
    <w:p>
      <w:pPr>
        <w:pStyle w:val="22"/>
        <w:spacing w:line="700" w:lineRule="exact"/>
        <w:rPr>
          <w:rFonts w:asciiTheme="minorEastAsia" w:hAnsiTheme="minorEastAsia" w:eastAsiaTheme="minorEastAsia" w:cstheme="minorEastAsia"/>
          <w:color w:val="auto"/>
        </w:rPr>
      </w:pPr>
    </w:p>
    <w:p>
      <w:pPr>
        <w:pStyle w:val="22"/>
        <w:spacing w:line="700" w:lineRule="exact"/>
        <w:rPr>
          <w:rFonts w:asciiTheme="minorEastAsia" w:hAnsiTheme="minorEastAsia" w:eastAsiaTheme="minorEastAsia" w:cstheme="minorEastAsia"/>
          <w:color w:val="auto"/>
        </w:rPr>
      </w:pPr>
    </w:p>
    <w:p>
      <w:pPr>
        <w:pStyle w:val="22"/>
        <w:spacing w:line="700" w:lineRule="exact"/>
        <w:rPr>
          <w:rFonts w:asciiTheme="minorEastAsia" w:hAnsiTheme="minorEastAsia" w:eastAsiaTheme="minorEastAsia" w:cstheme="minorEastAsia"/>
          <w:color w:val="auto"/>
        </w:rPr>
      </w:pPr>
    </w:p>
    <w:p>
      <w:pPr>
        <w:spacing w:line="160" w:lineRule="exac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sz w:val="36"/>
        </w:rPr>
        <w:br w:type="page"/>
      </w:r>
    </w:p>
    <w:p>
      <w:pPr>
        <w:pStyle w:val="22"/>
        <w:jc w:val="center"/>
        <w:outlineLvl w:val="0"/>
        <w:rPr>
          <w:b/>
          <w:bCs/>
          <w:color w:val="auto"/>
          <w:sz w:val="28"/>
          <w:szCs w:val="28"/>
        </w:rPr>
      </w:pPr>
      <w:bookmarkStart w:id="0" w:name="_Toc13010"/>
      <w:bookmarkStart w:id="1" w:name="_Toc9180"/>
      <w:r>
        <w:rPr>
          <w:rFonts w:hint="eastAsia"/>
          <w:b/>
          <w:bCs/>
          <w:color w:val="auto"/>
          <w:sz w:val="28"/>
          <w:szCs w:val="28"/>
        </w:rPr>
        <w:t>第一部分　商务部分</w:t>
      </w:r>
      <w:bookmarkEnd w:id="0"/>
    </w:p>
    <w:p>
      <w:pPr>
        <w:spacing w:line="400" w:lineRule="exact"/>
        <w:jc w:val="center"/>
        <w:outlineLvl w:val="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第一章 磋商邀请</w:t>
      </w:r>
      <w:bookmarkEnd w:id="1"/>
    </w:p>
    <w:p>
      <w:pPr>
        <w:spacing w:line="400" w:lineRule="exact"/>
        <w:jc w:val="center"/>
        <w:outlineLvl w:val="0"/>
        <w:rPr>
          <w:rFonts w:asciiTheme="minorEastAsia" w:hAnsiTheme="minorEastAsia" w:eastAsiaTheme="minorEastAsia" w:cstheme="minorEastAsia"/>
          <w:b/>
          <w:color w:val="auto"/>
          <w:sz w:val="28"/>
          <w:szCs w:val="28"/>
        </w:rPr>
      </w:pPr>
      <w:bookmarkStart w:id="2" w:name="_Toc46761412"/>
      <w:bookmarkStart w:id="3" w:name="_Toc2589"/>
      <w:r>
        <w:rPr>
          <w:rFonts w:hint="eastAsia" w:asciiTheme="minorEastAsia" w:hAnsiTheme="minorEastAsia" w:eastAsiaTheme="minorEastAsia" w:cstheme="minorEastAsia"/>
          <w:b/>
          <w:color w:val="auto"/>
          <w:sz w:val="28"/>
          <w:szCs w:val="28"/>
        </w:rPr>
        <w:t>国家税务总局广西壮族自治区税务局12366热线系统通信设备升级项目（ZB2024-142）磋商公告</w:t>
      </w:r>
      <w:bookmarkEnd w:id="2"/>
      <w:bookmarkEnd w:id="3"/>
    </w:p>
    <w:p>
      <w:pPr>
        <w:pBdr>
          <w:top w:val="single" w:color="auto" w:sz="4" w:space="1"/>
          <w:left w:val="single" w:color="auto" w:sz="4" w:space="4"/>
          <w:bottom w:val="single" w:color="auto" w:sz="4" w:space="1"/>
          <w:right w:val="single" w:color="auto" w:sz="4" w:space="4"/>
        </w:pBd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国家税务总局广西壮族自治区税务局12366热线系统通信设备升级项目</w:t>
      </w:r>
      <w:r>
        <w:rPr>
          <w:rFonts w:hint="eastAsia" w:asciiTheme="minorEastAsia" w:hAnsiTheme="minorEastAsia" w:eastAsiaTheme="minorEastAsia" w:cstheme="minorEastAsia"/>
          <w:color w:val="auto"/>
          <w:szCs w:val="21"/>
        </w:rPr>
        <w:t>的潜在供应商应在广西众联工程项目管理有限公司（南宁市江南区白沙大道53号松宇时代14A层）获取磋商文件，并于</w:t>
      </w:r>
      <w:r>
        <w:rPr>
          <w:rFonts w:hint="eastAsia" w:asciiTheme="minorEastAsia" w:hAnsiTheme="minorEastAsia" w:eastAsiaTheme="minorEastAsia" w:cstheme="minorEastAsia"/>
          <w:bCs/>
          <w:color w:val="auto"/>
          <w:szCs w:val="21"/>
          <w:u w:val="single"/>
        </w:rPr>
        <w:t>2024年</w:t>
      </w:r>
      <w:r>
        <w:rPr>
          <w:rFonts w:hint="eastAsia" w:asciiTheme="minorEastAsia" w:hAnsiTheme="minorEastAsia" w:eastAsiaTheme="minorEastAsia" w:cstheme="minorEastAsia"/>
          <w:bCs/>
          <w:color w:val="auto"/>
          <w:szCs w:val="21"/>
          <w:u w:val="single"/>
          <w:lang w:val="en-US" w:eastAsia="zh-CN"/>
        </w:rPr>
        <w:t>07</w:t>
      </w:r>
      <w:r>
        <w:rPr>
          <w:rFonts w:hint="eastAsia" w:asciiTheme="minorEastAsia" w:hAnsiTheme="minorEastAsia" w:eastAsiaTheme="minorEastAsia" w:cstheme="minorEastAsia"/>
          <w:bCs/>
          <w:color w:val="auto"/>
          <w:szCs w:val="21"/>
          <w:u w:val="single"/>
        </w:rPr>
        <w:t>月</w:t>
      </w:r>
      <w:r>
        <w:rPr>
          <w:rFonts w:hint="eastAsia" w:asciiTheme="minorEastAsia" w:hAnsiTheme="minorEastAsia" w:eastAsiaTheme="minorEastAsia" w:cstheme="minorEastAsia"/>
          <w:bCs/>
          <w:color w:val="auto"/>
          <w:szCs w:val="21"/>
          <w:u w:val="single"/>
          <w:lang w:val="en-US" w:eastAsia="zh-CN"/>
        </w:rPr>
        <w:t>16</w:t>
      </w:r>
      <w:r>
        <w:rPr>
          <w:rFonts w:hint="eastAsia" w:asciiTheme="minorEastAsia" w:hAnsiTheme="minorEastAsia" w:eastAsiaTheme="minorEastAsia" w:cstheme="minorEastAsia"/>
          <w:bCs/>
          <w:color w:val="auto"/>
          <w:szCs w:val="21"/>
          <w:u w:val="single"/>
        </w:rPr>
        <w:t>日9时30分</w:t>
      </w:r>
      <w:r>
        <w:rPr>
          <w:rFonts w:hint="eastAsia" w:asciiTheme="minorEastAsia" w:hAnsiTheme="minorEastAsia" w:eastAsiaTheme="minorEastAsia" w:cstheme="minorEastAsia"/>
          <w:bCs/>
          <w:color w:val="auto"/>
          <w:szCs w:val="21"/>
        </w:rPr>
        <w:t>（北京时间）前提交响应文件</w:t>
      </w:r>
      <w:r>
        <w:rPr>
          <w:rFonts w:hint="eastAsia" w:asciiTheme="minorEastAsia" w:hAnsiTheme="minorEastAsia" w:eastAsiaTheme="minorEastAsia" w:cstheme="minorEastAsia"/>
          <w:color w:val="auto"/>
          <w:szCs w:val="21"/>
        </w:rPr>
        <w:t>。</w:t>
      </w:r>
    </w:p>
    <w:p>
      <w:pPr>
        <w:keepNext/>
        <w:keepLines/>
        <w:spacing w:line="420" w:lineRule="exact"/>
        <w:outlineLvl w:val="1"/>
        <w:rPr>
          <w:rFonts w:asciiTheme="minorEastAsia" w:hAnsiTheme="minorEastAsia" w:eastAsiaTheme="minorEastAsia" w:cstheme="minorEastAsia"/>
          <w:bCs/>
          <w:color w:val="auto"/>
          <w:szCs w:val="21"/>
        </w:rPr>
      </w:pPr>
      <w:bookmarkStart w:id="4" w:name="_Toc28359012"/>
      <w:bookmarkStart w:id="5" w:name="_Toc35393629"/>
      <w:bookmarkStart w:id="6" w:name="_Toc46761413"/>
      <w:bookmarkStart w:id="7" w:name="_Toc24411"/>
      <w:bookmarkStart w:id="8" w:name="_Toc35393798"/>
      <w:bookmarkStart w:id="9" w:name="_Toc28359089"/>
      <w:r>
        <w:rPr>
          <w:rFonts w:hint="eastAsia" w:asciiTheme="minorEastAsia" w:hAnsiTheme="minorEastAsia" w:eastAsiaTheme="minorEastAsia" w:cstheme="minorEastAsia"/>
          <w:bCs/>
          <w:color w:val="auto"/>
          <w:szCs w:val="21"/>
        </w:rPr>
        <w:t>一、项目基本情况</w:t>
      </w:r>
      <w:bookmarkEnd w:id="4"/>
      <w:bookmarkEnd w:id="5"/>
      <w:bookmarkEnd w:id="6"/>
      <w:bookmarkEnd w:id="7"/>
      <w:bookmarkEnd w:id="8"/>
      <w:bookmarkEnd w:id="9"/>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项目编号：ZB2024-142</w:t>
      </w:r>
    </w:p>
    <w:p>
      <w:pPr>
        <w:spacing w:line="420" w:lineRule="exact"/>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项目名称：国家税务总局广西壮族自治区税务局12366热线系统通信设备升级项目</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采购方式：磋商</w:t>
      </w:r>
    </w:p>
    <w:p>
      <w:pPr>
        <w:spacing w:line="420" w:lineRule="exact"/>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本采购项</w:t>
      </w:r>
      <w:r>
        <w:rPr>
          <w:rFonts w:hint="eastAsia" w:asciiTheme="minorEastAsia" w:hAnsiTheme="minorEastAsia" w:eastAsiaTheme="minorEastAsia" w:cstheme="minorEastAsia"/>
          <w:b/>
          <w:color w:val="auto"/>
          <w:szCs w:val="21"/>
        </w:rPr>
        <w:t>目为目录外标准下项目。</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预算金额：人民币（大写）陆拾肆万陆仟捌元整（¥646,800.00元）</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最高限价：人民币（大写）陆拾肆万陆仟捌元整（¥646,800.00元）</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对采购人在运行中的全区对外公开咨询服务电话政务智能云平台所使用的UAP9600通信平台进行120路扩容升级，实现该通信平台总体不低于450路通信服务能力；将广西12366热线系统原部署于U2980通信平台上的省级呼叫中心坐席，迁移至UAP9600，确保系统稳定，所有增配的通信资源应能适配于该通信平台，并与2023年已上线的330路通信资源完全兼容，无排斥，并优化整合功能模块，共享原有资源，实现省-市（县区）的统一管理。如需进一步了解详细内容，详见本项目磋商文件。</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合同履行期限：（1）合同签订后2个月内完成本项目要求的通信许可等软件产品安装。（2）</w:t>
      </w:r>
      <w:r>
        <w:rPr>
          <w:rFonts w:hint="eastAsia"/>
          <w:color w:val="auto"/>
        </w:rPr>
        <w:t>技术支持及质量保证期为自产品安装调试通过后12个月</w:t>
      </w:r>
      <w:r>
        <w:rPr>
          <w:rFonts w:hint="eastAsia" w:asciiTheme="minorEastAsia" w:hAnsiTheme="minorEastAsia" w:eastAsiaTheme="minorEastAsia" w:cstheme="minorEastAsia"/>
          <w:color w:val="auto"/>
          <w:szCs w:val="21"/>
        </w:rPr>
        <w:t>。</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本项目不接受联合体磋商。</w:t>
      </w:r>
      <w:bookmarkStart w:id="10" w:name="_Toc35393799"/>
      <w:bookmarkStart w:id="11" w:name="_Toc35393630"/>
      <w:bookmarkStart w:id="12" w:name="_Toc28359013"/>
      <w:bookmarkStart w:id="13" w:name="_Toc28359090"/>
    </w:p>
    <w:p>
      <w:pPr>
        <w:spacing w:line="42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二、供应商的资格要求：</w:t>
      </w:r>
      <w:bookmarkEnd w:id="10"/>
      <w:bookmarkEnd w:id="11"/>
      <w:bookmarkEnd w:id="12"/>
      <w:bookmarkEnd w:id="13"/>
      <w:bookmarkStart w:id="14" w:name="_Toc28359091"/>
      <w:bookmarkStart w:id="15" w:name="_Toc28359014"/>
      <w:bookmarkStart w:id="16" w:name="_Toc35393800"/>
      <w:bookmarkStart w:id="17" w:name="_Toc35393631"/>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1、供应商参加本采购活动应当具备下列条件：</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（1）具有独立承担民事责任的能力；</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（2）具有良好的商业信誉和健全的财务会计制度；</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（3）具有履行合同所必需的设备和专业技术能力；</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（4）有依法缴纳税收和社会保障资金的良好记录；</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（5）参加采购活动前三年内，在经营活动中没有重大违法记录；</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（6）法律、行政法规规定的其他条件。</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本项目由符合国家有关法律法规规定、同时满足本项目资质要求、在中国境内的供应商参加磋商。</w:t>
      </w:r>
    </w:p>
    <w:p>
      <w:pPr>
        <w:spacing w:line="420" w:lineRule="exact"/>
        <w:ind w:firstLine="420" w:firstLineChars="200"/>
        <w:rPr>
          <w:rFonts w:asciiTheme="minorEastAsia" w:hAnsiTheme="minorEastAsia" w:cstheme="minorEastAsia"/>
          <w:color w:val="auto"/>
          <w:szCs w:val="21"/>
        </w:rPr>
      </w:pPr>
      <w:r>
        <w:rPr>
          <w:rFonts w:hint="eastAsia" w:asciiTheme="minorEastAsia" w:hAnsiTheme="minorEastAsia" w:eastAsiaTheme="minorEastAsia" w:cstheme="minorEastAsia"/>
          <w:color w:val="auto"/>
          <w:szCs w:val="21"/>
        </w:rPr>
        <w:t>3、落实政府采购政策需满足的资格要求：</w:t>
      </w:r>
      <w:r>
        <w:rPr>
          <w:rFonts w:hint="eastAsia" w:ascii="宋体" w:hAnsi="宋体"/>
          <w:color w:val="auto"/>
          <w:szCs w:val="21"/>
        </w:rPr>
        <w:t>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本项目采购标的对应的中小企业划分标准所属行业为软件和信息技术服务业。</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4、本项目的特定资格要求：无。</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本次采购活动。</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6、单位负责人为同一人或者存在直接控股、管理关系的不同供应商，不得参加同一合同项下的采购活动。</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7、为本项目提供整体设计、规范编制或者项目管理、监理、检测等服务的供应商，不得再参加本次采购活动。</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三、获取磋商文件</w:t>
      </w:r>
      <w:bookmarkEnd w:id="14"/>
      <w:bookmarkEnd w:id="15"/>
      <w:bookmarkEnd w:id="16"/>
      <w:bookmarkEnd w:id="17"/>
    </w:p>
    <w:p>
      <w:pPr>
        <w:spacing w:line="420" w:lineRule="exact"/>
        <w:ind w:firstLine="424" w:firstLineChars="202"/>
        <w:rPr>
          <w:rFonts w:asciiTheme="minorEastAsia" w:hAnsiTheme="minorEastAsia" w:eastAsiaTheme="minorEastAsia" w:cstheme="minorEastAsia"/>
          <w:color w:val="auto"/>
          <w:szCs w:val="21"/>
        </w:rPr>
      </w:pPr>
      <w:bookmarkStart w:id="18" w:name="_Toc35393801"/>
      <w:bookmarkStart w:id="19" w:name="_Toc35393632"/>
      <w:bookmarkStart w:id="20" w:name="_Toc28359015"/>
      <w:bookmarkStart w:id="21" w:name="_Toc28359092"/>
      <w:r>
        <w:rPr>
          <w:rFonts w:hint="eastAsia" w:asciiTheme="minorEastAsia" w:hAnsiTheme="minorEastAsia" w:eastAsiaTheme="minorEastAsia" w:cstheme="minorEastAsia"/>
          <w:color w:val="auto"/>
          <w:szCs w:val="21"/>
        </w:rPr>
        <w:t>1、时间：</w:t>
      </w:r>
      <w:r>
        <w:rPr>
          <w:rFonts w:hint="eastAsia" w:asciiTheme="minorEastAsia" w:hAnsiTheme="minorEastAsia" w:eastAsiaTheme="minorEastAsia" w:cstheme="minorEastAsia"/>
          <w:bCs/>
          <w:color w:val="auto"/>
          <w:szCs w:val="21"/>
        </w:rPr>
        <w:t>2024年</w:t>
      </w:r>
      <w:r>
        <w:rPr>
          <w:rFonts w:hint="eastAsia" w:asciiTheme="minorEastAsia" w:hAnsiTheme="minorEastAsia" w:eastAsiaTheme="minorEastAsia" w:cstheme="minorEastAsia"/>
          <w:bCs/>
          <w:color w:val="auto"/>
          <w:szCs w:val="21"/>
          <w:lang w:val="en-US" w:eastAsia="zh-CN"/>
        </w:rPr>
        <w:t>07</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05</w:t>
      </w:r>
      <w:r>
        <w:rPr>
          <w:rFonts w:hint="eastAsia" w:asciiTheme="minorEastAsia" w:hAnsiTheme="minorEastAsia" w:eastAsiaTheme="minorEastAsia" w:cstheme="minorEastAsia"/>
          <w:bCs/>
          <w:color w:val="auto"/>
          <w:szCs w:val="21"/>
        </w:rPr>
        <w:t>日</w:t>
      </w:r>
      <w:r>
        <w:rPr>
          <w:rFonts w:hint="eastAsia" w:asciiTheme="minorEastAsia" w:hAnsiTheme="minorEastAsia" w:eastAsiaTheme="minorEastAsia" w:cstheme="minorEastAsia"/>
          <w:color w:val="auto"/>
          <w:szCs w:val="21"/>
        </w:rPr>
        <w:t>公告发布之时起至</w:t>
      </w:r>
      <w:r>
        <w:rPr>
          <w:rFonts w:hint="eastAsia" w:asciiTheme="minorEastAsia" w:hAnsiTheme="minorEastAsia" w:eastAsiaTheme="minorEastAsia" w:cstheme="minorEastAsia"/>
          <w:bCs/>
          <w:color w:val="auto"/>
          <w:szCs w:val="21"/>
        </w:rPr>
        <w:t>2024年</w:t>
      </w:r>
      <w:r>
        <w:rPr>
          <w:rFonts w:hint="eastAsia" w:asciiTheme="minorEastAsia" w:hAnsiTheme="minorEastAsia" w:eastAsiaTheme="minorEastAsia" w:cstheme="minorEastAsia"/>
          <w:bCs/>
          <w:color w:val="auto"/>
          <w:szCs w:val="21"/>
          <w:lang w:val="en-US" w:eastAsia="zh-CN"/>
        </w:rPr>
        <w:t>07</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12</w:t>
      </w:r>
      <w:r>
        <w:rPr>
          <w:rFonts w:hint="eastAsia" w:asciiTheme="minorEastAsia" w:hAnsiTheme="minorEastAsia" w:eastAsiaTheme="minorEastAsia" w:cstheme="minorEastAsia"/>
          <w:bCs/>
          <w:color w:val="auto"/>
          <w:szCs w:val="21"/>
        </w:rPr>
        <w:t>日</w:t>
      </w:r>
      <w:r>
        <w:rPr>
          <w:rFonts w:hint="eastAsia" w:asciiTheme="minorEastAsia" w:hAnsiTheme="minorEastAsia" w:eastAsiaTheme="minorEastAsia" w:cstheme="minorEastAsia"/>
          <w:color w:val="auto"/>
          <w:szCs w:val="21"/>
        </w:rPr>
        <w:t>止，工作日上午8时30分至12时00分，下午14时30分至17时30分（北京时间，法定节假日除外）。</w:t>
      </w:r>
    </w:p>
    <w:p>
      <w:pPr>
        <w:spacing w:line="420" w:lineRule="exact"/>
        <w:ind w:firstLine="424" w:firstLineChars="202"/>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2、地点：广西众联工程项目管理有限公司财务部（南宁市江南区白沙大道53号松宇时代14A层）。</w:t>
      </w:r>
    </w:p>
    <w:p>
      <w:pPr>
        <w:spacing w:line="420" w:lineRule="exact"/>
        <w:ind w:firstLine="424" w:firstLineChars="202"/>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方式（可以采用以下方式之一获取磋商文件）：①现场购买：供应商无需携带报名资料，到广西众联工程项目管理有限公司财务部获取磋商文件，付款方式只接受现金付款或者微信付款、支付宝付款，不接受银行卡刷卡支付。②电子邮件方式：</w:t>
      </w:r>
      <w:r>
        <w:rPr>
          <w:color w:val="auto"/>
        </w:rPr>
        <w:fldChar w:fldCharType="begin"/>
      </w:r>
      <w:r>
        <w:rPr>
          <w:color w:val="auto"/>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color w:val="auto"/>
        </w:rPr>
        <w:fldChar w:fldCharType="separate"/>
      </w:r>
      <w:r>
        <w:rPr>
          <w:rFonts w:hint="eastAsia" w:asciiTheme="minorEastAsia" w:hAnsiTheme="minorEastAsia" w:eastAsiaTheme="minorEastAsia" w:cstheme="minorEastAsia"/>
          <w:color w:val="auto"/>
          <w:szCs w:val="21"/>
        </w:rPr>
        <w:t>供应商需于磋商文件获取时间内将</w:t>
      </w:r>
      <w:r>
        <w:rPr>
          <w:rFonts w:hint="eastAsia" w:asciiTheme="minorEastAsia" w:hAnsiTheme="minorEastAsia" w:eastAsiaTheme="minorEastAsia" w:cstheme="minorEastAsia"/>
          <w:b/>
          <w:bCs/>
          <w:color w:val="auto"/>
          <w:szCs w:val="21"/>
        </w:rPr>
        <w:t>文件工本费（只接受公对公转账，不接受私人账号转账，并备注项目编号）</w:t>
      </w:r>
      <w:r>
        <w:rPr>
          <w:rFonts w:hint="eastAsia" w:asciiTheme="minorEastAsia" w:hAnsiTheme="minorEastAsia" w:eastAsiaTheme="minorEastAsia" w:cstheme="minorEastAsia"/>
          <w:color w:val="auto"/>
          <w:szCs w:val="21"/>
        </w:rPr>
        <w:t>转帐底单</w:t>
      </w:r>
      <w:r>
        <w:rPr>
          <w:rFonts w:hint="eastAsia" w:asciiTheme="minorEastAsia" w:hAnsiTheme="minorEastAsia" w:eastAsiaTheme="minorEastAsia" w:cstheme="minorEastAsia"/>
          <w:b/>
          <w:bCs/>
          <w:color w:val="auto"/>
          <w:szCs w:val="21"/>
        </w:rPr>
        <w:t>（并附上项目名称、项目编号、收件人姓名、联系电话、收件地址、开票信息）</w:t>
      </w:r>
      <w:r>
        <w:rPr>
          <w:rFonts w:hint="eastAsia" w:asciiTheme="minorEastAsia" w:hAnsiTheme="minorEastAsia" w:eastAsiaTheme="minorEastAsia" w:cstheme="minorEastAsia"/>
          <w:color w:val="auto"/>
          <w:szCs w:val="21"/>
        </w:rPr>
        <w:t>扫描发邮件至604039546@qq.com邮箱，</w:t>
      </w:r>
      <w:r>
        <w:rPr>
          <w:rStyle w:val="54"/>
          <w:rFonts w:hint="eastAsia" w:asciiTheme="minorEastAsia" w:hAnsiTheme="minorEastAsia" w:eastAsiaTheme="minorEastAsia" w:cstheme="minorEastAsia"/>
          <w:color w:val="auto"/>
          <w:szCs w:val="21"/>
          <w:u w:val="none"/>
        </w:rPr>
        <w:t>代理机构查收后当日向</w:t>
      </w:r>
      <w:r>
        <w:rPr>
          <w:rFonts w:hint="eastAsia" w:asciiTheme="minorEastAsia" w:hAnsiTheme="minorEastAsia" w:eastAsiaTheme="minorEastAsia" w:cstheme="minorEastAsia"/>
          <w:color w:val="auto"/>
          <w:szCs w:val="21"/>
        </w:rPr>
        <w:t>供应商发送报名单及电子版磋商文件并办理纸质版磋商文件邮寄（邮费到付）事宜</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（未提供供应商联系方式，因此造成供应商无法按时获取纸质版磋商文件的，责任由供应商承担）。</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收款人户名：广西众联工程项目管理有限公司</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开户银行：中国光大银行股份有限公司南宁民主支行</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银行账号：78900188000167866</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4、售价：磋商文件工本费每本300元，售后不退。</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四、响应文件提交</w:t>
      </w:r>
      <w:bookmarkEnd w:id="18"/>
      <w:bookmarkEnd w:id="19"/>
      <w:bookmarkEnd w:id="20"/>
      <w:bookmarkEnd w:id="21"/>
    </w:p>
    <w:p>
      <w:pPr>
        <w:spacing w:line="420" w:lineRule="exact"/>
        <w:ind w:firstLine="420" w:firstLineChars="20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color w:val="auto"/>
          <w:szCs w:val="21"/>
        </w:rPr>
        <w:t>1、截止时间：</w:t>
      </w:r>
      <w:r>
        <w:rPr>
          <w:rFonts w:hint="eastAsia" w:asciiTheme="minorEastAsia" w:hAnsiTheme="minorEastAsia" w:eastAsiaTheme="minorEastAsia" w:cstheme="minorEastAsia"/>
          <w:bCs/>
          <w:color w:val="auto"/>
          <w:szCs w:val="21"/>
        </w:rPr>
        <w:t>2024年</w:t>
      </w:r>
      <w:r>
        <w:rPr>
          <w:rFonts w:hint="eastAsia" w:asciiTheme="minorEastAsia" w:hAnsiTheme="minorEastAsia" w:eastAsiaTheme="minorEastAsia" w:cstheme="minorEastAsia"/>
          <w:bCs/>
          <w:color w:val="auto"/>
          <w:szCs w:val="21"/>
          <w:lang w:val="en-US" w:eastAsia="zh-CN"/>
        </w:rPr>
        <w:t>07</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16</w:t>
      </w:r>
      <w:r>
        <w:rPr>
          <w:rFonts w:hint="eastAsia" w:asciiTheme="minorEastAsia" w:hAnsiTheme="minorEastAsia" w:eastAsiaTheme="minorEastAsia" w:cstheme="minorEastAsia"/>
          <w:bCs/>
          <w:color w:val="auto"/>
          <w:szCs w:val="21"/>
        </w:rPr>
        <w:t>日9时30分（北京时间）</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bCs/>
          <w:color w:val="auto"/>
          <w:szCs w:val="21"/>
        </w:rPr>
        <w:t>提交</w:t>
      </w:r>
      <w:r>
        <w:rPr>
          <w:rFonts w:hint="eastAsia" w:asciiTheme="minorEastAsia" w:hAnsiTheme="minorEastAsia" w:eastAsiaTheme="minorEastAsia" w:cstheme="minorEastAsia"/>
          <w:color w:val="auto"/>
          <w:szCs w:val="21"/>
        </w:rPr>
        <w:t>地点：广西众联工程项目管理有限公司开标厅（南宁市江南区白沙大道53号松宇时代14层），逾期送达的将予以拒收。</w:t>
      </w:r>
      <w:bookmarkStart w:id="22" w:name="_Toc28359093"/>
      <w:bookmarkStart w:id="23" w:name="_Toc35393802"/>
      <w:bookmarkStart w:id="24" w:name="_Toc28359016"/>
      <w:bookmarkStart w:id="25" w:name="_Toc35393633"/>
    </w:p>
    <w:p>
      <w:pPr>
        <w:spacing w:line="420" w:lineRule="exact"/>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五、响应文件开启</w:t>
      </w:r>
      <w:bookmarkEnd w:id="22"/>
      <w:bookmarkEnd w:id="23"/>
      <w:bookmarkEnd w:id="24"/>
      <w:bookmarkEnd w:id="25"/>
    </w:p>
    <w:p>
      <w:pPr>
        <w:spacing w:line="420" w:lineRule="exact"/>
        <w:ind w:firstLine="420" w:firstLineChars="20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bCs/>
          <w:color w:val="auto"/>
          <w:szCs w:val="21"/>
        </w:rPr>
        <w:t>开启</w:t>
      </w:r>
      <w:r>
        <w:rPr>
          <w:rFonts w:hint="eastAsia" w:asciiTheme="minorEastAsia" w:hAnsiTheme="minorEastAsia" w:eastAsiaTheme="minorEastAsia" w:cstheme="minorEastAsia"/>
          <w:color w:val="auto"/>
          <w:szCs w:val="21"/>
        </w:rPr>
        <w:t>时间：</w:t>
      </w:r>
      <w:r>
        <w:rPr>
          <w:rFonts w:hint="eastAsia" w:asciiTheme="minorEastAsia" w:hAnsiTheme="minorEastAsia" w:eastAsiaTheme="minorEastAsia" w:cstheme="minorEastAsia"/>
          <w:bCs/>
          <w:color w:val="auto"/>
          <w:szCs w:val="21"/>
        </w:rPr>
        <w:t>2024年</w:t>
      </w:r>
      <w:r>
        <w:rPr>
          <w:rFonts w:hint="eastAsia" w:asciiTheme="minorEastAsia" w:hAnsiTheme="minorEastAsia" w:eastAsiaTheme="minorEastAsia" w:cstheme="minorEastAsia"/>
          <w:bCs/>
          <w:color w:val="auto"/>
          <w:szCs w:val="21"/>
          <w:lang w:val="en-US" w:eastAsia="zh-CN"/>
        </w:rPr>
        <w:t>07</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16</w:t>
      </w:r>
      <w:r>
        <w:rPr>
          <w:rFonts w:hint="eastAsia" w:asciiTheme="minorEastAsia" w:hAnsiTheme="minorEastAsia" w:eastAsiaTheme="minorEastAsia" w:cstheme="minorEastAsia"/>
          <w:bCs/>
          <w:color w:val="auto"/>
          <w:szCs w:val="21"/>
        </w:rPr>
        <w:t>日9时30分（北京时间）</w:t>
      </w:r>
    </w:p>
    <w:p>
      <w:pPr>
        <w:spacing w:line="420" w:lineRule="exact"/>
        <w:ind w:firstLine="420" w:firstLineChars="20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bCs/>
          <w:color w:val="auto"/>
          <w:szCs w:val="21"/>
        </w:rPr>
        <w:t>开启</w:t>
      </w:r>
      <w:r>
        <w:rPr>
          <w:rFonts w:hint="eastAsia" w:asciiTheme="minorEastAsia" w:hAnsiTheme="minorEastAsia" w:eastAsiaTheme="minorEastAsia" w:cstheme="minorEastAsia"/>
          <w:color w:val="auto"/>
          <w:szCs w:val="21"/>
        </w:rPr>
        <w:t>地点：</w:t>
      </w:r>
      <w:bookmarkStart w:id="26" w:name="_Toc28359094"/>
      <w:bookmarkStart w:id="27" w:name="_Toc35393803"/>
      <w:bookmarkStart w:id="28" w:name="_Toc35393634"/>
      <w:bookmarkStart w:id="29" w:name="_Toc28359017"/>
      <w:r>
        <w:rPr>
          <w:rFonts w:hint="eastAsia" w:asciiTheme="minorEastAsia" w:hAnsiTheme="minorEastAsia" w:eastAsiaTheme="minorEastAsia" w:cstheme="minorEastAsia"/>
          <w:color w:val="auto"/>
          <w:szCs w:val="21"/>
        </w:rPr>
        <w:t>广西众联工程项目管理有限公司评标室（南宁市江南区白沙大道53号松宇时代14层）</w:t>
      </w:r>
    </w:p>
    <w:p>
      <w:pPr>
        <w:spacing w:line="420" w:lineRule="exact"/>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六、公告期限</w:t>
      </w:r>
      <w:bookmarkEnd w:id="26"/>
      <w:bookmarkEnd w:id="27"/>
      <w:bookmarkEnd w:id="28"/>
      <w:bookmarkEnd w:id="29"/>
    </w:p>
    <w:p>
      <w:pPr>
        <w:spacing w:line="42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自本公告发布之日起3个工作日</w:t>
      </w:r>
      <w:bookmarkStart w:id="30" w:name="_Toc35393635"/>
      <w:bookmarkStart w:id="31" w:name="_Toc35393804"/>
    </w:p>
    <w:p>
      <w:pPr>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七、其他补充事宜</w:t>
      </w:r>
      <w:bookmarkEnd w:id="30"/>
      <w:bookmarkEnd w:id="31"/>
      <w:r>
        <w:rPr>
          <w:rFonts w:hint="eastAsia" w:asciiTheme="minorEastAsia" w:hAnsiTheme="minorEastAsia" w:eastAsiaTheme="minorEastAsia" w:cstheme="minorEastAsia"/>
          <w:bCs/>
          <w:color w:val="auto"/>
          <w:szCs w:val="21"/>
        </w:rPr>
        <w:t>：</w:t>
      </w:r>
    </w:p>
    <w:p>
      <w:pPr>
        <w:spacing w:line="42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1、磋商保证金：金额为人民币</w:t>
      </w:r>
      <w:r>
        <w:rPr>
          <w:rFonts w:hint="eastAsia" w:asciiTheme="minorEastAsia" w:hAnsiTheme="minorEastAsia" w:eastAsiaTheme="minorEastAsia" w:cstheme="minorEastAsia"/>
          <w:b/>
          <w:color w:val="auto"/>
          <w:kern w:val="0"/>
          <w:szCs w:val="21"/>
          <w:lang w:eastAsia="zh-CN"/>
        </w:rPr>
        <w:t>（</w:t>
      </w:r>
      <w:r>
        <w:rPr>
          <w:rFonts w:hint="eastAsia" w:asciiTheme="minorEastAsia" w:hAnsiTheme="minorEastAsia" w:eastAsiaTheme="minorEastAsia" w:cstheme="minorEastAsia"/>
          <w:b/>
          <w:color w:val="auto"/>
          <w:kern w:val="0"/>
          <w:szCs w:val="21"/>
          <w:lang w:val="en-US" w:eastAsia="zh-CN"/>
        </w:rPr>
        <w:t>大写）</w:t>
      </w:r>
      <w:r>
        <w:rPr>
          <w:rFonts w:hint="eastAsia" w:asciiTheme="minorEastAsia" w:hAnsiTheme="minorEastAsia" w:eastAsiaTheme="minorEastAsia" w:cstheme="minorEastAsia"/>
          <w:bCs/>
          <w:color w:val="auto"/>
          <w:szCs w:val="21"/>
        </w:rPr>
        <w:t>陆仟元整（¥6,000.00元）。</w:t>
      </w:r>
    </w:p>
    <w:p>
      <w:pPr>
        <w:spacing w:line="42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供应商必须于响应文件递交截止时间前以转账、支票、汇票、本票或者金融机构、担保机构出具的保函等非现金形式足额提交至采购代理机构指定账户并且到账。</w:t>
      </w:r>
    </w:p>
    <w:p>
      <w:pPr>
        <w:spacing w:line="42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2、磋商保证金交纳的指定账号：</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开户名称：广西众联工程项目管理有限公司</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银行账号：78900188000167866</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开户行：中国光大银行股份有限公司南宁民主支行</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3、磋商时间及地点：</w:t>
      </w:r>
      <w:r>
        <w:rPr>
          <w:rFonts w:hint="eastAsia" w:asciiTheme="minorEastAsia" w:hAnsiTheme="minorEastAsia" w:eastAsiaTheme="minorEastAsia" w:cstheme="minorEastAsia"/>
          <w:bCs/>
          <w:color w:val="auto"/>
          <w:szCs w:val="21"/>
        </w:rPr>
        <w:t>2024年</w:t>
      </w:r>
      <w:r>
        <w:rPr>
          <w:rFonts w:hint="eastAsia" w:asciiTheme="minorEastAsia" w:hAnsiTheme="minorEastAsia" w:eastAsiaTheme="minorEastAsia" w:cstheme="minorEastAsia"/>
          <w:bCs/>
          <w:color w:val="auto"/>
          <w:szCs w:val="21"/>
          <w:lang w:val="en-US" w:eastAsia="zh-CN"/>
        </w:rPr>
        <w:t>07</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16</w:t>
      </w:r>
      <w:r>
        <w:rPr>
          <w:rFonts w:hint="eastAsia" w:asciiTheme="minorEastAsia" w:hAnsiTheme="minorEastAsia" w:eastAsiaTheme="minorEastAsia" w:cstheme="minorEastAsia"/>
          <w:bCs/>
          <w:color w:val="auto"/>
          <w:szCs w:val="21"/>
        </w:rPr>
        <w:t>日</w:t>
      </w:r>
      <w:r>
        <w:rPr>
          <w:rFonts w:hint="eastAsia" w:asciiTheme="minorEastAsia" w:hAnsiTheme="minorEastAsia" w:eastAsiaTheme="minorEastAsia" w:cstheme="minorEastAsia"/>
          <w:color w:val="auto"/>
          <w:szCs w:val="21"/>
        </w:rPr>
        <w:t>9时30分截标后为磋商小组与供应商磋商时间，具体时间由采购代理机构另行通知。地点：广西众联工程项目管理有限公司评标室（以具体通知为准），参加磋商的</w:t>
      </w:r>
      <w:r>
        <w:rPr>
          <w:rFonts w:hint="eastAsia" w:asciiTheme="minorEastAsia" w:hAnsiTheme="minorEastAsia" w:eastAsiaTheme="minorEastAsia" w:cstheme="minorEastAsia"/>
          <w:color w:val="auto"/>
          <w:szCs w:val="21"/>
          <w:lang w:val="en-US" w:eastAsia="zh-CN"/>
        </w:rPr>
        <w:t>供应商的</w:t>
      </w:r>
      <w:r>
        <w:rPr>
          <w:rFonts w:hint="eastAsia" w:asciiTheme="minorEastAsia" w:hAnsiTheme="minorEastAsia" w:eastAsiaTheme="minorEastAsia" w:cstheme="minorEastAsia"/>
          <w:color w:val="auto"/>
          <w:szCs w:val="21"/>
        </w:rPr>
        <w:t>法定代表人（负责人） 或委托代理人必须持有效证件[法定代表人（负责人）凭身份证或委托代理人凭法人授权委托书原件和身份证]依时达到指定地点等候当面磋商。</w:t>
      </w:r>
    </w:p>
    <w:p>
      <w:pPr>
        <w:spacing w:line="42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4、公告媒体：国家税务总局广西壮族自治区税务局网（http://guangxi.chinatax.gov.cn/）、广西众联工程项目管理有限公司网（</w:t>
      </w:r>
      <w:r>
        <w:rPr>
          <w:color w:val="auto"/>
        </w:rPr>
        <w:fldChar w:fldCharType="begin"/>
      </w:r>
      <w:r>
        <w:rPr>
          <w:color w:val="auto"/>
        </w:rPr>
        <w:instrText xml:space="preserve"> HYPERLINK "http://www.gxzhonglian.cn/" </w:instrText>
      </w:r>
      <w:r>
        <w:rPr>
          <w:color w:val="auto"/>
        </w:rPr>
        <w:fldChar w:fldCharType="separate"/>
      </w:r>
      <w:r>
        <w:rPr>
          <w:rStyle w:val="54"/>
          <w:rFonts w:hint="eastAsia" w:asciiTheme="minorEastAsia" w:hAnsiTheme="minorEastAsia" w:eastAsiaTheme="minorEastAsia" w:cstheme="minorEastAsia"/>
          <w:color w:val="auto"/>
          <w:szCs w:val="21"/>
          <w:u w:val="none"/>
        </w:rPr>
        <w:t>http://www.gxzhonglian.cn/</w:t>
      </w:r>
      <w:r>
        <w:rPr>
          <w:rStyle w:val="54"/>
          <w:rFonts w:hint="eastAsia" w:asciiTheme="minorEastAsia" w:hAnsiTheme="minorEastAsia" w:eastAsiaTheme="minorEastAsia" w:cstheme="minorEastAsia"/>
          <w:color w:val="auto"/>
          <w:szCs w:val="21"/>
          <w:u w:val="none"/>
        </w:rPr>
        <w:fldChar w:fldCharType="end"/>
      </w:r>
      <w:r>
        <w:rPr>
          <w:rFonts w:hint="eastAsia" w:asciiTheme="minorEastAsia" w:hAnsiTheme="minorEastAsia" w:eastAsiaTheme="minorEastAsia" w:cstheme="minorEastAsia"/>
          <w:color w:val="auto"/>
          <w:szCs w:val="21"/>
        </w:rPr>
        <w:t>）。</w:t>
      </w:r>
    </w:p>
    <w:p>
      <w:pPr>
        <w:keepNext/>
        <w:keepLines/>
        <w:spacing w:line="420" w:lineRule="exact"/>
        <w:outlineLvl w:val="1"/>
        <w:rPr>
          <w:rFonts w:asciiTheme="minorEastAsia" w:hAnsiTheme="minorEastAsia" w:eastAsiaTheme="minorEastAsia" w:cstheme="minorEastAsia"/>
          <w:bCs/>
          <w:color w:val="auto"/>
          <w:szCs w:val="21"/>
        </w:rPr>
      </w:pPr>
      <w:bookmarkStart w:id="32" w:name="_Toc35393805"/>
      <w:bookmarkStart w:id="33" w:name="_Toc28359095"/>
      <w:bookmarkStart w:id="34" w:name="_Toc35393636"/>
      <w:bookmarkStart w:id="35" w:name="_Toc13006"/>
      <w:bookmarkStart w:id="36" w:name="_Toc28359018"/>
      <w:bookmarkStart w:id="37" w:name="_Toc46761414"/>
      <w:r>
        <w:rPr>
          <w:rFonts w:hint="eastAsia" w:asciiTheme="minorEastAsia" w:hAnsiTheme="minorEastAsia" w:eastAsiaTheme="minorEastAsia" w:cstheme="minorEastAsia"/>
          <w:bCs/>
          <w:color w:val="auto"/>
          <w:szCs w:val="21"/>
        </w:rPr>
        <w:t>八、凡对本次采购提出询问，请按以下方式联系。</w:t>
      </w:r>
      <w:bookmarkEnd w:id="32"/>
      <w:bookmarkEnd w:id="33"/>
      <w:bookmarkEnd w:id="34"/>
      <w:bookmarkEnd w:id="35"/>
      <w:bookmarkEnd w:id="36"/>
      <w:bookmarkEnd w:id="37"/>
    </w:p>
    <w:p>
      <w:pPr>
        <w:keepNext/>
        <w:keepLines/>
        <w:spacing w:line="420" w:lineRule="exact"/>
        <w:ind w:firstLine="424" w:firstLineChars="202"/>
        <w:outlineLvl w:val="1"/>
        <w:rPr>
          <w:rFonts w:asciiTheme="minorEastAsia" w:hAnsiTheme="minorEastAsia" w:eastAsiaTheme="minorEastAsia" w:cstheme="minorEastAsia"/>
          <w:bCs/>
          <w:color w:val="auto"/>
          <w:szCs w:val="21"/>
        </w:rPr>
      </w:pPr>
      <w:bookmarkStart w:id="38" w:name="_Toc28359019"/>
      <w:bookmarkStart w:id="39" w:name="_Toc15710"/>
      <w:bookmarkStart w:id="40" w:name="_Toc35393637"/>
      <w:bookmarkStart w:id="41" w:name="_Toc46761415"/>
      <w:bookmarkStart w:id="42" w:name="_Toc35393806"/>
      <w:bookmarkStart w:id="43" w:name="_Toc28359096"/>
      <w:r>
        <w:rPr>
          <w:rFonts w:hint="eastAsia" w:asciiTheme="minorEastAsia" w:hAnsiTheme="minorEastAsia" w:eastAsiaTheme="minorEastAsia" w:cstheme="minorEastAsia"/>
          <w:bCs/>
          <w:color w:val="auto"/>
          <w:szCs w:val="21"/>
        </w:rPr>
        <w:t>1、采购人信息</w:t>
      </w:r>
      <w:bookmarkEnd w:id="38"/>
      <w:bookmarkEnd w:id="39"/>
      <w:bookmarkEnd w:id="40"/>
      <w:bookmarkEnd w:id="41"/>
      <w:bookmarkEnd w:id="42"/>
      <w:bookmarkEnd w:id="43"/>
    </w:p>
    <w:p>
      <w:pPr>
        <w:spacing w:line="42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名    称：国家税务总局广西壮族自治区税务局 </w:t>
      </w:r>
    </w:p>
    <w:p>
      <w:pPr>
        <w:spacing w:line="42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地    址：南宁市青秀区民族大道105号 </w:t>
      </w:r>
    </w:p>
    <w:p>
      <w:pPr>
        <w:keepNext/>
        <w:keepLines/>
        <w:spacing w:line="420" w:lineRule="exact"/>
        <w:ind w:firstLine="420" w:firstLineChars="200"/>
        <w:outlineLvl w:val="1"/>
        <w:rPr>
          <w:rFonts w:asciiTheme="minorEastAsia" w:hAnsiTheme="minorEastAsia" w:eastAsiaTheme="minorEastAsia" w:cstheme="minorEastAsia"/>
          <w:bCs/>
          <w:color w:val="auto"/>
          <w:szCs w:val="21"/>
        </w:rPr>
      </w:pPr>
      <w:bookmarkStart w:id="44" w:name="_Toc46761416"/>
      <w:bookmarkStart w:id="45" w:name="_Toc21412"/>
      <w:r>
        <w:rPr>
          <w:rFonts w:hint="eastAsia" w:asciiTheme="minorEastAsia" w:hAnsiTheme="minorEastAsia" w:eastAsiaTheme="minorEastAsia" w:cstheme="minorEastAsia"/>
          <w:color w:val="auto"/>
          <w:szCs w:val="21"/>
        </w:rPr>
        <w:t>联系方式</w:t>
      </w:r>
      <w:bookmarkEnd w:id="44"/>
      <w:bookmarkEnd w:id="45"/>
      <w:r>
        <w:rPr>
          <w:rFonts w:hint="eastAsia" w:asciiTheme="minorEastAsia" w:hAnsiTheme="minorEastAsia" w:eastAsiaTheme="minorEastAsia" w:cstheme="minorEastAsia"/>
          <w:color w:val="auto"/>
          <w:szCs w:val="21"/>
        </w:rPr>
        <w:t>：宁 冰 0771-5562212</w:t>
      </w:r>
      <w:r>
        <w:rPr>
          <w:rFonts w:hint="eastAsia" w:asciiTheme="minorEastAsia" w:hAnsiTheme="minorEastAsia" w:eastAsiaTheme="minorEastAsia" w:cstheme="minorEastAsia"/>
          <w:color w:val="auto"/>
          <w:szCs w:val="21"/>
          <w:lang w:val="en-US" w:eastAsia="zh-CN"/>
        </w:rPr>
        <w:t xml:space="preserve">  覃燕倩0771-5651320</w:t>
      </w:r>
    </w:p>
    <w:p>
      <w:pPr>
        <w:keepNext/>
        <w:keepLines/>
        <w:spacing w:line="420" w:lineRule="exact"/>
        <w:ind w:firstLine="424" w:firstLineChars="202"/>
        <w:outlineLvl w:val="1"/>
        <w:rPr>
          <w:rFonts w:asciiTheme="minorEastAsia" w:hAnsiTheme="minorEastAsia" w:eastAsiaTheme="minorEastAsia" w:cstheme="minorEastAsia"/>
          <w:bCs/>
          <w:color w:val="auto"/>
          <w:szCs w:val="21"/>
        </w:rPr>
      </w:pPr>
      <w:bookmarkStart w:id="46" w:name="_Toc24805"/>
      <w:bookmarkStart w:id="47" w:name="_Toc46761417"/>
      <w:bookmarkStart w:id="48" w:name="_Toc35393638"/>
      <w:bookmarkStart w:id="49" w:name="_Toc35393807"/>
      <w:bookmarkStart w:id="50" w:name="_Toc28359020"/>
      <w:bookmarkStart w:id="51" w:name="_Toc28359097"/>
      <w:r>
        <w:rPr>
          <w:rFonts w:hint="eastAsia" w:asciiTheme="minorEastAsia" w:hAnsiTheme="minorEastAsia" w:eastAsiaTheme="minorEastAsia" w:cstheme="minorEastAsia"/>
          <w:bCs/>
          <w:color w:val="auto"/>
          <w:szCs w:val="21"/>
        </w:rPr>
        <w:t>2、采购代理机构信息</w:t>
      </w:r>
      <w:bookmarkEnd w:id="46"/>
      <w:bookmarkEnd w:id="47"/>
      <w:bookmarkEnd w:id="48"/>
      <w:bookmarkEnd w:id="49"/>
      <w:bookmarkEnd w:id="50"/>
      <w:bookmarkEnd w:id="51"/>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    称：广西众联工程项目管理有限公司</w:t>
      </w:r>
    </w:p>
    <w:p>
      <w:pPr>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址：南宁市江南区白沙大道53号松宇时代14A层</w:t>
      </w:r>
      <w:bookmarkStart w:id="52" w:name="_Toc13075"/>
      <w:bookmarkStart w:id="53" w:name="_Toc46761418"/>
      <w:bookmarkStart w:id="54" w:name="_Toc35393808"/>
      <w:bookmarkStart w:id="55" w:name="_Toc28359021"/>
      <w:bookmarkStart w:id="56" w:name="_Toc35393639"/>
      <w:bookmarkStart w:id="57" w:name="_Toc28359098"/>
    </w:p>
    <w:p>
      <w:pPr>
        <w:spacing w:line="42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联系方式：李柳婵</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李宁、包鹏、戚程</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bCs/>
          <w:color w:val="auto"/>
          <w:szCs w:val="21"/>
        </w:rPr>
        <w:t>0771-4308370</w:t>
      </w:r>
      <w:bookmarkEnd w:id="52"/>
    </w:p>
    <w:p>
      <w:pPr>
        <w:keepNext/>
        <w:keepLines/>
        <w:spacing w:line="420" w:lineRule="exact"/>
        <w:ind w:firstLine="424" w:firstLineChars="202"/>
        <w:outlineLvl w:val="1"/>
        <w:rPr>
          <w:rFonts w:asciiTheme="minorEastAsia" w:hAnsiTheme="minorEastAsia" w:eastAsiaTheme="minorEastAsia" w:cstheme="minorEastAsia"/>
          <w:bCs/>
          <w:color w:val="auto"/>
          <w:szCs w:val="21"/>
        </w:rPr>
      </w:pPr>
      <w:bookmarkStart w:id="58" w:name="_Toc20517"/>
      <w:r>
        <w:rPr>
          <w:rFonts w:hint="eastAsia" w:asciiTheme="minorEastAsia" w:hAnsiTheme="minorEastAsia" w:eastAsiaTheme="minorEastAsia" w:cstheme="minorEastAsia"/>
          <w:bCs/>
          <w:color w:val="auto"/>
          <w:szCs w:val="21"/>
        </w:rPr>
        <w:t>3、项目联系方式</w:t>
      </w:r>
      <w:bookmarkEnd w:id="53"/>
      <w:bookmarkEnd w:id="54"/>
      <w:bookmarkEnd w:id="55"/>
      <w:bookmarkEnd w:id="56"/>
      <w:bookmarkEnd w:id="57"/>
      <w:bookmarkEnd w:id="58"/>
    </w:p>
    <w:p>
      <w:pPr>
        <w:pStyle w:val="17"/>
        <w:spacing w:after="0" w:line="42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 xml:space="preserve">    项目联系人：李柳婵</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李宁、包鹏、戚程</w:t>
      </w:r>
    </w:p>
    <w:p>
      <w:pPr>
        <w:pStyle w:val="17"/>
        <w:spacing w:after="0"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r>
        <w:rPr>
          <w:rFonts w:hint="eastAsia" w:asciiTheme="minorEastAsia" w:hAnsiTheme="minorEastAsia" w:eastAsiaTheme="minorEastAsia" w:cstheme="minorEastAsia"/>
          <w:bCs/>
          <w:color w:val="auto"/>
          <w:szCs w:val="21"/>
        </w:rPr>
        <w:t>0771-4308370</w:t>
      </w:r>
    </w:p>
    <w:p>
      <w:pPr>
        <w:snapToGrid w:val="0"/>
        <w:spacing w:line="420" w:lineRule="exact"/>
        <w:ind w:firstLine="420" w:firstLineChars="200"/>
        <w:jc w:val="righ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pPr>
        <w:snapToGrid w:val="0"/>
        <w:spacing w:line="420" w:lineRule="exact"/>
        <w:ind w:firstLine="420" w:firstLineChars="200"/>
        <w:jc w:val="right"/>
        <w:rPr>
          <w:rFonts w:asciiTheme="minorEastAsia" w:hAnsiTheme="minorEastAsia" w:eastAsiaTheme="minorEastAsia" w:cstheme="minorEastAsia"/>
          <w:color w:val="auto"/>
          <w:szCs w:val="21"/>
        </w:rPr>
      </w:pPr>
    </w:p>
    <w:p>
      <w:pPr>
        <w:snapToGrid w:val="0"/>
        <w:spacing w:line="420" w:lineRule="exact"/>
        <w:ind w:firstLine="420" w:firstLineChars="200"/>
        <w:jc w:val="righ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采购代理机构：广西众联工程项目管理有限公司</w:t>
      </w:r>
    </w:p>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2024年</w:t>
      </w:r>
      <w:r>
        <w:rPr>
          <w:rFonts w:hint="eastAsia" w:asciiTheme="minorEastAsia" w:hAnsiTheme="minorEastAsia" w:eastAsiaTheme="minorEastAsia" w:cstheme="minorEastAsia"/>
          <w:color w:val="auto"/>
          <w:szCs w:val="21"/>
          <w:lang w:val="en-US" w:eastAsia="zh-CN"/>
        </w:rPr>
        <w:t>07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05</w:t>
      </w:r>
      <w:r>
        <w:rPr>
          <w:rFonts w:hint="eastAsia" w:asciiTheme="minorEastAsia" w:hAnsiTheme="minorEastAsia" w:eastAsiaTheme="minorEastAsia" w:cstheme="minorEastAsia"/>
          <w:color w:val="auto"/>
          <w:szCs w:val="21"/>
        </w:rPr>
        <w:t>日</w:t>
      </w:r>
    </w:p>
    <w:p>
      <w:pPr>
        <w:spacing w:line="420" w:lineRule="exact"/>
        <w:jc w:val="center"/>
        <w:outlineLvl w:val="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Cs w:val="21"/>
        </w:rPr>
        <w:br w:type="page"/>
      </w:r>
      <w:bookmarkStart w:id="59" w:name="_Toc31183"/>
      <w:r>
        <w:rPr>
          <w:rFonts w:hint="eastAsia" w:asciiTheme="minorEastAsia" w:hAnsiTheme="minorEastAsia" w:eastAsiaTheme="minorEastAsia" w:cstheme="minorEastAsia"/>
          <w:b/>
          <w:color w:val="auto"/>
          <w:sz w:val="28"/>
          <w:szCs w:val="28"/>
        </w:rPr>
        <w:t>第二章 磋商须知</w:t>
      </w:r>
      <w:bookmarkEnd w:id="59"/>
    </w:p>
    <w:p>
      <w:pPr>
        <w:keepNext/>
        <w:keepLines/>
        <w:spacing w:line="360" w:lineRule="auto"/>
        <w:jc w:val="center"/>
        <w:outlineLvl w:val="0"/>
        <w:rPr>
          <w:rFonts w:asciiTheme="minorEastAsia" w:hAnsiTheme="minorEastAsia" w:eastAsiaTheme="minorEastAsia" w:cstheme="minorEastAsia"/>
          <w:bCs/>
          <w:color w:val="auto"/>
          <w:kern w:val="44"/>
          <w:sz w:val="28"/>
          <w:szCs w:val="28"/>
        </w:rPr>
      </w:pPr>
      <w:bookmarkStart w:id="60" w:name="_Toc1828"/>
      <w:bookmarkStart w:id="61" w:name="_Toc46761420"/>
      <w:bookmarkStart w:id="62" w:name="_Toc3570431"/>
      <w:r>
        <w:rPr>
          <w:rFonts w:hint="eastAsia" w:asciiTheme="minorEastAsia" w:hAnsiTheme="minorEastAsia" w:eastAsiaTheme="minorEastAsia" w:cstheme="minorEastAsia"/>
          <w:bCs/>
          <w:color w:val="auto"/>
          <w:kern w:val="44"/>
          <w:sz w:val="28"/>
          <w:szCs w:val="28"/>
        </w:rPr>
        <w:t>磋商须知前附表</w:t>
      </w:r>
      <w:bookmarkEnd w:id="60"/>
      <w:bookmarkEnd w:id="61"/>
    </w:p>
    <w:tbl>
      <w:tblPr>
        <w:tblStyle w:val="46"/>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序号</w:t>
            </w:r>
          </w:p>
        </w:tc>
        <w:tc>
          <w:tcPr>
            <w:tcW w:w="1735"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名称</w:t>
            </w:r>
          </w:p>
        </w:tc>
        <w:tc>
          <w:tcPr>
            <w:tcW w:w="6057" w:type="dxa"/>
            <w:gridSpan w:val="2"/>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restart"/>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采购项目</w:t>
            </w:r>
          </w:p>
        </w:tc>
        <w:tc>
          <w:tcPr>
            <w:tcW w:w="6057" w:type="dxa"/>
            <w:gridSpan w:val="2"/>
            <w:vAlign w:val="center"/>
          </w:tcPr>
          <w:p>
            <w:pPr>
              <w:spacing w:line="420" w:lineRule="exact"/>
              <w:ind w:left="945" w:hanging="945" w:hangingChars="45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项目名称：国家税务总局广西壮族自治区税务局12366热线系统通信设备升级项目</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项目编号：ZB2024-142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420" w:lineRule="exact"/>
              <w:rPr>
                <w:rFonts w:asciiTheme="minorEastAsia" w:hAnsiTheme="minorEastAsia" w:eastAsiaTheme="minorEastAsia" w:cstheme="minorEastAsia"/>
                <w:color w:val="auto"/>
                <w:szCs w:val="21"/>
              </w:rPr>
            </w:pP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采购预算</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人民币（大写）陆拾肆万陆仟捌元整（¥646,800.00元）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420" w:lineRule="exact"/>
              <w:rPr>
                <w:rFonts w:asciiTheme="minorEastAsia" w:hAnsiTheme="minorEastAsia" w:eastAsiaTheme="minorEastAsia" w:cstheme="minorEastAsia"/>
                <w:color w:val="auto"/>
                <w:szCs w:val="21"/>
              </w:rPr>
            </w:pPr>
          </w:p>
        </w:tc>
        <w:tc>
          <w:tcPr>
            <w:tcW w:w="1735" w:type="dxa"/>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本项目设定的最高限价</w:t>
            </w:r>
          </w:p>
        </w:tc>
        <w:tc>
          <w:tcPr>
            <w:tcW w:w="6057" w:type="dxa"/>
            <w:gridSpan w:val="2"/>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TW"/>
              </w:rPr>
              <w:t>□无</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☑有，金额：</w:t>
            </w:r>
            <w:r>
              <w:rPr>
                <w:rFonts w:hint="eastAsia" w:asciiTheme="minorEastAsia" w:hAnsiTheme="minorEastAsia" w:eastAsiaTheme="minorEastAsia" w:cstheme="minorEastAsia"/>
                <w:color w:val="auto"/>
                <w:szCs w:val="21"/>
              </w:rPr>
              <w:t>人民币（大写）陆拾肆万陆仟捌元整（¥646,800.00元）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420" w:lineRule="exact"/>
              <w:rPr>
                <w:rFonts w:asciiTheme="minorEastAsia" w:hAnsiTheme="minorEastAsia" w:eastAsiaTheme="minorEastAsia" w:cstheme="minorEastAsia"/>
                <w:color w:val="auto"/>
                <w:szCs w:val="21"/>
              </w:rPr>
            </w:pPr>
          </w:p>
        </w:tc>
        <w:tc>
          <w:tcPr>
            <w:tcW w:w="1735" w:type="dxa"/>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核心产品（非单一产品项目，必填）</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420" w:lineRule="exact"/>
              <w:rPr>
                <w:rFonts w:asciiTheme="minorEastAsia" w:hAnsiTheme="minorEastAsia" w:eastAsiaTheme="minorEastAsia" w:cstheme="minorEastAsia"/>
                <w:color w:val="auto"/>
                <w:szCs w:val="21"/>
              </w:rPr>
            </w:pP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公告媒体</w:t>
            </w:r>
          </w:p>
        </w:tc>
        <w:tc>
          <w:tcPr>
            <w:tcW w:w="6057" w:type="dxa"/>
            <w:gridSpan w:val="2"/>
            <w:vAlign w:val="center"/>
          </w:tcPr>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国家税务总局广西壮族自治区税务局网（http://guangxi.chinatax.gov.cn/）</w:t>
            </w:r>
          </w:p>
          <w:p>
            <w:pPr>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广西众联工程项目管理有限公司网（</w:t>
            </w:r>
            <w:r>
              <w:rPr>
                <w:rStyle w:val="54"/>
                <w:rFonts w:hint="eastAsia" w:asciiTheme="minorEastAsia" w:hAnsiTheme="minorEastAsia" w:eastAsiaTheme="minorEastAsia" w:cstheme="minorEastAsia"/>
                <w:color w:val="auto"/>
                <w:szCs w:val="21"/>
                <w:u w:val="none"/>
              </w:rPr>
              <w:t>http://www.gxzhonglian.cn/</w:t>
            </w:r>
            <w:r>
              <w:rPr>
                <w:rFonts w:hint="eastAsia" w:asciiTheme="minorEastAsia" w:hAnsiTheme="minorEastAsia" w:eastAsiaTheme="minorEastAsia" w:cs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采购人</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名    称：国家税务总局广西壮族自治区税务局 </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地    址：</w:t>
            </w:r>
            <w:r>
              <w:rPr>
                <w:rFonts w:hint="eastAsia" w:asciiTheme="minorEastAsia" w:hAnsiTheme="minorEastAsia" w:eastAsiaTheme="minorEastAsia" w:cstheme="minorEastAsia"/>
                <w:color w:val="auto"/>
                <w:szCs w:val="21"/>
              </w:rPr>
              <w:t xml:space="preserve">南宁市青秀区民族大道105号 </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联系方式：宁冰 0771-5562212，覃燕倩0771-5651320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采购代理机构</w:t>
            </w:r>
          </w:p>
        </w:tc>
        <w:tc>
          <w:tcPr>
            <w:tcW w:w="6057" w:type="dxa"/>
            <w:gridSpan w:val="2"/>
            <w:vAlign w:val="center"/>
          </w:tcPr>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    称：广西众联工程项目管理有限公司</w:t>
            </w:r>
          </w:p>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址：南宁市江南区白沙大道53号松宇时代14A层</w:t>
            </w:r>
          </w:p>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联系方式：李柳婵</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 xml:space="preserve">李宁、包鹏、戚程 </w:t>
            </w:r>
            <w:r>
              <w:rPr>
                <w:rFonts w:hint="eastAsia" w:asciiTheme="minorEastAsia" w:hAnsiTheme="minorEastAsia" w:eastAsiaTheme="minorEastAsia" w:cstheme="minorEastAsia"/>
                <w:color w:val="auto"/>
                <w:szCs w:val="21"/>
              </w:rPr>
              <w:t xml:space="preserve"> 0771-4308370</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传    真：0771-4308713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供应商资格条件</w:t>
            </w:r>
          </w:p>
        </w:tc>
        <w:tc>
          <w:tcPr>
            <w:tcW w:w="6057" w:type="dxa"/>
            <w:gridSpan w:val="2"/>
            <w:vAlign w:val="center"/>
          </w:tcPr>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1、供应商参加本采购活动应当具备下列条件：</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（1）具有独立承担民事责任的能力；</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（2）具有良好的商业信誉和健全的财务会计制度；</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（3）具有履行合同所必需的设备和专业技术能力；</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（4）有依法缴纳税收和社会保障资金的良好记录；</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（5）参加采购活动前三年内，在经营活动中没有重大违法记录；</w:t>
            </w:r>
          </w:p>
          <w:p>
            <w:pPr>
              <w:spacing w:line="42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（6）法律、行政法规规定的其他条件。</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本项目由符合国家有关法律法规规定、同时满足本项目资质要求、在中国境内的供应商参加磋商。</w:t>
            </w:r>
          </w:p>
          <w:p>
            <w:pPr>
              <w:spacing w:line="420" w:lineRule="exact"/>
              <w:ind w:firstLine="420" w:firstLineChars="200"/>
              <w:rPr>
                <w:rFonts w:asciiTheme="minorEastAsia" w:hAnsiTheme="minorEastAsia" w:cstheme="minorEastAsia"/>
                <w:color w:val="auto"/>
                <w:szCs w:val="21"/>
              </w:rPr>
            </w:pPr>
            <w:r>
              <w:rPr>
                <w:rFonts w:hint="eastAsia" w:asciiTheme="minorEastAsia" w:hAnsiTheme="minorEastAsia" w:eastAsiaTheme="minorEastAsia" w:cstheme="minorEastAsia"/>
                <w:color w:val="auto"/>
                <w:szCs w:val="21"/>
              </w:rPr>
              <w:t>3、落实政府采购政策需满足的资格要求：</w:t>
            </w:r>
            <w:r>
              <w:rPr>
                <w:rFonts w:hint="eastAsia" w:ascii="宋体" w:hAnsi="宋体"/>
                <w:color w:val="auto"/>
                <w:szCs w:val="21"/>
              </w:rPr>
              <w:t>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本项目采购标的对应的中小企业划分标准所属行业为软件和信息技术服务业。</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4、本项目的特定资格要求：无。</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本次采购活动。</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6、单位负责人为同一人或者存在直接控股、管理关系的不同供应商，不得参加同一合同项下的采购活动。</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项目现场勘察</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☑不组织</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□组织：____________________</w:t>
            </w:r>
          </w:p>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1.时间：____________________</w:t>
            </w:r>
          </w:p>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2.地点：____________________</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样品</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☑不要求提供</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□要求提供 </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1.样品制作的标准和要求：</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2.样品检测报告：（□否；□是，检测机构的要求、检测内容详见第六章 项目采购需求）</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restart"/>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联合体</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☑不接受</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continue"/>
            <w:vAlign w:val="center"/>
          </w:tcPr>
          <w:p>
            <w:pPr>
              <w:spacing w:line="420" w:lineRule="exact"/>
              <w:jc w:val="center"/>
              <w:rPr>
                <w:rFonts w:asciiTheme="minorEastAsia" w:hAnsiTheme="minorEastAsia" w:eastAsiaTheme="minorEastAsia" w:cstheme="minorEastAsia"/>
                <w:color w:val="auto"/>
                <w:kern w:val="0"/>
                <w:szCs w:val="21"/>
              </w:rPr>
            </w:pPr>
          </w:p>
        </w:tc>
        <w:tc>
          <w:tcPr>
            <w:tcW w:w="1735" w:type="dxa"/>
          </w:tcPr>
          <w:p>
            <w:pPr>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TW"/>
              </w:rPr>
              <w:t>分包</w:t>
            </w:r>
          </w:p>
        </w:tc>
        <w:tc>
          <w:tcPr>
            <w:tcW w:w="6057" w:type="dxa"/>
            <w:gridSpan w:val="2"/>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zh-TW"/>
              </w:rPr>
              <w:t>不接受</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pacing w:val="-20"/>
                <w:kern w:val="0"/>
                <w:szCs w:val="21"/>
                <w:shd w:val="clear" w:color="auto" w:fill="FFFFFF"/>
              </w:rPr>
              <w:t>□</w:t>
            </w:r>
            <w:r>
              <w:rPr>
                <w:rFonts w:hint="eastAsia" w:asciiTheme="minorEastAsia" w:hAnsiTheme="minorEastAsia" w:eastAsiaTheme="minorEastAsia" w:cstheme="minorEastAsia"/>
                <w:color w:val="auto"/>
                <w:kern w:val="0"/>
                <w:szCs w:val="21"/>
                <w:lang w:val="zh-TW"/>
              </w:rPr>
              <w:t>接受：分包要求详见第六章项目采购需求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w:t>
            </w:r>
          </w:p>
        </w:tc>
        <w:tc>
          <w:tcPr>
            <w:tcW w:w="1735" w:type="dxa"/>
            <w:vAlign w:val="center"/>
          </w:tcPr>
          <w:p>
            <w:pPr>
              <w:widowControl/>
              <w:spacing w:line="420" w:lineRule="exact"/>
              <w:jc w:val="center"/>
              <w:rPr>
                <w:rFonts w:asciiTheme="minorEastAsia" w:hAnsiTheme="minorEastAsia" w:eastAsiaTheme="minorEastAsia" w:cstheme="minorEastAsia"/>
                <w:color w:val="auto"/>
                <w:kern w:val="0"/>
                <w:szCs w:val="21"/>
                <w:lang w:val="zh-TW"/>
              </w:rPr>
            </w:pPr>
            <w:r>
              <w:rPr>
                <w:rFonts w:hint="eastAsia" w:asciiTheme="minorEastAsia" w:hAnsiTheme="minorEastAsia" w:eastAsiaTheme="minorEastAsia" w:cstheme="minorEastAsia"/>
                <w:color w:val="auto"/>
                <w:kern w:val="0"/>
                <w:szCs w:val="21"/>
              </w:rPr>
              <w:t>采购进口产品</w:t>
            </w:r>
          </w:p>
        </w:tc>
        <w:tc>
          <w:tcPr>
            <w:tcW w:w="6057" w:type="dxa"/>
            <w:gridSpan w:val="2"/>
            <w:vAlign w:val="center"/>
          </w:tcPr>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rPr>
              <w:t xml:space="preserve"> 本采购项目拒绝进口产品参加磋商</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本采购项目已经财政部审核同意购买的进口产品为：______________</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其他或不适用____________________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5"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w:t>
            </w:r>
          </w:p>
        </w:tc>
        <w:tc>
          <w:tcPr>
            <w:tcW w:w="1735" w:type="dxa"/>
            <w:vAlign w:val="center"/>
          </w:tcPr>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支持中小企业发展</w:t>
            </w:r>
          </w:p>
          <w:p>
            <w:pPr>
              <w:pStyle w:val="22"/>
              <w:spacing w:line="420" w:lineRule="exact"/>
              <w:jc w:val="left"/>
              <w:rPr>
                <w:rFonts w:asciiTheme="minorEastAsia" w:hAnsiTheme="minorEastAsia" w:eastAsiaTheme="minorEastAsia" w:cstheme="minorEastAsia"/>
                <w:color w:val="auto"/>
                <w:sz w:val="21"/>
                <w:szCs w:val="21"/>
                <w:lang w:val="zh-TW"/>
              </w:rPr>
            </w:pPr>
          </w:p>
        </w:tc>
        <w:tc>
          <w:tcPr>
            <w:tcW w:w="6057" w:type="dxa"/>
            <w:gridSpan w:val="2"/>
            <w:vAlign w:val="center"/>
          </w:tcPr>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sym w:font="Wingdings 2" w:char="00A3"/>
            </w:r>
            <w:r>
              <w:rPr>
                <w:rFonts w:hint="eastAsia" w:asciiTheme="minorEastAsia" w:hAnsiTheme="minorEastAsia" w:eastAsiaTheme="minorEastAsia" w:cstheme="minorEastAsia"/>
                <w:color w:val="auto"/>
                <w:sz w:val="21"/>
                <w:szCs w:val="21"/>
              </w:rPr>
              <w:t>专门面向中小企业采购项目</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本项目为专门面对中小企业项目，小微企业、监狱企业、残疾人福利性单位不再执行价格评审优惠的扶持政策。</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rPr>
              <w:t xml:space="preserve"> 非专门面向中小企业采购项目（价格扣除）：</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本项目采购标的对应的中小企业划分标准所属行业为软件和信息技术服务业。</w:t>
            </w:r>
          </w:p>
          <w:p>
            <w:pPr>
              <w:pStyle w:val="22"/>
              <w:spacing w:line="4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1、货物服务采购项目给予小微企业的价格评审优惠为15%～20%的扣除，用扣除后的价格参与评审。本项目的扣除比例为：小型企业扣除15%，微型企业扣除15%。</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政府采购工程的价格评审优惠按照财库〔2020〕46号文件的规定执行。</w:t>
            </w:r>
          </w:p>
          <w:p>
            <w:pPr>
              <w:pStyle w:val="22"/>
              <w:spacing w:line="4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项目接受联合体或者分包响应的，若小型和微型企业的协议合同金额占到联合体协议或者分包意向协议合同总金额30%以上的，给予联合体或者大中型企业报价5%～6%的扣除，用扣除后的价格参与评审。本项目的扣除比例为：</w:t>
            </w:r>
            <w:r>
              <w:rPr>
                <w:rFonts w:hint="eastAsia" w:asciiTheme="minorEastAsia" w:hAnsiTheme="minorEastAsia" w:eastAsiaTheme="minorEastAsia" w:cstheme="minorEastAsia"/>
                <w:color w:val="auto"/>
                <w:sz w:val="21"/>
                <w:szCs w:val="21"/>
                <w:u w:val="single"/>
              </w:rPr>
              <w:t xml:space="preserve">5% </w:t>
            </w:r>
            <w:r>
              <w:rPr>
                <w:rFonts w:hint="eastAsia" w:asciiTheme="minorEastAsia" w:hAnsiTheme="minorEastAsia" w:eastAsiaTheme="minorEastAsia" w:cstheme="minorEastAsia"/>
                <w:color w:val="auto"/>
                <w:sz w:val="21"/>
                <w:szCs w:val="21"/>
              </w:rPr>
              <w:t>。（注：全区税务系统为5%～6%，其中区局机关为</w:t>
            </w:r>
            <w:r>
              <w:rPr>
                <w:rFonts w:hint="eastAsia" w:asciiTheme="minorEastAsia" w:hAnsiTheme="minorEastAsia" w:eastAsiaTheme="minorEastAsia" w:cstheme="minorEastAsia"/>
                <w:color w:val="auto"/>
                <w:sz w:val="21"/>
                <w:szCs w:val="21"/>
                <w:u w:val="single"/>
              </w:rPr>
              <w:t xml:space="preserve"> 5 </w:t>
            </w:r>
            <w:r>
              <w:rPr>
                <w:rFonts w:hint="eastAsia" w:asciiTheme="minorEastAsia" w:hAnsiTheme="minorEastAsia" w:eastAsiaTheme="minorEastAsia" w:cstheme="minorEastAsia"/>
                <w:color w:val="auto"/>
                <w:sz w:val="21"/>
                <w:szCs w:val="21"/>
              </w:rPr>
              <w:t xml:space="preserve"> %）</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非专门面向中小企业采购项目（其他优惠）：____________________</w:t>
            </w:r>
          </w:p>
          <w:p>
            <w:pPr>
              <w:pStyle w:val="22"/>
              <w:spacing w:line="420" w:lineRule="exact"/>
              <w:jc w:val="left"/>
              <w:rPr>
                <w:rFonts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出具的属于监狱企业的证明文件，否则不得享受相关扶持政策。提供声明函或证明文件内容不实的，属于提供虚假材料谋取中标、成交，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w:t>
            </w:r>
          </w:p>
        </w:tc>
        <w:tc>
          <w:tcPr>
            <w:tcW w:w="1735" w:type="dxa"/>
            <w:vAlign w:val="center"/>
          </w:tcPr>
          <w:p>
            <w:pPr>
              <w:pStyle w:val="22"/>
              <w:spacing w:line="420" w:lineRule="exact"/>
              <w:jc w:val="left"/>
              <w:rPr>
                <w:rFonts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rPr>
              <w:t>其他法律法规强制性规定或扶持政策</w:t>
            </w:r>
          </w:p>
        </w:tc>
        <w:tc>
          <w:tcPr>
            <w:tcW w:w="6057" w:type="dxa"/>
            <w:gridSpan w:val="2"/>
            <w:vAlign w:val="center"/>
          </w:tcPr>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11</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供应商须提供的其他资料</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供应商应根据磋商文件和项目采购需求提供相关资料。</w:t>
            </w:r>
            <w:r>
              <w:rPr>
                <w:rFonts w:hint="eastAsia" w:asciiTheme="minorEastAsia" w:hAnsiTheme="minorEastAsia" w:eastAsiaTheme="minorEastAsia" w:cstheme="minorEastAsia"/>
                <w:color w:val="auto"/>
                <w:szCs w:val="21"/>
                <w:u w:val="single"/>
              </w:rPr>
              <w:t>除磋商文件要求必要的原件核对外，对于供应商能够在线提供的材料，供应商可不提供纸质材料。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澄清或者修改时间</w:t>
            </w:r>
          </w:p>
        </w:tc>
        <w:tc>
          <w:tcPr>
            <w:tcW w:w="6057" w:type="dxa"/>
            <w:gridSpan w:val="2"/>
            <w:vAlign w:val="center"/>
          </w:tcPr>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递交响应文件的截止时间和地点</w:t>
            </w:r>
          </w:p>
        </w:tc>
        <w:tc>
          <w:tcPr>
            <w:tcW w:w="6057" w:type="dxa"/>
            <w:gridSpan w:val="2"/>
            <w:vAlign w:val="center"/>
          </w:tcPr>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时间：2024年</w:t>
            </w:r>
            <w:r>
              <w:rPr>
                <w:rFonts w:hint="eastAsia" w:asciiTheme="minorEastAsia" w:hAnsiTheme="minorEastAsia" w:eastAsiaTheme="minorEastAsia" w:cstheme="minorEastAsia"/>
                <w:color w:val="auto"/>
                <w:szCs w:val="21"/>
                <w:lang w:val="en-US" w:eastAsia="zh-CN"/>
              </w:rPr>
              <w:t>07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16</w:t>
            </w:r>
            <w:r>
              <w:rPr>
                <w:rFonts w:hint="eastAsia" w:asciiTheme="minorEastAsia" w:hAnsiTheme="minorEastAsia" w:eastAsiaTheme="minorEastAsia" w:cstheme="minorEastAsia"/>
                <w:color w:val="auto"/>
                <w:szCs w:val="21"/>
              </w:rPr>
              <w:t>日9时30分</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地点：广西众联工程项目管理有限公司开标厅（南宁市江南区白沙大道53号松宇时代14层）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14</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响应文件开启时间和地点</w:t>
            </w:r>
          </w:p>
        </w:tc>
        <w:tc>
          <w:tcPr>
            <w:tcW w:w="6057" w:type="dxa"/>
            <w:gridSpan w:val="2"/>
            <w:vAlign w:val="center"/>
          </w:tcPr>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时间：2024年</w:t>
            </w:r>
            <w:r>
              <w:rPr>
                <w:rFonts w:hint="eastAsia" w:asciiTheme="minorEastAsia" w:hAnsiTheme="minorEastAsia" w:eastAsiaTheme="minorEastAsia" w:cstheme="minorEastAsia"/>
                <w:color w:val="auto"/>
                <w:szCs w:val="21"/>
                <w:lang w:val="en-US" w:eastAsia="zh-CN"/>
              </w:rPr>
              <w:t>07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16</w:t>
            </w:r>
            <w:r>
              <w:rPr>
                <w:rFonts w:hint="eastAsia" w:asciiTheme="minorEastAsia" w:hAnsiTheme="minorEastAsia" w:eastAsiaTheme="minorEastAsia" w:cstheme="minorEastAsia"/>
                <w:color w:val="auto"/>
                <w:szCs w:val="21"/>
              </w:rPr>
              <w:t>日9时30分</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地点：广西众联工程项目管理有限公司评标室（南宁市江南区白沙大道53号松宇时代14层）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磋商保证金</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□不要求提供</w:t>
            </w:r>
          </w:p>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☑要求提供。磋商保证金数额不得超过采购项目预算金额的1%，</w:t>
            </w:r>
            <w:r>
              <w:rPr>
                <w:rFonts w:hint="eastAsia" w:asciiTheme="minorEastAsia" w:hAnsiTheme="minorEastAsia" w:eastAsiaTheme="minorEastAsia" w:cstheme="minorEastAsia"/>
                <w:b/>
                <w:color w:val="auto"/>
                <w:kern w:val="0"/>
                <w:szCs w:val="21"/>
              </w:rPr>
              <w:t>本项目的磋商保证金为人民币</w:t>
            </w:r>
            <w:r>
              <w:rPr>
                <w:rFonts w:hint="eastAsia" w:asciiTheme="minorEastAsia" w:hAnsiTheme="minorEastAsia" w:eastAsiaTheme="minorEastAsia" w:cstheme="minorEastAsia"/>
                <w:b/>
                <w:color w:val="auto"/>
                <w:kern w:val="0"/>
                <w:szCs w:val="21"/>
                <w:lang w:eastAsia="zh-CN"/>
              </w:rPr>
              <w:t>（</w:t>
            </w:r>
            <w:r>
              <w:rPr>
                <w:rFonts w:hint="eastAsia" w:asciiTheme="minorEastAsia" w:hAnsiTheme="minorEastAsia" w:eastAsiaTheme="minorEastAsia" w:cstheme="minorEastAsia"/>
                <w:b/>
                <w:color w:val="auto"/>
                <w:kern w:val="0"/>
                <w:szCs w:val="21"/>
                <w:lang w:val="en-US" w:eastAsia="zh-CN"/>
              </w:rPr>
              <w:t>大写）</w:t>
            </w:r>
            <w:r>
              <w:rPr>
                <w:rFonts w:hint="eastAsia" w:asciiTheme="minorEastAsia" w:hAnsiTheme="minorEastAsia" w:eastAsiaTheme="minorEastAsia" w:cstheme="minorEastAsia"/>
                <w:b/>
                <w:color w:val="auto"/>
                <w:kern w:val="0"/>
                <w:szCs w:val="21"/>
              </w:rPr>
              <w:t>陆仟元整（¥6,000.00元）</w:t>
            </w:r>
            <w:r>
              <w:rPr>
                <w:rFonts w:hint="eastAsia" w:asciiTheme="minorEastAsia" w:hAnsiTheme="minorEastAsia" w:eastAsiaTheme="minorEastAsia" w:cstheme="minorEastAsia"/>
                <w:b/>
                <w:color w:val="auto"/>
                <w:szCs w:val="21"/>
              </w:rPr>
              <w:t>（取整到元），</w:t>
            </w:r>
            <w:r>
              <w:rPr>
                <w:rFonts w:hint="eastAsia" w:asciiTheme="minorEastAsia" w:hAnsiTheme="minorEastAsia" w:eastAsiaTheme="minorEastAsia" w:cstheme="minorEastAsia"/>
                <w:color w:val="auto"/>
                <w:kern w:val="0"/>
                <w:szCs w:val="21"/>
              </w:rPr>
              <w:t>提交方式：</w:t>
            </w:r>
            <w:r>
              <w:rPr>
                <w:rFonts w:hint="eastAsia" w:asciiTheme="minorEastAsia" w:hAnsiTheme="minorEastAsia" w:eastAsiaTheme="minorEastAsia" w:cstheme="minorEastAsia"/>
                <w:color w:val="auto"/>
                <w:szCs w:val="21"/>
              </w:rPr>
              <w:t>供应商必须于响应文件递交截止时间前以转账、支票、汇票、本票或者金融机构、担保机构出具的保函等非现金形式足额提交给采购代理机构。</w:t>
            </w:r>
          </w:p>
          <w:p>
            <w:pPr>
              <w:autoSpaceDE w:val="0"/>
              <w:autoSpaceDN w:val="0"/>
              <w:snapToGrid w:val="0"/>
              <w:spacing w:line="420" w:lineRule="exac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收款人户名：广西众联工程项目管理有限公司</w:t>
            </w:r>
          </w:p>
          <w:p>
            <w:pPr>
              <w:autoSpaceDE w:val="0"/>
              <w:autoSpaceDN w:val="0"/>
              <w:snapToGrid w:val="0"/>
              <w:spacing w:line="420" w:lineRule="exac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开户银行：中国光大银行股份有限公司南宁民主支行</w:t>
            </w:r>
          </w:p>
          <w:p>
            <w:pPr>
              <w:autoSpaceDE w:val="0"/>
              <w:autoSpaceDN w:val="0"/>
              <w:snapToGrid w:val="0"/>
              <w:spacing w:line="420" w:lineRule="exac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银行账号：78900188000167866</w:t>
            </w:r>
          </w:p>
          <w:p>
            <w:pPr>
              <w:autoSpaceDE w:val="0"/>
              <w:autoSpaceDN w:val="0"/>
              <w:snapToGrid w:val="0"/>
              <w:spacing w:line="420" w:lineRule="exac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rPr>
              <w:t>注：以电汇方式递交磋商保证金须在电汇凭据附言栏中写明项目名称或项目编号、分标（如有）及用途(磋商保证金)。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磋商响应有效期</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自响应文件</w:t>
            </w:r>
            <w:r>
              <w:rPr>
                <w:rFonts w:hint="eastAsia" w:asciiTheme="minorEastAsia" w:hAnsiTheme="minorEastAsia" w:eastAsiaTheme="minorEastAsia" w:cstheme="minorEastAsia"/>
                <w:color w:val="auto"/>
                <w:kern w:val="0"/>
                <w:szCs w:val="21"/>
                <w:lang w:val="en-US" w:eastAsia="zh-CN"/>
              </w:rPr>
              <w:t>递交</w:t>
            </w:r>
            <w:r>
              <w:rPr>
                <w:rFonts w:hint="eastAsia" w:asciiTheme="minorEastAsia" w:hAnsiTheme="minorEastAsia" w:eastAsiaTheme="minorEastAsia" w:cstheme="minorEastAsia"/>
                <w:color w:val="auto"/>
                <w:kern w:val="0"/>
                <w:szCs w:val="21"/>
              </w:rPr>
              <w:t>截止时间起90日(日历日)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17</w:t>
            </w:r>
          </w:p>
        </w:tc>
        <w:tc>
          <w:tcPr>
            <w:tcW w:w="1735" w:type="dxa"/>
            <w:vAlign w:val="center"/>
          </w:tcPr>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响应文件份数</w:t>
            </w:r>
          </w:p>
        </w:tc>
        <w:tc>
          <w:tcPr>
            <w:tcW w:w="6057" w:type="dxa"/>
            <w:gridSpan w:val="2"/>
            <w:vAlign w:val="center"/>
          </w:tcPr>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正本 </w:t>
            </w:r>
            <w:r>
              <w:rPr>
                <w:rFonts w:hint="eastAsia" w:asciiTheme="minorEastAsia" w:hAnsiTheme="minorEastAsia" w:eastAsiaTheme="minorEastAsia" w:cstheme="minorEastAsia"/>
                <w:color w:val="auto"/>
                <w:sz w:val="21"/>
                <w:szCs w:val="21"/>
                <w:u w:val="single"/>
              </w:rPr>
              <w:t xml:space="preserve">壹 </w:t>
            </w:r>
            <w:r>
              <w:rPr>
                <w:rFonts w:hint="eastAsia" w:asciiTheme="minorEastAsia" w:hAnsiTheme="minorEastAsia" w:eastAsiaTheme="minorEastAsia" w:cstheme="minorEastAsia"/>
                <w:color w:val="auto"/>
                <w:sz w:val="21"/>
                <w:szCs w:val="21"/>
              </w:rPr>
              <w:t>份</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副本 </w:t>
            </w:r>
            <w:r>
              <w:rPr>
                <w:rFonts w:hint="eastAsia" w:asciiTheme="minorEastAsia" w:hAnsiTheme="minorEastAsia" w:eastAsiaTheme="minorEastAsia" w:cstheme="minorEastAsia"/>
                <w:color w:val="auto"/>
                <w:sz w:val="21"/>
                <w:szCs w:val="21"/>
                <w:u w:val="single"/>
              </w:rPr>
              <w:t xml:space="preserve">贰 </w:t>
            </w:r>
            <w:r>
              <w:rPr>
                <w:rFonts w:hint="eastAsia" w:asciiTheme="minorEastAsia" w:hAnsiTheme="minorEastAsia" w:eastAsiaTheme="minorEastAsia" w:cstheme="minorEastAsia"/>
                <w:color w:val="auto"/>
                <w:sz w:val="21"/>
                <w:szCs w:val="21"/>
              </w:rPr>
              <w:t>份</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电子文件</w:t>
            </w:r>
            <w:r>
              <w:rPr>
                <w:rFonts w:hint="eastAsia" w:asciiTheme="minorEastAsia" w:hAnsiTheme="minorEastAsia" w:eastAsiaTheme="minorEastAsia" w:cstheme="minorEastAsia"/>
                <w:color w:val="auto"/>
                <w:sz w:val="21"/>
                <w:szCs w:val="21"/>
                <w:u w:val="single"/>
              </w:rPr>
              <w:t xml:space="preserve"> 壹 </w:t>
            </w:r>
            <w:r>
              <w:rPr>
                <w:rFonts w:hint="eastAsia" w:asciiTheme="minorEastAsia" w:hAnsiTheme="minorEastAsia" w:eastAsiaTheme="minorEastAsia" w:cstheme="minorEastAsia"/>
                <w:color w:val="auto"/>
                <w:sz w:val="21"/>
                <w:szCs w:val="21"/>
              </w:rPr>
              <w:t>份（U盘）(☑盖公章的扫描件，</w:t>
            </w:r>
            <w:r>
              <w:rPr>
                <w:rFonts w:hint="eastAsia" w:asciiTheme="minorEastAsia" w:hAnsiTheme="minorEastAsia" w:eastAsiaTheme="minorEastAsia" w:cstheme="minorEastAsia"/>
                <w:color w:val="auto"/>
                <w:sz w:val="21"/>
                <w:szCs w:val="21"/>
              </w:rPr>
              <w:sym w:font="Wingdings" w:char="00FE"/>
            </w:r>
            <w:r>
              <w:rPr>
                <w:rFonts w:hint="eastAsia" w:asciiTheme="minorEastAsia" w:hAnsiTheme="minorEastAsia" w:eastAsiaTheme="minorEastAsia" w:cstheme="minorEastAsia"/>
                <w:color w:val="auto"/>
                <w:sz w:val="21"/>
                <w:szCs w:val="21"/>
              </w:rPr>
              <w:t xml:space="preserve"> Word，可多选)</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响应文件每本装订厚度不能超过55mm，如超出需分册装订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18</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响应文件封套上应载明的信息</w:t>
            </w:r>
          </w:p>
        </w:tc>
        <w:tc>
          <w:tcPr>
            <w:tcW w:w="6057" w:type="dxa"/>
            <w:gridSpan w:val="2"/>
            <w:vAlign w:val="center"/>
          </w:tcPr>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___________________(项目名称)响应文件</w:t>
            </w:r>
          </w:p>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项目编号：____________________</w:t>
            </w:r>
          </w:p>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在______年____月____日____时____分之前不得启封</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供应商名称：____________________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19</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信用查询</w:t>
            </w:r>
          </w:p>
        </w:tc>
        <w:tc>
          <w:tcPr>
            <w:tcW w:w="6057"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采购人或采购代理机构通过“信用中国”网站(www. creditchina. gov.cn)、中国政府采购网(www.ccgp.gov.cn)查询相关主体信用记录。本次查询的信用记录打印的网页版将留存在评审报告中。</w:t>
            </w:r>
            <w:r>
              <w:rPr>
                <w:rFonts w:hint="eastAsia" w:asciiTheme="minorEastAsia" w:hAnsiTheme="minorEastAsia" w:eastAsiaTheme="minorEastAsia" w:cstheme="minorEastAsia"/>
                <w:b/>
                <w:color w:val="auto"/>
                <w:kern w:val="0"/>
                <w:szCs w:val="21"/>
              </w:rPr>
              <w:t>本项目信用记录查询截止时点为</w:t>
            </w:r>
            <w:r>
              <w:rPr>
                <w:rFonts w:hint="eastAsia" w:asciiTheme="minorEastAsia" w:hAnsiTheme="minorEastAsia" w:eastAsiaTheme="minorEastAsia" w:cstheme="minorEastAsia"/>
                <w:b/>
                <w:color w:val="auto"/>
                <w:kern w:val="0"/>
                <w:szCs w:val="21"/>
                <w:u w:val="single"/>
              </w:rPr>
              <w:t>响应文件开启到响应文件初步审查结束前。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w:t>
            </w:r>
          </w:p>
        </w:tc>
        <w:tc>
          <w:tcPr>
            <w:tcW w:w="1735" w:type="dxa"/>
            <w:vAlign w:val="center"/>
          </w:tcPr>
          <w:p>
            <w:pPr>
              <w:pStyle w:val="22"/>
              <w:spacing w:line="4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定标原则</w:t>
            </w:r>
          </w:p>
        </w:tc>
        <w:tc>
          <w:tcPr>
            <w:tcW w:w="6057" w:type="dxa"/>
            <w:gridSpan w:val="2"/>
            <w:vAlign w:val="center"/>
          </w:tcPr>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1.采购人在评审报告确定的成交候选供应商名单中按顺序确定成交供应商。</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2.成交候选供应商并列的，按照以下方式确定成交供应商。</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①最低评标价法：</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随机抽取</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□其他____________________</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②综合评分法：</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随机抽取</w:t>
            </w:r>
          </w:p>
          <w:p>
            <w:pPr>
              <w:pStyle w:val="22"/>
              <w:spacing w:line="4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w:t>
            </w:r>
            <w:r>
              <w:rPr>
                <w:rFonts w:hint="eastAsia" w:asciiTheme="minorEastAsia" w:hAnsiTheme="minorEastAsia" w:eastAsiaTheme="minorEastAsia" w:cstheme="minorEastAsia"/>
                <w:color w:val="auto"/>
                <w:sz w:val="21"/>
                <w:szCs w:val="21"/>
                <w:u w:val="single"/>
              </w:rPr>
              <w:t>得分相同时，以最后报价由低到高顺序排列；得分相同且最后报价相同的，按技术指标优劣顺序排列。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21</w:t>
            </w:r>
          </w:p>
        </w:tc>
        <w:tc>
          <w:tcPr>
            <w:tcW w:w="1735" w:type="dxa"/>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提供</w:t>
            </w:r>
            <w:r>
              <w:rPr>
                <w:rFonts w:hint="eastAsia" w:asciiTheme="minorEastAsia" w:hAnsiTheme="minorEastAsia" w:eastAsiaTheme="minorEastAsia" w:cstheme="minorEastAsia"/>
                <w:color w:val="auto"/>
                <w:szCs w:val="21"/>
              </w:rPr>
              <w:t>交货</w:t>
            </w:r>
            <w:r>
              <w:rPr>
                <w:rFonts w:hint="eastAsia" w:asciiTheme="minorEastAsia" w:hAnsiTheme="minorEastAsia" w:eastAsiaTheme="minorEastAsia" w:cstheme="minorEastAsia"/>
                <w:color w:val="auto"/>
                <w:kern w:val="0"/>
                <w:szCs w:val="21"/>
              </w:rPr>
              <w:t>时间、地点</w:t>
            </w:r>
          </w:p>
        </w:tc>
        <w:tc>
          <w:tcPr>
            <w:tcW w:w="6057" w:type="dxa"/>
            <w:gridSpan w:val="2"/>
            <w:vAlign w:val="center"/>
          </w:tcPr>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提供交货的时间：详见第六章项目采购需求</w:t>
            </w:r>
          </w:p>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提供交货的地点：详见第六章项目采购需求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22</w:t>
            </w:r>
          </w:p>
        </w:tc>
        <w:tc>
          <w:tcPr>
            <w:tcW w:w="1745"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采购资金的支付方式和时间</w:t>
            </w:r>
          </w:p>
        </w:tc>
        <w:tc>
          <w:tcPr>
            <w:tcW w:w="6047" w:type="dxa"/>
            <w:vAlign w:val="center"/>
          </w:tcPr>
          <w:p>
            <w:pPr>
              <w:spacing w:line="42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w:t>
            </w:r>
          </w:p>
        </w:tc>
        <w:tc>
          <w:tcPr>
            <w:tcW w:w="1745"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履约保证金</w:t>
            </w:r>
          </w:p>
        </w:tc>
        <w:tc>
          <w:tcPr>
            <w:tcW w:w="6047" w:type="dxa"/>
            <w:vAlign w:val="center"/>
          </w:tcPr>
          <w:p>
            <w:pPr>
              <w:spacing w:line="420" w:lineRule="exact"/>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☑不要求提供</w:t>
            </w:r>
          </w:p>
          <w:p>
            <w:pPr>
              <w:pStyle w:val="22"/>
              <w:spacing w:line="420" w:lineRule="exact"/>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00A3"/>
            </w:r>
            <w:r>
              <w:rPr>
                <w:rFonts w:hint="eastAsia" w:asciiTheme="minorEastAsia" w:hAnsiTheme="minorEastAsia" w:eastAsiaTheme="minorEastAsia" w:cstheme="minorEastAsia"/>
                <w:color w:val="auto"/>
                <w:sz w:val="21"/>
                <w:szCs w:val="21"/>
                <w:highlight w:val="none"/>
              </w:rPr>
              <w:t xml:space="preserve"> 要求提供，履约保证金的数额不得超过采购合同金额的10%，本项目履约保证金为合同金额的</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取整到元），提交方式为支票、汇票、本票或者金融机构、担保机构出具的保函等非现金形式，成交供应商在签订合同前应提交履约保证金，否则，不予签订合同。采用转账、电汇方式的，由成交供应商在签订合同前按规定的金额从成交供应商银行账户直接缴入采购人账户。</w:t>
            </w:r>
          </w:p>
          <w:p>
            <w:pPr>
              <w:spacing w:line="4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项目验收合格的，采购人在收到成交供应商提出申请的30日内无息返还履约保证金；采购人如逾期退还履约保证金，每逾期一天，可按应退款项的</w:t>
            </w:r>
            <w:r>
              <w:rPr>
                <w:rFonts w:hint="eastAsia" w:asciiTheme="minorEastAsia" w:hAnsiTheme="minorEastAsia" w:eastAsiaTheme="minorEastAsia" w:cstheme="minorEastAsia"/>
                <w:color w:val="auto"/>
                <w:szCs w:val="21"/>
                <w:highlight w:val="none"/>
                <w:shd w:val="clear" w:color="auto" w:fill="FFFFFF"/>
              </w:rPr>
              <w:t>银行同期存款利息</w:t>
            </w:r>
            <w:r>
              <w:rPr>
                <w:rFonts w:hint="eastAsia" w:asciiTheme="minorEastAsia" w:hAnsiTheme="minorEastAsia" w:eastAsiaTheme="minorEastAsia" w:cstheme="minorEastAsia"/>
                <w:color w:val="auto"/>
                <w:szCs w:val="21"/>
                <w:highlight w:val="none"/>
              </w:rPr>
              <w:t>计算违约金；项目验收不合格的，履约保证金不予退还。</w:t>
            </w:r>
          </w:p>
          <w:p>
            <w:pPr>
              <w:spacing w:line="42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收款人户名：</w:t>
            </w:r>
          </w:p>
          <w:p>
            <w:pPr>
              <w:spacing w:line="42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p>
            <w:pPr>
              <w:spacing w:line="42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p>
          <w:p>
            <w:pPr>
              <w:spacing w:line="42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24</w:t>
            </w:r>
          </w:p>
        </w:tc>
        <w:tc>
          <w:tcPr>
            <w:tcW w:w="1745"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全区税务系统代理费用标准</w:t>
            </w:r>
          </w:p>
        </w:tc>
        <w:tc>
          <w:tcPr>
            <w:tcW w:w="6047" w:type="dxa"/>
            <w:vAlign w:val="center"/>
          </w:tcPr>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（1）采购代理费收费标准：</w:t>
            </w:r>
          </w:p>
          <w:p>
            <w:pPr>
              <w:spacing w:line="420" w:lineRule="exact"/>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Theme="minorEastAsia" w:hAnsiTheme="minorEastAsia" w:eastAsiaTheme="minorEastAsia" w:cstheme="minorEastAsia"/>
                <w:color w:val="auto"/>
                <w:szCs w:val="21"/>
                <w:lang w:val="zh-CN"/>
              </w:rPr>
              <w:t>下浮</w:t>
            </w:r>
            <w:r>
              <w:rPr>
                <w:rFonts w:hint="eastAsia"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lang w:val="zh-CN"/>
              </w:rPr>
              <w:t>%执行。即：</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全区税务系统代理费用=采购代理标准费用×（1-30%）。</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采购代理服务费标准费率（</w:t>
            </w:r>
            <w:r>
              <w:rPr>
                <w:rFonts w:hint="eastAsia" w:asciiTheme="minorEastAsia" w:hAnsiTheme="minorEastAsia" w:eastAsiaTheme="minorEastAsia" w:cstheme="minorEastAsia"/>
                <w:color w:val="auto"/>
                <w:szCs w:val="21"/>
                <w:lang w:eastAsia="zh-CN"/>
              </w:rPr>
              <w:t>下表</w:t>
            </w:r>
            <w:r>
              <w:rPr>
                <w:rFonts w:hint="eastAsia" w:asciiTheme="minorEastAsia" w:hAnsiTheme="minorEastAsia" w:eastAsiaTheme="minorEastAsia" w:cstheme="minorEastAsia"/>
                <w:color w:val="auto"/>
                <w:szCs w:val="21"/>
              </w:rPr>
              <w:t>未下浮30%）：</w:t>
            </w:r>
          </w:p>
          <w:tbl>
            <w:tblPr>
              <w:tblStyle w:val="46"/>
              <w:tblpPr w:leftFromText="180" w:rightFromText="180" w:vertAnchor="text" w:horzAnchor="page" w:tblpXSpec="center" w:tblpY="74"/>
              <w:tblOverlap w:val="never"/>
              <w:tblW w:w="5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252"/>
              <w:gridCol w:w="110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54" w:type="dxa"/>
                  <w:tcBorders>
                    <w:tl2br w:val="single" w:color="auto" w:sz="4" w:space="0"/>
                  </w:tcBorders>
                </w:tcPr>
                <w:p>
                  <w:pPr>
                    <w:spacing w:line="420" w:lineRule="exact"/>
                    <w:ind w:left="1365" w:hanging="1365" w:hangingChars="6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费率</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成交金额</w:t>
                  </w:r>
                </w:p>
              </w:tc>
              <w:tc>
                <w:tcPr>
                  <w:tcW w:w="1252" w:type="dxa"/>
                  <w:vAlign w:val="center"/>
                </w:tcPr>
                <w:p>
                  <w:pPr>
                    <w:spacing w:line="420" w:lineRule="exact"/>
                    <w:ind w:firstLine="105" w:firstLineChars="5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货物招标</w:t>
                  </w:r>
                </w:p>
              </w:tc>
              <w:tc>
                <w:tcPr>
                  <w:tcW w:w="1108"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服务招标</w:t>
                  </w:r>
                </w:p>
              </w:tc>
              <w:tc>
                <w:tcPr>
                  <w:tcW w:w="1090"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100万元以下</w:t>
                  </w:r>
                </w:p>
              </w:tc>
              <w:tc>
                <w:tcPr>
                  <w:tcW w:w="1252"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1108"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1090"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100～500万元</w:t>
                  </w:r>
                </w:p>
              </w:tc>
              <w:tc>
                <w:tcPr>
                  <w:tcW w:w="1252"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1108"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w:t>
                  </w:r>
                </w:p>
              </w:tc>
              <w:tc>
                <w:tcPr>
                  <w:tcW w:w="1090"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500～1000万元</w:t>
                  </w:r>
                </w:p>
              </w:tc>
              <w:tc>
                <w:tcPr>
                  <w:tcW w:w="1252"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w:t>
                  </w:r>
                </w:p>
              </w:tc>
              <w:tc>
                <w:tcPr>
                  <w:tcW w:w="1108"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0.45%</w:t>
                  </w:r>
                </w:p>
              </w:tc>
              <w:tc>
                <w:tcPr>
                  <w:tcW w:w="1090"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1000～5000万元</w:t>
                  </w:r>
                </w:p>
              </w:tc>
              <w:tc>
                <w:tcPr>
                  <w:tcW w:w="1252"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0.5%</w:t>
                  </w:r>
                </w:p>
              </w:tc>
              <w:tc>
                <w:tcPr>
                  <w:tcW w:w="1108"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0.25%</w:t>
                  </w:r>
                </w:p>
              </w:tc>
              <w:tc>
                <w:tcPr>
                  <w:tcW w:w="1090"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5000万元～1亿元</w:t>
                  </w:r>
                </w:p>
              </w:tc>
              <w:tc>
                <w:tcPr>
                  <w:tcW w:w="1252"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0.25%</w:t>
                  </w:r>
                </w:p>
              </w:tc>
              <w:tc>
                <w:tcPr>
                  <w:tcW w:w="1108"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0.1%</w:t>
                  </w:r>
                </w:p>
              </w:tc>
              <w:tc>
                <w:tcPr>
                  <w:tcW w:w="1090"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1～5亿元</w:t>
                  </w:r>
                </w:p>
              </w:tc>
              <w:tc>
                <w:tcPr>
                  <w:tcW w:w="1252"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0.05%</w:t>
                  </w:r>
                </w:p>
              </w:tc>
              <w:tc>
                <w:tcPr>
                  <w:tcW w:w="1108"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0.05%</w:t>
                  </w:r>
                </w:p>
              </w:tc>
              <w:tc>
                <w:tcPr>
                  <w:tcW w:w="1090"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4"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5～10亿元</w:t>
                  </w:r>
                </w:p>
              </w:tc>
              <w:tc>
                <w:tcPr>
                  <w:tcW w:w="1252"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0.035%</w:t>
                  </w:r>
                </w:p>
              </w:tc>
              <w:tc>
                <w:tcPr>
                  <w:tcW w:w="1108"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0.035%</w:t>
                  </w:r>
                </w:p>
              </w:tc>
              <w:tc>
                <w:tcPr>
                  <w:tcW w:w="1090" w:type="dxa"/>
                  <w:vAlign w:val="center"/>
                </w:tcPr>
                <w:p>
                  <w:pPr>
                    <w:spacing w:line="4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0.035%</w:t>
                  </w:r>
                </w:p>
              </w:tc>
            </w:tr>
          </w:tbl>
          <w:p>
            <w:pPr>
              <w:spacing w:line="420" w:lineRule="exact"/>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注：采购代理服务收费按差额定率累进法计算。</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例如：广西税务系统某工程招标代理业务成交金额为6000万元，计算招标代理服务收费额如下：</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100万元×1.0%=1万元</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（500-100）万元×0.7%=2.8万元</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（1000-500）万元×0.55%=2.75万元</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（5000-1000）万元×0.35%=14万元</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（6000-5000）万元×0.2%=2万元</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合计收费（标准费率）=1+2.8+2.75+14+2=22.55（万元）</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合计收费（标准费率下浮30%）=22.55×（1-30%）=15.785（万元）</w:t>
            </w:r>
          </w:p>
          <w:p>
            <w:pPr>
              <w:pStyle w:val="22"/>
              <w:spacing w:line="4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（2）代理费用汇到如下指定账户：</w:t>
            </w:r>
          </w:p>
          <w:p>
            <w:pPr>
              <w:pStyle w:val="22"/>
              <w:spacing w:line="4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开户名称：广西众联工程项目管理有限公司</w:t>
            </w:r>
          </w:p>
          <w:p>
            <w:pPr>
              <w:pStyle w:val="22"/>
              <w:spacing w:line="4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开户银行：中国光大银行股份有限公司南宁民主支行</w:t>
            </w:r>
          </w:p>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6" w:type="dxa"/>
            <w:vAlign w:val="center"/>
          </w:tcPr>
          <w:p>
            <w:pPr>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w:t>
            </w:r>
          </w:p>
        </w:tc>
        <w:tc>
          <w:tcPr>
            <w:tcW w:w="1745" w:type="dxa"/>
            <w:gridSpan w:val="2"/>
            <w:vAlign w:val="center"/>
          </w:tcPr>
          <w:p>
            <w:pPr>
              <w:spacing w:line="42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其他规定</w:t>
            </w:r>
          </w:p>
        </w:tc>
        <w:tc>
          <w:tcPr>
            <w:tcW w:w="6047" w:type="dxa"/>
            <w:vAlign w:val="center"/>
          </w:tcPr>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磋商文件中描述供应商的“公章”是指根据我国对公章的管理规定，用供应商法定主体行为名称制作的印章，除本磋商文件有特殊规定外，供应商的财务章、部门章、分公司章、工会章、合同章、磋商专用章、业务专用章等其它形式印章均不能代替公章。</w:t>
            </w:r>
          </w:p>
          <w:p>
            <w:pPr>
              <w:spacing w:line="42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2、本磋商文件中描述供应商的“签字”是指供应商的法定代表人或被授权人亲自在磋商文件规定签署处亲笔写上个人的名字的行为，私章、签字章、印鉴、影印等其它形式均不能代替亲笔签字。</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3、递交质疑函的联系事项：</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广西众联工程项目管理有限公司招标部</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联系电话：0771-4308370 </w:t>
            </w:r>
          </w:p>
          <w:p>
            <w:pPr>
              <w:spacing w:line="4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地址：南宁市江南区白沙大道53号松宇时代14A层</w:t>
            </w:r>
          </w:p>
        </w:tc>
      </w:tr>
      <w:bookmarkEnd w:id="62"/>
    </w:tbl>
    <w:p>
      <w:pPr>
        <w:pStyle w:val="43"/>
        <w:ind w:firstLine="210"/>
        <w:rPr>
          <w:color w:val="auto"/>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rPr>
      </w:pPr>
    </w:p>
    <w:p>
      <w:pPr>
        <w:keepNext/>
        <w:keepLines/>
        <w:spacing w:line="360" w:lineRule="auto"/>
        <w:jc w:val="center"/>
        <w:outlineLvl w:val="5"/>
        <w:rPr>
          <w:rFonts w:asciiTheme="minorEastAsia" w:hAnsiTheme="minorEastAsia" w:eastAsiaTheme="minorEastAsia" w:cstheme="minorEastAsia"/>
          <w:b/>
          <w:bCs/>
          <w:color w:val="auto"/>
          <w:kern w:val="0"/>
          <w:sz w:val="28"/>
          <w:szCs w:val="21"/>
        </w:rPr>
      </w:pPr>
      <w:r>
        <w:rPr>
          <w:rFonts w:hint="eastAsia" w:asciiTheme="minorEastAsia" w:hAnsiTheme="minorEastAsia" w:eastAsiaTheme="minorEastAsia" w:cstheme="minorEastAsia"/>
          <w:b/>
          <w:bCs/>
          <w:color w:val="auto"/>
          <w:kern w:val="0"/>
          <w:sz w:val="28"/>
          <w:szCs w:val="21"/>
        </w:rPr>
        <w:t>磋商须知正文</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一、总则</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1.定义</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1.1“采购人”是指依法进行采购的国家机关、事业单位、团体组织。本次采购的采购人名称、地址、电话、联系人见磋商须知前附表。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1.2“采购代理机构”是指接受采购人委托，代理采购项目的集中采购机构和其他采购代理机构。本次采购的采购代理机构名称、地址、电话、联系人见磋商须知前附表。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1.3“供应商”是指响应磋商文件要求、参加磋商采购的法人、其他组织或者自然人。本次采购项目邀请的供应商通过磋商须知前附表所述方式产生。</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1.4“磋商小组”是依据有关规定组建，依法履行磋商采购活动职责的3人以上单数的磋商成员。</w:t>
      </w:r>
    </w:p>
    <w:p>
      <w:pPr>
        <w:pStyle w:val="43"/>
        <w:spacing w:after="0"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1.5“货物”是指各种形态和种类的物品，包括原材料、燃料、设备、产品等。</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1.6“服务”是指除货物和工程以外的其他采购对象。</w:t>
      </w:r>
    </w:p>
    <w:p>
      <w:pPr>
        <w:pStyle w:val="43"/>
        <w:spacing w:after="0"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w:t>
      </w:r>
      <w:r>
        <w:rPr>
          <w:rFonts w:hint="eastAsia" w:asciiTheme="minorEastAsia" w:hAnsiTheme="minorEastAsia" w:eastAsiaTheme="minorEastAsia" w:cstheme="minorEastAsia"/>
          <w:b/>
          <w:bCs/>
          <w:color w:val="auto"/>
          <w:szCs w:val="21"/>
        </w:rPr>
        <w:t xml:space="preserve"> 本采购项目属于目录外标准下项目。</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2.采购项目预算</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2.1本项目采购资金的预算金额见磋商须知前附表。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★3.供应商的资格要求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3.1供应商应当符合磋商须知前附表中规定的资格条件要求。</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4.参与磋商的费用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4.1无论磋商的结果如何，供应商应自行承担所有与磋商采购活动有关的全部费用。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5.授权委托</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5.1供应商代表为供应商法定代表人的，应持有法定代表人身份证明。供应商代表不是供应商法定代表人的，应持有法定代表人授权书</w:t>
      </w:r>
      <w:r>
        <w:rPr>
          <w:rFonts w:hint="eastAsia" w:asciiTheme="minorEastAsia" w:hAnsiTheme="minorEastAsia" w:eastAsiaTheme="minorEastAsia" w:cstheme="minorEastAsia"/>
          <w:color w:val="auto"/>
          <w:szCs w:val="21"/>
        </w:rPr>
        <w:t>原件或复印件</w:t>
      </w:r>
      <w:r>
        <w:rPr>
          <w:rFonts w:hint="eastAsia" w:asciiTheme="minorEastAsia" w:hAnsiTheme="minorEastAsia" w:eastAsiaTheme="minorEastAsia" w:cstheme="minorEastAsia"/>
          <w:color w:val="auto"/>
          <w:kern w:val="0"/>
          <w:szCs w:val="21"/>
        </w:rPr>
        <w:t>，并附授权代表的身份证</w:t>
      </w:r>
      <w:r>
        <w:rPr>
          <w:rFonts w:hint="eastAsia" w:asciiTheme="minorEastAsia" w:hAnsiTheme="minorEastAsia" w:eastAsiaTheme="minorEastAsia" w:cstheme="minorEastAsia"/>
          <w:color w:val="auto"/>
          <w:szCs w:val="21"/>
        </w:rPr>
        <w:t>原件</w:t>
      </w:r>
      <w:r>
        <w:rPr>
          <w:rFonts w:hint="eastAsia" w:asciiTheme="minorEastAsia" w:hAnsiTheme="minorEastAsia" w:eastAsiaTheme="minorEastAsia" w:cstheme="minorEastAsia"/>
          <w:color w:val="auto"/>
          <w:kern w:val="0"/>
          <w:szCs w:val="21"/>
        </w:rPr>
        <w:t>。</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6.联合体形式</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6.1本项目是否接受联合体参与及相关要求见磋商须知前附表。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6.2如果本项目接受联合体磋商的，应遵守以下规定：</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(1)联合体各方必须签订联合体协议书，明确联合体牵头人和各方权利、义务及分工、合同工作量比例；</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(2)联合体各方均应当符合本章第3.1款规定的供应商基本资格条件；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(3)除磋商须知前附表中另有规定，联合体各方中至少有一方应当符合本章第3.1款规定的供应商特定资格条件；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(4)联合体中有同类资质的供应商按照联合体分工承担相同工作的，应当按照资质等级较低的供应商确定资质等级；</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(5)联合体各方不得再单独或与其他供应商组成新的联合体参加同一项目的采购活动。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7.项目现场勘察</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7.1本项目是否组织现场勘察见磋商须知前附表。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7.2供应商应按磋商须知前附表中规定对采购项目现场和周围环境的现场考察。供应商未在指定时间进行勘察的，采购人不再另行组织。</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7.3勘察现场的费用由供应商自己承担，勘察期间所发生的人身伤害及财产损失由供应商自己负责。</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7.4采购人不对供应商据此而做出的推论、理解和结论负责。一旦成交，供应商不得以任何借口，提出额外补偿，或延长合同期限的要求。</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8.采购进口产品</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8.1本项目是否采购进口产品及相关要求见磋商须知前附表。</w:t>
      </w:r>
    </w:p>
    <w:p>
      <w:pPr>
        <w:pStyle w:val="43"/>
        <w:spacing w:after="0"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9.政策与其他规定</w:t>
      </w:r>
    </w:p>
    <w:p>
      <w:pPr>
        <w:widowControl/>
        <w:spacing w:line="40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9.1本项目是否属于专门面向中小企业采购的项目见磋商须知前附表。对于非专门面向中小企业采购的项目，供应商符合属于小微企业条件的，可用扣除后的最后报价参与价格比较。本项目价格扣除比例及相关要求见磋商须知前附表。监狱企业视同小型、微型企业。</w:t>
      </w:r>
    </w:p>
    <w:p>
      <w:pPr>
        <w:pStyle w:val="43"/>
        <w:spacing w:after="0"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 其他法律法规强制性规定或扶持政策。本项目的详细要求见磋商须知前附表。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二、磋商文件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10.磋商文件的组成</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10.1磋商文件由下列文件组成：</w:t>
      </w:r>
    </w:p>
    <w:p>
      <w:pPr>
        <w:spacing w:line="400" w:lineRule="exact"/>
        <w:ind w:firstLine="630" w:firstLineChars="3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第一部分　商务部分</w:t>
      </w:r>
    </w:p>
    <w:p>
      <w:pPr>
        <w:spacing w:line="400" w:lineRule="exact"/>
        <w:ind w:firstLine="630" w:firstLineChars="3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第一章　磋商邀请</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第二章　磋商须知</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第三章　评审方法及标准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第四章　合同草案条款</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第五章　响应文件组成</w:t>
      </w:r>
    </w:p>
    <w:p>
      <w:pPr>
        <w:spacing w:line="400" w:lineRule="exact"/>
        <w:ind w:firstLine="630" w:firstLineChars="3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第二部分　技术部分</w:t>
      </w:r>
    </w:p>
    <w:p>
      <w:pPr>
        <w:spacing w:line="400" w:lineRule="exact"/>
        <w:ind w:firstLine="630" w:firstLineChars="3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第六章　项目采购需求</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10.2磋商须知前附表规定的提交首次响应文件截止时间前，对磋商文件进行澄清或者修改的内容，为磋商文件的组成部分。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10.3磋商小组根据与供应商磋商情况可能实质性变动的内容，包括采购需求中的技术、商务要求以及合同草案条款，对磋商文件作出的实质性变动是磋商文件的有效组成部分。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10.4供应商应仔细阅读磋商文件的全部内容，按照磋商文件要求编制响应文件。任何对磋商文件的忽略或误解不能作为响应文件存在缺陷或瑕疵的理由，其风险由供应商承担。</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11.磋商文件的澄清或者修改</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11.1在磋商须知前附表规定的提交首次响应文件截止之日前，采购人、采购代理机构可以对已发出的磋商文件进行必要的澄清或者修改。</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11.2澄清或者修改的内容可能影响响应文件编制的，采购人、采购代理机构应当在磋商须知前附表规定的提交首次响应文件截止之日5日前，以书面形式通知所有接收磋商文件的供应商，不足5日的，顺延供应商提交首次响应文件截止时间。</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12.偏离</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12.1</w:t>
      </w:r>
      <w:r>
        <w:rPr>
          <w:rFonts w:hint="eastAsia" w:asciiTheme="minorEastAsia" w:hAnsiTheme="minorEastAsia" w:eastAsiaTheme="minorEastAsia" w:cstheme="minorEastAsia"/>
          <w:color w:val="auto"/>
          <w:szCs w:val="21"/>
        </w:rPr>
        <w:t>本条所称偏离为响应文件对磋商文件的偏离，即完全响应磋商文件要求的为“无偏离”、不满足或不响应磋商文件要求的为“负偏离”、优于磋商文件要求的为“正偏离”。</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★12.2除法律、法规和规章规定外，</w:t>
      </w:r>
      <w:r>
        <w:rPr>
          <w:rFonts w:hint="eastAsia" w:asciiTheme="minorEastAsia" w:hAnsiTheme="minorEastAsia" w:eastAsiaTheme="minorEastAsia" w:cstheme="minorEastAsia"/>
          <w:color w:val="auto"/>
          <w:sz w:val="21"/>
          <w:szCs w:val="21"/>
          <w:lang w:eastAsia="zh-CN"/>
        </w:rPr>
        <w:t>磋商</w:t>
      </w:r>
      <w:r>
        <w:rPr>
          <w:rFonts w:hint="eastAsia" w:asciiTheme="minorEastAsia" w:hAnsiTheme="minorEastAsia" w:eastAsiaTheme="minorEastAsia" w:cstheme="minorEastAsia"/>
          <w:color w:val="auto"/>
          <w:sz w:val="21"/>
          <w:szCs w:val="21"/>
        </w:rPr>
        <w:t>文件中用“拒绝”“不接受”“无效”“不得”“必须”“应当”（仅限标注“★”）等文字规定或其他标注“★”符号的条款为实质性要求条款(即重要条款)，对其中任何一条不满足或不响应，在评审时将其视为无效响应。</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三、响应文件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13.一般要求</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13.1供应商应仔细阅读磋商文件的所有内容，按磋商文件的要求编制响应文件，并保证所提供的全部资料的真实性，以使其响应文件对磋商文件做出实质性的响应。</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13.2供应商提交的响应文件及供应商与采购人或采购代理机构、磋商小组就有关磋商的所有来往函电必须使用中文。供应商可以提交其他语言的资料，但应附中文注释，在有差异时以中文为准。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13.3除技术要求另有规定外，本文件所要求使用的计量单位均采用国家法定的度、量、衡标准单位计量。未列明时亦默认为我国法定计量单位。</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13.4供应商应按磋商文件中提供的响应文件格式填写。</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13.5磋商响应文件应采用书面形式，磋商文件中要求提供电子版的，必须按要求提供。</w:t>
      </w:r>
    </w:p>
    <w:p>
      <w:pPr>
        <w:spacing w:line="400" w:lineRule="exact"/>
        <w:ind w:firstLine="422" w:firstLineChars="200"/>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14.响应文件的组成</w:t>
      </w:r>
    </w:p>
    <w:p>
      <w:pPr>
        <w:spacing w:line="400" w:lineRule="exact"/>
        <w:ind w:firstLine="422" w:firstLineChars="200"/>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14.1响应文件应包括但不限于下列内容：</w:t>
      </w:r>
    </w:p>
    <w:p>
      <w:pPr>
        <w:spacing w:line="400" w:lineRule="exact"/>
        <w:ind w:firstLine="422" w:firstLineChars="200"/>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14.1.1</w:t>
      </w:r>
      <w:r>
        <w:rPr>
          <w:rFonts w:hint="eastAsia" w:asciiTheme="minorEastAsia" w:hAnsiTheme="minorEastAsia" w:eastAsiaTheme="minorEastAsia" w:cstheme="minorEastAsia"/>
          <w:b/>
          <w:bCs/>
          <w:color w:val="auto"/>
          <w:szCs w:val="21"/>
        </w:rPr>
        <w:t>价格及</w:t>
      </w:r>
      <w:r>
        <w:rPr>
          <w:rFonts w:hint="eastAsia" w:asciiTheme="minorEastAsia" w:hAnsiTheme="minorEastAsia" w:eastAsiaTheme="minorEastAsia" w:cstheme="minorEastAsia"/>
          <w:b/>
          <w:bCs/>
          <w:color w:val="auto"/>
          <w:kern w:val="0"/>
          <w:szCs w:val="21"/>
        </w:rPr>
        <w:t>商务部分：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磋商响应声明函（供应商代表是法定代表人的，应提供法定代表人身份证复印件；供应商代表不是法定代表人的，除提供供应商代表身份证复印件外，还应当提供法定代表人身份证复印件和授权委托书）（格式见第五章）</w:t>
      </w:r>
      <w:r>
        <w:rPr>
          <w:rFonts w:hint="eastAsia" w:asciiTheme="minorEastAsia" w:hAnsiTheme="minorEastAsia" w:eastAsiaTheme="minorEastAsia" w:cstheme="minorEastAsia"/>
          <w:color w:val="auto"/>
          <w:szCs w:val="21"/>
        </w:rPr>
        <w:t>。</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★(2)报价一览表及分项价格表（格式见第五章）。</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★(3)商务条款偏离表（供应商</w:t>
      </w:r>
      <w:r>
        <w:rPr>
          <w:rFonts w:hint="eastAsia" w:asciiTheme="minorEastAsia" w:hAnsiTheme="minorEastAsia" w:eastAsiaTheme="minorEastAsia" w:cstheme="minorEastAsia"/>
          <w:color w:val="auto"/>
          <w:szCs w:val="21"/>
        </w:rPr>
        <w:t>填报该表时，应按项目采购需求中的商务条款要求，结合自身参加响应情况对商务条款逐条响应，未逐条响应的视为响应无效）（格式见第五章</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szCs w:val="21"/>
        </w:rPr>
        <w:t>。</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★(4)磋商保证金缴纳证明（格式见第五章）。</w:t>
      </w:r>
    </w:p>
    <w:p>
      <w:pPr>
        <w:spacing w:line="400" w:lineRule="exact"/>
        <w:ind w:firstLine="420"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kern w:val="0"/>
          <w:szCs w:val="21"/>
        </w:rPr>
        <w:t>★(5)供应商符合资格条件的证明文件</w:t>
      </w:r>
      <w:r>
        <w:rPr>
          <w:rFonts w:hint="eastAsia" w:asciiTheme="minorEastAsia" w:hAnsiTheme="minorEastAsia" w:eastAsiaTheme="minorEastAsia" w:cstheme="minorEastAsia"/>
          <w:b/>
          <w:color w:val="auto"/>
          <w:kern w:val="0"/>
          <w:szCs w:val="21"/>
        </w:rPr>
        <w:t>：</w:t>
      </w:r>
    </w:p>
    <w:p>
      <w:pPr>
        <w:widowControl/>
        <w:spacing w:line="40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①供应商基本情况表（格式见第五章）； </w:t>
      </w:r>
    </w:p>
    <w:p>
      <w:pPr>
        <w:widowControl/>
        <w:spacing w:line="40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②供应商有效的新版“营业执照”或《事业单位法人证书》或其他依法成立组织的证明文件（必须具有，如能够在线查询的材料，请提供国家有关部门规定查询的网址链接）； </w:t>
      </w:r>
    </w:p>
    <w:p>
      <w:pPr>
        <w:widowControl/>
        <w:spacing w:line="40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③</w:t>
      </w:r>
      <w:r>
        <w:rPr>
          <w:rFonts w:hint="eastAsia" w:asciiTheme="minorEastAsia" w:hAnsiTheme="minorEastAsia" w:eastAsiaTheme="minorEastAsia" w:cstheme="minorEastAsia"/>
          <w:color w:val="auto"/>
          <w:szCs w:val="21"/>
        </w:rPr>
        <w:t>财务报告：</w:t>
      </w:r>
      <w:r>
        <w:rPr>
          <w:rFonts w:hint="eastAsia" w:hAnsi="宋体"/>
          <w:color w:val="auto"/>
        </w:rPr>
        <w:t>上一年度</w:t>
      </w:r>
      <w:r>
        <w:rPr>
          <w:rFonts w:hint="eastAsia"/>
          <w:color w:val="auto"/>
        </w:rPr>
        <w:t>的</w:t>
      </w:r>
      <w:r>
        <w:rPr>
          <w:rFonts w:hint="eastAsia" w:asciiTheme="minorEastAsia" w:hAnsiTheme="minorEastAsia" w:eastAsiaTheme="minorEastAsia" w:cstheme="minorEastAsia"/>
          <w:color w:val="auto"/>
          <w:szCs w:val="21"/>
        </w:rPr>
        <w:t>经会计师事务所审计的财务报告（财务报告须加盖会计师事务所公章及注册会计师签章的复印件）；没有经审计的财务报告的，可以提供基本开户银行出具的资信证明复印件；</w:t>
      </w:r>
      <w:r>
        <w:rPr>
          <w:rFonts w:hint="eastAsia" w:ascii="宋体" w:hAnsi="宋体" w:cs="宋体"/>
          <w:color w:val="auto"/>
          <w:szCs w:val="21"/>
        </w:rPr>
        <w:t>如供应商为当年新成立公司的，应提供于公司成立之日后的财务报告。其中，上述财务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pPr>
        <w:widowControl/>
        <w:spacing w:line="400" w:lineRule="exact"/>
        <w:ind w:firstLine="420" w:firstLineChars="200"/>
        <w:jc w:val="left"/>
        <w:rPr>
          <w:rFonts w:hint="eastAsia" w:eastAsia="宋体" w:asciiTheme="minorEastAsia" w:hAnsiTheme="minorEastAsia" w:cstheme="minorEastAsia"/>
          <w:color w:val="auto"/>
          <w:szCs w:val="21"/>
          <w:lang w:eastAsia="zh-CN"/>
        </w:rPr>
      </w:pPr>
      <w:r>
        <w:rPr>
          <w:rFonts w:hint="eastAsia" w:asciiTheme="minorEastAsia" w:hAnsiTheme="minorEastAsia" w:eastAsiaTheme="minorEastAsia" w:cstheme="minorEastAsia"/>
          <w:color w:val="auto"/>
          <w:kern w:val="0"/>
          <w:szCs w:val="21"/>
        </w:rPr>
        <w:t>④</w:t>
      </w:r>
      <w:r>
        <w:rPr>
          <w:rFonts w:hint="eastAsia" w:asciiTheme="minorEastAsia" w:hAnsiTheme="minorEastAsia" w:eastAsiaTheme="minorEastAsia" w:cstheme="minorEastAsia"/>
          <w:color w:val="auto"/>
          <w:szCs w:val="21"/>
        </w:rPr>
        <w:t>依法缴纳税收：</w:t>
      </w:r>
      <w:r>
        <w:rPr>
          <w:rFonts w:hint="eastAsia" w:eastAsiaTheme="minorEastAsia"/>
          <w:color w:val="auto"/>
        </w:rPr>
        <w:t>响应文件递交</w:t>
      </w:r>
      <w:r>
        <w:rPr>
          <w:rFonts w:hint="eastAsia"/>
          <w:color w:val="auto"/>
        </w:rPr>
        <w:t>截止之日前半年内供应商连续三个月的</w:t>
      </w:r>
      <w:r>
        <w:rPr>
          <w:rFonts w:hint="eastAsia" w:asciiTheme="minorEastAsia" w:hAnsiTheme="minorEastAsia" w:eastAsiaTheme="minorEastAsia" w:cstheme="minorEastAsia"/>
          <w:color w:val="auto"/>
          <w:szCs w:val="21"/>
        </w:rPr>
        <w:t>依法缴纳税收（不包括个人所得税）的相关材料</w:t>
      </w:r>
      <w:r>
        <w:rPr>
          <w:rFonts w:hint="eastAsia" w:eastAsiaTheme="minorEastAsia"/>
          <w:color w:val="auto"/>
        </w:rPr>
        <w:t>，</w:t>
      </w:r>
      <w:r>
        <w:rPr>
          <w:rFonts w:hint="eastAsia" w:asciiTheme="minorEastAsia" w:hAnsiTheme="minorEastAsia" w:eastAsiaTheme="minorEastAsia" w:cstheme="minorEastAsia"/>
          <w:color w:val="auto"/>
          <w:szCs w:val="21"/>
        </w:rPr>
        <w:t>如依法免税或不需要纳税的，应提供相应证明材料复印件</w:t>
      </w:r>
      <w:r>
        <w:rPr>
          <w:rFonts w:hint="eastAsia"/>
          <w:color w:val="auto"/>
        </w:rPr>
        <w:t>；供应商</w:t>
      </w:r>
      <w:r>
        <w:rPr>
          <w:rFonts w:hint="eastAsia" w:hAnsi="宋体"/>
          <w:color w:val="auto"/>
        </w:rPr>
        <w:t>无纳税记录或为新成立公司</w:t>
      </w:r>
      <w:r>
        <w:rPr>
          <w:rFonts w:hint="eastAsia"/>
          <w:color w:val="auto"/>
        </w:rPr>
        <w:t>，应提供由供应商所在地主管税务部门出具的《依法纳税或依法免税证明》（复印件）</w:t>
      </w:r>
      <w:r>
        <w:rPr>
          <w:rFonts w:hint="eastAsia"/>
          <w:color w:val="auto"/>
          <w:lang w:val="en-US" w:eastAsia="zh-CN"/>
        </w:rPr>
        <w:t>；</w:t>
      </w:r>
    </w:p>
    <w:p>
      <w:pPr>
        <w:widowControl/>
        <w:spacing w:line="40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⑤</w:t>
      </w:r>
      <w:r>
        <w:rPr>
          <w:color w:val="auto"/>
          <w:szCs w:val="21"/>
        </w:rPr>
        <w:t>社会保障资金：</w:t>
      </w:r>
      <w:r>
        <w:rPr>
          <w:rFonts w:hint="eastAsia" w:eastAsiaTheme="minorEastAsia"/>
          <w:color w:val="auto"/>
        </w:rPr>
        <w:t>响应文件递交</w:t>
      </w:r>
      <w:r>
        <w:rPr>
          <w:rFonts w:hint="eastAsia"/>
          <w:color w:val="auto"/>
        </w:rPr>
        <w:t>截止之日前半年内供应商连续三个月的依法缴纳</w:t>
      </w:r>
      <w:r>
        <w:rPr>
          <w:color w:val="auto"/>
          <w:szCs w:val="21"/>
        </w:rPr>
        <w:t>社会保障资金的相关材料，如依法不需要缴纳社会保障资金的，则应提供相应证明材料复印件；</w:t>
      </w:r>
      <w:r>
        <w:rPr>
          <w:rFonts w:hint="eastAsia"/>
          <w:color w:val="auto"/>
        </w:rPr>
        <w:t>供应商</w:t>
      </w:r>
      <w:r>
        <w:rPr>
          <w:rFonts w:hint="eastAsia" w:hAnsi="宋体"/>
          <w:color w:val="auto"/>
        </w:rPr>
        <w:t>无缴费记录或为新成立公司，</w:t>
      </w:r>
      <w:r>
        <w:rPr>
          <w:rFonts w:hint="eastAsia"/>
          <w:color w:val="auto"/>
        </w:rPr>
        <w:t>应提供由供应商所在地社保部门出具的《依法缴纳或依法免缴社保费证明》（复印件）</w:t>
      </w:r>
      <w:r>
        <w:rPr>
          <w:rFonts w:hint="eastAsia" w:asciiTheme="minorEastAsia" w:hAnsiTheme="minorEastAsia" w:eastAsiaTheme="minorEastAsia" w:cstheme="minorEastAsia"/>
          <w:color w:val="auto"/>
          <w:kern w:val="0"/>
          <w:szCs w:val="21"/>
        </w:rPr>
        <w:t xml:space="preserve">； </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⑥</w:t>
      </w:r>
      <w:r>
        <w:rPr>
          <w:rFonts w:ascii="Times New Roman"/>
          <w:color w:val="auto"/>
          <w:szCs w:val="21"/>
        </w:rPr>
        <w:t>具备履行合</w:t>
      </w:r>
      <w:r>
        <w:rPr>
          <w:rFonts w:hint="eastAsia" w:asciiTheme="minorEastAsia" w:hAnsiTheme="minorEastAsia" w:eastAsiaTheme="minorEastAsia" w:cstheme="minorEastAsia"/>
          <w:color w:val="auto"/>
          <w:sz w:val="21"/>
          <w:szCs w:val="21"/>
        </w:rPr>
        <w:t>同所必需的设备和专业技术能力的证明材料；</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⑦供应商参加采购活动前三年内在经营活动中没有重大违法记录的书面声明(格式见第五章)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（6）磋商须知前附表要求供应商须提供的其他资料。</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（7）中小企业声明函（供应商如符合《政府采购促进中小企业发展管理办法》（财库﹝2020﹞46 号印发）中的小型或微型企业的，应如实填写并提交此函）。</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（8）监狱企业证明文件[供应商如为监狱企业的，应提交省级以上监狱管理局、戒毒管理局（含新疆生产建设兵团）出具的证明文件]。</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（9）残疾人福利性单位声明函（供应商如为残疾人福利性单位的，应提交此函）。</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（10）供应商认为需提供的其他资料。</w:t>
      </w:r>
    </w:p>
    <w:p>
      <w:pPr>
        <w:spacing w:line="400" w:lineRule="exact"/>
        <w:ind w:firstLine="422" w:firstLineChars="200"/>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14.1.2技术部分：</w:t>
      </w:r>
    </w:p>
    <w:p>
      <w:pPr>
        <w:spacing w:line="40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(1)货物说明一览表</w:t>
      </w:r>
      <w:r>
        <w:rPr>
          <w:rFonts w:hint="eastAsia" w:asciiTheme="minorEastAsia" w:hAnsiTheme="minorEastAsia" w:eastAsiaTheme="minorEastAsia" w:cstheme="minorEastAsia"/>
          <w:color w:val="auto"/>
          <w:szCs w:val="21"/>
        </w:rPr>
        <w:t>（格式见第五章</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szCs w:val="21"/>
        </w:rPr>
        <w:t>。</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(2)服务方案、实施方案及技术方案（格式自拟）。</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)技术响应与偏离表（供应商</w:t>
      </w:r>
      <w:r>
        <w:rPr>
          <w:rFonts w:hint="eastAsia" w:asciiTheme="minorEastAsia" w:hAnsiTheme="minorEastAsia" w:eastAsiaTheme="minorEastAsia" w:cstheme="minorEastAsia"/>
          <w:color w:val="auto"/>
          <w:szCs w:val="21"/>
        </w:rPr>
        <w:t>填报该表时，应按项目采购需求中的技术条款要求，结合自身参加响应情况对技术条款逐条响应，未逐条响应的视为响应无效）（格式见第五章</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szCs w:val="21"/>
        </w:rPr>
        <w:t>。</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)售后服务承诺。</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5</w:t>
      </w:r>
      <w:r>
        <w:rPr>
          <w:rFonts w:hint="eastAsia" w:asciiTheme="minorEastAsia" w:hAnsiTheme="minorEastAsia" w:eastAsiaTheme="minorEastAsia" w:cstheme="minorEastAsia"/>
          <w:color w:val="auto"/>
          <w:kern w:val="0"/>
          <w:szCs w:val="21"/>
        </w:rPr>
        <w:t>)用于本项目人员简历表。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)磋商标的物符合磋商文件要求的相关证明文件。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7</w:t>
      </w:r>
      <w:r>
        <w:rPr>
          <w:rFonts w:hint="eastAsia" w:asciiTheme="minorEastAsia" w:hAnsiTheme="minorEastAsia" w:eastAsiaTheme="minorEastAsia" w:cstheme="minorEastAsia"/>
          <w:color w:val="auto"/>
          <w:kern w:val="0"/>
          <w:szCs w:val="21"/>
        </w:rPr>
        <w:t>)其他资料。</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14.2本项目是否要求提供样品的见磋商须知前附表。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14.3磋商须知前附表规定供应商在磋商时提供样品的，供应商有以下情形之一的，在磋商时将其视为无效响应文件。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(1)未在磋商须知前附表规定的提交时间、地点提交的；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(2)供应商提供的样品与响应文件中型号、规格不一致的。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14.4在磋商过程中，供应商根据磋商小组书面形式要求提交的最后报价(或者重新提交的响应文件和最后报价)是响应文件的有效组成部分。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14.5磋商文件规定可能发生实质性变动的，供应商应当在《技术/商务响应与偏离表》中的对应内容处注明。</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14.6供应商无论成交与否，其响应文件不予退还。</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15.报价</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15.1供应商应按磋商文件规定的供货及服务要求、责任范围和合同条件，以人民币进行报价。</w:t>
      </w:r>
      <w:r>
        <w:rPr>
          <w:rFonts w:hint="eastAsia" w:asciiTheme="minorEastAsia" w:hAnsiTheme="minorEastAsia" w:eastAsiaTheme="minorEastAsia" w:cstheme="minorEastAsia"/>
          <w:color w:val="auto"/>
          <w:szCs w:val="21"/>
        </w:rPr>
        <w:t>报价应为完税价。</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15.2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15.3供应商</w:t>
      </w:r>
      <w:r>
        <w:rPr>
          <w:rFonts w:hint="eastAsia" w:asciiTheme="minorEastAsia" w:hAnsiTheme="minorEastAsia" w:eastAsiaTheme="minorEastAsia" w:cstheme="minorEastAsia"/>
          <w:color w:val="auto"/>
          <w:szCs w:val="21"/>
        </w:rPr>
        <w:t>对每种货物及服务只允许有一个报价，不接受可变动性报价、赠送及“零”报价，否则，在评审时将其视为无效磋商</w:t>
      </w:r>
      <w:r>
        <w:rPr>
          <w:rFonts w:hint="eastAsia" w:asciiTheme="minorEastAsia" w:hAnsiTheme="minorEastAsia" w:eastAsiaTheme="minorEastAsia" w:cstheme="minorEastAsia"/>
          <w:color w:val="auto"/>
          <w:kern w:val="0"/>
          <w:szCs w:val="21"/>
        </w:rPr>
        <w:t>。</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15.4项目有特殊要求的见磋商须知前附表。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16.磋商保证金</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16.1本项目是否交纳磋商保证金要求见磋商须知前附表。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16.2磋商须知前附表规定交纳磋商保证金的，供应商应以转账、汇款或者金融机构、担保机构出具的保函等非现金形式，在磋商须知前附表规定的提交首次响应文件截止时间前，向采购人或采购代理机构</w:t>
      </w:r>
      <w:r>
        <w:rPr>
          <w:rFonts w:hint="eastAsia" w:asciiTheme="minorEastAsia" w:hAnsiTheme="minorEastAsia" w:eastAsiaTheme="minorEastAsia" w:cstheme="minorEastAsia"/>
          <w:color w:val="auto"/>
          <w:szCs w:val="21"/>
        </w:rPr>
        <w:t>足额</w:t>
      </w:r>
      <w:r>
        <w:rPr>
          <w:rFonts w:hint="eastAsia" w:asciiTheme="minorEastAsia" w:hAnsiTheme="minorEastAsia" w:eastAsiaTheme="minorEastAsia" w:cstheme="minorEastAsia"/>
          <w:color w:val="auto"/>
          <w:kern w:val="0"/>
          <w:szCs w:val="21"/>
        </w:rPr>
        <w:t>提交磋商须知前附表规定的磋商保证金。磋商保证金有效期应当与本章磋商须知前附表规定的磋商响应有效期一致。未按磋商文件规定提交保证金的，采购人或采购代理机构应当拒绝接收供应商的响应文件。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16.3供应商为联合体的，可以由联合体中的一方或者共同交纳保证金，其交纳的保证金，对联合体各方均具有约束力。</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16.4未成交供应商的保证金，在成交通知书发出后5个工作日内退还；成交供应商的保证金，在采购合同签订后5个工作日内退还，但因供应商自身原因导致无法及时退还的除外。</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16.5有下列情形之一的，保证金不予退还：</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(1)供应商在磋商须知前附表规定的提交首次响应文件截止时间后撤回响应文件的；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(2)供应商在响应文件中提供虚假材料的；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(3)除因不可抗力或磋商文件认可的情形以外，成交供应商不与采购人签订合同的；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(4)供应商与采购人、其他供应商或者采购代理机构恶意串通的；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(5)磋商文件规定的其他情形。</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17.磋商响应有效期</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17.1磋商响应有效期见磋商须知前附表，在此期间响应文件对供应商具有法律约束力。响应文件有效期从磋商须知前附表规定的提交首次响应文件截止时间之日起计算。磋商响应有效期不足的将被视为无效响应。</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18.响应文件的签署及规定</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18.1供应商应根据磋商须知前附表规定提交响应文件。纸质文件的正本和副本应装订成册。正本和副本的封面上应标记“正本”或“副本”的字样，当正本和副本有差异时，以正本为准。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18.2响应文件正本和副本应用不褪色的材料打印或书写，并按磋商文件要求在签字盖章处加盖公章和由法定代表人或其授权代表签字。响应文件中的任何加行、涂改、增删，应加盖单位公章或由法定代表人或其授权代表签字确认。否则，将导致响应文件无效。</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18.3在磋商过程中，供应商按磋商文件规定和磋商小组要求重新提交的响应文件和最后报价，应打印或用不褪色墨水书写，并由法定代表人或其授权代表签字。否则，将导致响应文件无效。</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19.响应文件的密封和标记</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19.1响应文件的的密封、标记详见磋商须知前附表。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19.1响应文件如果未按上述规定密封和标记，采购人或采购代理机构应当拒绝接收。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20.响应文件的递交</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20.1响应文件应在磋商须知前附表规定的提交时间和指定地点提交。</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20.2在截止时间后送达的响应文件为无效文件，采购人、采购代理机构或磋商小组应当拒收。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21.响应文件的补充、修改或者撤回</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21.1供应商在磋商须知前附表规定的提交首次响应文件截止时间前，可以对所提交的首次响应文件进行补充、修改或者撤回，并书面通知采购人或采购代理机构。该通知应有供应商法定代表人或其授权代表签字。</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21.2补充、修改的内容与响应文件不一致时，以补充、修改的内容为准。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四、磋商与评审</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22.磋商小组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22.1磋商与评审由依法组建的磋商小组负责，磋商小组由采购人代表和评审专家组成。</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23.初步审查</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(1)供应商未按照磋商文件规定提交磋商保证金的；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(2)未按照磋商文件规定要求密封、签署、盖章的；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(3)响应有效期不足的；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(4)供应商不满足磋商文件供应商资格条件或未按照磋商文件规定提供资格证明材料的；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(5)响应文件不满足磋商文件实质性条款的。响应文件是否实质性响应磋商文件，由磋商小组依据磋商文件规定、供应商响应文件及磋商情况认定；</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(6)供应商存在失信记录的：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失信记录是指，通过“信用中国”网站(www.creditchina.gov.cn)、中国政府采购网(www.ccgp.gov.cn)查询相关主体信用记录，列入失信被执行人、重大税收违法失信主体、政府采购严重违法失信行为记录名单及其他不符合供应商资格条件第1项条款的情况。失信情况查询详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(7)其他不符合法律、规章、规范性文件和磋商文件规定的。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24.澄清</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24.1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25.磋商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25.1初审结束后，磋商小组所有成员集中与单一供应商分别进行磋商，并给予所有参加磋商的供应商平等的磋商机会。供应商应派其法定代表人或授权代表参加磋商。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25.2在磋商过程中，磋商小组可以根据磋商文件和磋商情况实质性变动采购需求中的技术、服务要求以及合同草案条款，但不得变动磋商文件中的其他内容。实质性变动的内容，须经采购人代表确认。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25.3对磋商文件作出的实质性变动是磋商文件的有效组成部分，磋商小组应当及时以书面形式同时通知所有参加磋商的供应商。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25.5磋商小组应当根据实际情况与供应商进行磋商，并确定磋商的轮次。</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25.6已提交响应文件的供应商，在提交最后报价之前，可以根据磋商情况退出磋商。采购人或采购代理机构应当退还退出磋商的供应商的磋商保证金。</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25.7磋商结束后，供应商按照磋商小组要求重新提交的响应文件，不满足磋商文件及变动后的技术、服务要求以及合同草案条款的实质性要求的，将视为无效响应文件。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26.最后报价</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26.1磋商结束后，磋商小组应当要求所有实质性响应的供应商在规定时间内提交最后报价，提交最后报价的供应商原则上不得少于3家。</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26.2磋商文件不能详细列明采购标的技术、服务要求，需经磋商由供应商提供最终设计方案或解决方案的，磋商结束后，磋商小组应当按照少数服从多数的原则投票推荐原则上3家以上供应商的设计方案或者解决方案，并要求其在规定时间内提交最后报价。</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26.3最后报价是供应商响应文件的有效组成部分。如磋商小组没有对磋商文件作实质性变动或增加新的需求，最后报价不得高于首轮报价。</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27.最后报价评审</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27.1最后报价计算错误修正的原则</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(1)最后报价的大写金额和小写金额不一致的，以大写金额为准。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(2)总价金额与按分项报价汇总金额不一致的，以分项报价金额计算结果为准。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(3)分项报价金额小数点有明显错位的，应以总价为准，并修改分项报价。</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(4)如果供应商不接受对其错误的更正，其最后报价将被视为无效报价或确定为无效响应。</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27.2价格得分：以供应商的最后报价作为价格评分依据。供应商的评审价为按上述条款修正后的价格。</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价格评分统一采用低价优先法计算，即满足磋商文件要求且价格最低的评审价为评审基准价，其价格分为满分。其他供应商的价格分统一按照下列公式计算：</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价格评分＝(评审基准价/评审价)×价格分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28.综合评审</w:t>
      </w:r>
    </w:p>
    <w:p>
      <w:pPr>
        <w:spacing w:line="400" w:lineRule="exact"/>
        <w:ind w:firstLine="420" w:firstLineChars="200"/>
        <w:rPr>
          <w:rFonts w:ascii="Times New Roman" w:hAnsi="Times New Roman"/>
          <w:b/>
          <w:bCs/>
          <w:color w:val="auto"/>
          <w:szCs w:val="21"/>
          <w:lang w:val="zh-CN"/>
        </w:rPr>
      </w:pPr>
      <w:r>
        <w:rPr>
          <w:rFonts w:hint="eastAsia" w:asciiTheme="minorEastAsia" w:hAnsiTheme="minorEastAsia" w:eastAsiaTheme="minorEastAsia" w:cstheme="minorEastAsia"/>
          <w:color w:val="auto"/>
          <w:kern w:val="0"/>
          <w:szCs w:val="21"/>
        </w:rPr>
        <w:t>28.1经磋商确定最终采购需求和提交最后报价的供应商后，由磋商小组采用综合评分法对提交最后报价的供应商的响应文件和最后报价进行综合评分。</w:t>
      </w:r>
      <w:r>
        <w:rPr>
          <w:rFonts w:hint="eastAsia" w:asciiTheme="minorEastAsia" w:hAnsiTheme="minorEastAsia" w:eastAsiaTheme="minorEastAsia" w:cstheme="minorEastAsia"/>
          <w:b/>
          <w:bCs/>
          <w:color w:val="auto"/>
          <w:kern w:val="0"/>
          <w:szCs w:val="21"/>
        </w:rPr>
        <w:t>使用综合评分法的采购项目，提供相同品牌产品且通过资格审查、符合性审查的不同</w:t>
      </w:r>
      <w:r>
        <w:rPr>
          <w:rFonts w:hint="eastAsia" w:asciiTheme="minorEastAsia" w:hAnsiTheme="minorEastAsia" w:eastAsiaTheme="minorEastAsia" w:cstheme="minorEastAsia"/>
          <w:b/>
          <w:bCs/>
          <w:color w:val="auto"/>
          <w:kern w:val="0"/>
          <w:szCs w:val="21"/>
          <w:lang w:eastAsia="zh-CN"/>
        </w:rPr>
        <w:t>供应商</w:t>
      </w:r>
      <w:r>
        <w:rPr>
          <w:rFonts w:hint="eastAsia" w:asciiTheme="minorEastAsia" w:hAnsiTheme="minorEastAsia" w:eastAsiaTheme="minorEastAsia" w:cstheme="minorEastAsia"/>
          <w:b/>
          <w:bCs/>
          <w:color w:val="auto"/>
          <w:kern w:val="0"/>
          <w:szCs w:val="21"/>
        </w:rPr>
        <w:t>参加同一合同项下</w:t>
      </w:r>
      <w:r>
        <w:rPr>
          <w:rFonts w:hint="eastAsia" w:asciiTheme="minorEastAsia" w:hAnsiTheme="minorEastAsia" w:eastAsiaTheme="minorEastAsia" w:cstheme="minorEastAsia"/>
          <w:b/>
          <w:bCs/>
          <w:color w:val="auto"/>
          <w:kern w:val="0"/>
          <w:szCs w:val="21"/>
          <w:lang w:eastAsia="zh-CN"/>
        </w:rPr>
        <w:t>竞标</w:t>
      </w:r>
      <w:r>
        <w:rPr>
          <w:rFonts w:hint="eastAsia" w:asciiTheme="minorEastAsia" w:hAnsiTheme="minorEastAsia" w:eastAsiaTheme="minorEastAsia" w:cstheme="minorEastAsia"/>
          <w:b/>
          <w:bCs/>
          <w:color w:val="auto"/>
          <w:kern w:val="0"/>
          <w:szCs w:val="21"/>
        </w:rPr>
        <w:t>的，按一家</w:t>
      </w:r>
      <w:r>
        <w:rPr>
          <w:rFonts w:hint="eastAsia" w:asciiTheme="minorEastAsia" w:hAnsiTheme="minorEastAsia" w:eastAsiaTheme="minorEastAsia" w:cstheme="minorEastAsia"/>
          <w:b/>
          <w:bCs/>
          <w:color w:val="auto"/>
          <w:kern w:val="0"/>
          <w:szCs w:val="21"/>
          <w:lang w:eastAsia="zh-CN"/>
        </w:rPr>
        <w:t>供应商</w:t>
      </w:r>
      <w:r>
        <w:rPr>
          <w:rFonts w:hint="eastAsia" w:asciiTheme="minorEastAsia" w:hAnsiTheme="minorEastAsia" w:eastAsiaTheme="minorEastAsia" w:cstheme="minorEastAsia"/>
          <w:b/>
          <w:bCs/>
          <w:color w:val="auto"/>
          <w:kern w:val="0"/>
          <w:szCs w:val="21"/>
        </w:rPr>
        <w:t>计算，</w:t>
      </w:r>
      <w:r>
        <w:rPr>
          <w:rFonts w:hint="eastAsia" w:asciiTheme="minorEastAsia" w:hAnsiTheme="minorEastAsia" w:eastAsiaTheme="minorEastAsia" w:cstheme="minorEastAsia"/>
          <w:b/>
          <w:bCs/>
          <w:color w:val="auto"/>
          <w:kern w:val="0"/>
          <w:szCs w:val="21"/>
          <w:lang w:eastAsia="zh-CN"/>
        </w:rPr>
        <w:t>综合</w:t>
      </w:r>
      <w:r>
        <w:rPr>
          <w:rFonts w:hint="eastAsia" w:asciiTheme="minorEastAsia" w:hAnsiTheme="minorEastAsia" w:eastAsiaTheme="minorEastAsia" w:cstheme="minorEastAsia"/>
          <w:b/>
          <w:bCs/>
          <w:color w:val="auto"/>
          <w:kern w:val="0"/>
          <w:szCs w:val="21"/>
        </w:rPr>
        <w:t>评审后得分最高的同品牌</w:t>
      </w:r>
      <w:r>
        <w:rPr>
          <w:rFonts w:hint="eastAsia" w:asciiTheme="minorEastAsia" w:hAnsiTheme="minorEastAsia" w:eastAsiaTheme="minorEastAsia" w:cstheme="minorEastAsia"/>
          <w:b/>
          <w:bCs/>
          <w:color w:val="auto"/>
          <w:kern w:val="0"/>
          <w:szCs w:val="21"/>
          <w:lang w:eastAsia="zh-CN"/>
        </w:rPr>
        <w:t>供应商</w:t>
      </w:r>
      <w:r>
        <w:rPr>
          <w:rFonts w:hint="eastAsia" w:asciiTheme="minorEastAsia" w:hAnsiTheme="minorEastAsia" w:eastAsiaTheme="minorEastAsia" w:cstheme="minorEastAsia"/>
          <w:b/>
          <w:bCs/>
          <w:color w:val="auto"/>
          <w:kern w:val="0"/>
          <w:szCs w:val="21"/>
        </w:rPr>
        <w:t>获得</w:t>
      </w:r>
      <w:r>
        <w:rPr>
          <w:rFonts w:hint="eastAsia" w:asciiTheme="minorEastAsia" w:hAnsiTheme="minorEastAsia" w:eastAsiaTheme="minorEastAsia" w:cstheme="minorEastAsia"/>
          <w:b/>
          <w:bCs/>
          <w:color w:val="auto"/>
          <w:kern w:val="0"/>
          <w:szCs w:val="21"/>
          <w:lang w:eastAsia="zh-CN"/>
        </w:rPr>
        <w:t>成交候选供应商</w:t>
      </w:r>
      <w:r>
        <w:rPr>
          <w:rFonts w:hint="eastAsia" w:asciiTheme="minorEastAsia" w:hAnsiTheme="minorEastAsia" w:eastAsiaTheme="minorEastAsia" w:cstheme="minorEastAsia"/>
          <w:b/>
          <w:bCs/>
          <w:color w:val="auto"/>
          <w:kern w:val="0"/>
          <w:szCs w:val="21"/>
        </w:rPr>
        <w:t>推荐资格</w:t>
      </w:r>
      <w:r>
        <w:rPr>
          <w:rFonts w:ascii="Times New Roman" w:hAnsi="Times New Roman"/>
          <w:b/>
          <w:bCs/>
          <w:color w:val="auto"/>
          <w:szCs w:val="21"/>
          <w:lang w:val="zh-CN"/>
        </w:rPr>
        <w:t>（</w:t>
      </w:r>
      <w:r>
        <w:rPr>
          <w:rFonts w:ascii="Times New Roman" w:hAnsi="Times New Roman"/>
          <w:b/>
          <w:color w:val="auto"/>
          <w:szCs w:val="21"/>
        </w:rPr>
        <w:t>评审得分相同的，由</w:t>
      </w:r>
      <w:r>
        <w:rPr>
          <w:rFonts w:hint="eastAsia"/>
          <w:b/>
          <w:color w:val="auto"/>
          <w:szCs w:val="21"/>
          <w:lang w:eastAsia="zh-CN"/>
        </w:rPr>
        <w:t>磋商小组</w:t>
      </w:r>
      <w:r>
        <w:rPr>
          <w:rFonts w:ascii="Times New Roman" w:hAnsi="Times New Roman"/>
          <w:b/>
          <w:color w:val="auto"/>
          <w:szCs w:val="21"/>
        </w:rPr>
        <w:t>按照</w:t>
      </w:r>
      <w:r>
        <w:rPr>
          <w:rFonts w:hint="eastAsia" w:ascii="Times New Roman" w:hAnsi="Times New Roman"/>
          <w:b/>
          <w:color w:val="auto"/>
          <w:szCs w:val="21"/>
        </w:rPr>
        <w:t>最后报价</w:t>
      </w:r>
      <w:r>
        <w:rPr>
          <w:rFonts w:hint="eastAsia" w:ascii="宋体" w:hAnsi="宋体" w:eastAsia="宋体" w:cs="Times New Roman"/>
          <w:b/>
          <w:color w:val="auto"/>
          <w:szCs w:val="21"/>
          <w:highlight w:val="none"/>
          <w:u w:val="none"/>
        </w:rPr>
        <w:t>由低到高顺序排列；得分相同且最后报价相同的，按技术指标优劣顺序排列</w:t>
      </w:r>
      <w:r>
        <w:rPr>
          <w:rFonts w:ascii="Times New Roman" w:hAnsi="Times New Roman"/>
          <w:b/>
          <w:color w:val="auto"/>
          <w:szCs w:val="21"/>
        </w:rPr>
        <w:t>的方式确定一个</w:t>
      </w:r>
      <w:r>
        <w:rPr>
          <w:rFonts w:hint="eastAsia" w:ascii="Times New Roman" w:hAnsi="Times New Roman"/>
          <w:b/>
          <w:color w:val="auto"/>
          <w:szCs w:val="21"/>
          <w:lang w:eastAsia="zh-CN"/>
        </w:rPr>
        <w:t>供应商</w:t>
      </w:r>
      <w:r>
        <w:rPr>
          <w:rFonts w:ascii="Times New Roman" w:hAnsi="Times New Roman"/>
          <w:b/>
          <w:color w:val="auto"/>
          <w:szCs w:val="21"/>
        </w:rPr>
        <w:t>获得</w:t>
      </w:r>
      <w:r>
        <w:rPr>
          <w:rFonts w:hint="eastAsia" w:ascii="Times New Roman" w:hAnsi="Times New Roman"/>
          <w:b/>
          <w:color w:val="auto"/>
          <w:szCs w:val="21"/>
          <w:lang w:eastAsia="zh-CN"/>
        </w:rPr>
        <w:t>成交候选供应商</w:t>
      </w:r>
      <w:r>
        <w:rPr>
          <w:rFonts w:ascii="Times New Roman" w:hAnsi="Times New Roman"/>
          <w:b/>
          <w:color w:val="auto"/>
          <w:szCs w:val="21"/>
        </w:rPr>
        <w:t>推荐资格</w:t>
      </w:r>
      <w:r>
        <w:rPr>
          <w:rFonts w:ascii="Times New Roman" w:hAnsi="Times New Roman"/>
          <w:b/>
          <w:bCs/>
          <w:color w:val="auto"/>
          <w:szCs w:val="21"/>
          <w:lang w:val="zh-CN"/>
        </w:rPr>
        <w:t>），其他同品牌</w:t>
      </w:r>
      <w:r>
        <w:rPr>
          <w:rFonts w:hint="eastAsia" w:ascii="Times New Roman" w:hAnsi="Times New Roman"/>
          <w:b/>
          <w:bCs/>
          <w:color w:val="auto"/>
          <w:szCs w:val="21"/>
          <w:lang w:val="zh-CN" w:eastAsia="zh-CN"/>
        </w:rPr>
        <w:t>成交候选</w:t>
      </w:r>
      <w:r>
        <w:rPr>
          <w:rFonts w:ascii="Times New Roman" w:hAnsi="Times New Roman"/>
          <w:b/>
          <w:bCs/>
          <w:color w:val="auto"/>
          <w:szCs w:val="21"/>
          <w:lang w:val="zh-CN"/>
        </w:rPr>
        <w:t>不</w:t>
      </w:r>
      <w:r>
        <w:rPr>
          <w:rFonts w:hint="eastAsia" w:ascii="Times New Roman" w:hAnsi="Times New Roman"/>
          <w:b/>
          <w:bCs/>
          <w:color w:val="auto"/>
          <w:szCs w:val="21"/>
          <w:lang w:val="zh-CN"/>
        </w:rPr>
        <w:t>推荐</w:t>
      </w:r>
      <w:r>
        <w:rPr>
          <w:rFonts w:ascii="Times New Roman" w:hAnsi="Times New Roman"/>
          <w:b/>
          <w:bCs/>
          <w:color w:val="auto"/>
          <w:szCs w:val="21"/>
          <w:lang w:val="zh-CN"/>
        </w:rPr>
        <w:t>为</w:t>
      </w:r>
      <w:r>
        <w:rPr>
          <w:rFonts w:hint="eastAsia" w:ascii="Times New Roman" w:hAnsi="Times New Roman"/>
          <w:b/>
          <w:bCs/>
          <w:color w:val="auto"/>
          <w:szCs w:val="21"/>
          <w:lang w:val="zh-CN"/>
        </w:rPr>
        <w:t>成交</w:t>
      </w:r>
      <w:r>
        <w:rPr>
          <w:rFonts w:ascii="Times New Roman" w:hAnsi="Times New Roman"/>
          <w:b/>
          <w:bCs/>
          <w:color w:val="auto"/>
          <w:szCs w:val="21"/>
          <w:lang w:val="zh-CN"/>
        </w:rPr>
        <w:t>候选人。</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28.2评审办法及标准见第三章。</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28.3评审时，磋商小组成员应当独立对每个有效响应的文件进行评价、打分，然后汇总每个供应商每项评分因素的得分。</w:t>
      </w:r>
    </w:p>
    <w:p>
      <w:pPr>
        <w:spacing w:line="40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29.提出成交供应商</w:t>
      </w:r>
    </w:p>
    <w:p>
      <w:pPr>
        <w:spacing w:line="40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29.1磋商小组应当按照综合评分由高到低的顺序提出3名及以上成交候选供应商，并编写评审报告。</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29.2评审得分相同的，按照最后报价由低到高的顺序推荐。评审得分且最后报价相同的，按照技术指标优劣顺序推荐。</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30.确定成交供应商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30.1采购代理机构应当在评审结束之日起2个工作日内将评审报告送采购人确认。</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30.2采购人应当在收到评审报告之日起5个工作日内，从评审报告提出的成交候选供应商中，按照排序由高到低的原则确定成交供应商，也可以书面授权磋商小组直接确定成交供应商。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30.3采购人自行组织磋商的，应当在评审结束之日起5个工作日内确定成交供应商。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31.磋商终止</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31.1出现下列情形之一的，采购人或者采购代理机构应当终止磋商采购活动，在指定的媒体上发布项目终止公告并说明原因，重新开展采购活动：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(1)因情况变化，不再符合规定的磋商采购方式适用情形的；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(2)出现影响采购公正的违法、违规行为的；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(3)采购过程中符合竞争要求的供应商或者报价未超过采购预算的供应商不足3家的，或者提交最后报价的供应商少于3家的；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(4)因重大变故，采购任务取消的。</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32.重新评审</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32.1除资格性检查认定错误、分值汇总计算错误、分项评分超出评分标准范围、客观分评分不一致、经磋商小组一致认定评分畸高、畸低的情形外，采购人或者采购代理机构不得以任何理由组织重新评审。</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33.保密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33.1　磋商小组成员以及与评审工作有关的人员不得泄露评审情况以及评审过程中获悉的国家秘密、商业秘密。</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34.禁止行为</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34.1供应商不得与采购人、采购代理机构、其他供应商恶意串通；不得向采购人、采购代理机构或者磋商小组成员行贿或者提供其他不正当利益；不得提供虚假材料谋取成交；不得以任何方式干扰、影响采购工作。供应商违反法律法规、磋商文件相关规定的，依法追究法律责任。</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34.2 供应商应当遵循公平竞争的原则，不得恶意串通，不得妨碍其他供应商的竞争行为，不得损害采购人或者其他供应商的合法权益。</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有下列情形之一的，视为供应商串通响应，其响应无效：</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(1)不同供应商的响应文件由同一单位或者个人编制；</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(2)不同供应商委托同一单位或者个人办理磋商活动事宜；</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(3)不同供应商的响应文件载明的项目管理成员或者联系人员为同一人；</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(4)不同供应商的响应文件异常一致或者报价呈规律性差异；</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(5)不同供应商的响应文件相互混装；</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(6)不同供应商的磋商保证金从同一单位或者个人的账户转出。</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五、成交结果信息公布与签订合同</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35.成交信息的公布</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35.1成交供应商确定之日起2个工作日内，采购人或者采购代理机构应在磋商须知前附表中规定的公告媒体上公布成交结果信息。</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35.2磋商文件随成交结果同时公告。但成交结果公告前磋商文件已公告的，不再重复公告。</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35.3采用书面推荐供应商参加采购活动的，在公告结果同时公告采购人和评审专家的推荐意见。</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36.成交通知</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36.1成交供应商确定后，采购人或采购代理机构在发布成交公告的同时以书面形式向成交供应商发出成交通知书。成交通知书对采购人和成交供应商具有同等法律效力。</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37.履约保证金</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37.1成交供应商按照磋商须知前附表的规定，在签订采购合同前，向采购人提交履约保证金。联合体成交的，履约保证金以联合体各方或联合体中牵头人的名义提交。</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37.2成交供应商没有按照磋商须知前附表的规定提交履约保证金的，视为放弃成交资格，其磋商保证金不予退还。</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38.签订合同</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38.1磋商文件、成交供应商的响应文件及补充文件等均为签订采购合同的依据。</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38.2成交供应商应当在成交通知书发出之日起30日内与采购人签订采购合同。</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38.3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38.4 成交供应商因不可抗力或者拒绝签订采购合同的，采购人可以与成交供应商之后排名 </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第一的成交候选供应商签订采购合同，以此类推。采购人也可以重新开展采购活动。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六、其他规定</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39.采购代理服务费</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39.1成交供应商是否交纳采购代理服务费及相关要求见磋商须知前附表。</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40.询问、质疑、投诉</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40.1供应商对采购活动事项有疑问的，可以向采购人或采购代理机构提出询问，采购人或 采购代理机构应当及时作出答复，但答复的内容不得涉及商业秘密。</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40.2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40.3 文件解释权</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41.1本磋商文件的解释权归采购人(或采购代理机构)所有。</w:t>
      </w:r>
    </w:p>
    <w:p>
      <w:pPr>
        <w:spacing w:line="400" w:lineRule="exact"/>
        <w:jc w:val="center"/>
        <w:rPr>
          <w:rFonts w:asciiTheme="minorEastAsia" w:hAnsiTheme="minorEastAsia" w:eastAsiaTheme="minorEastAsia" w:cstheme="minorEastAsia"/>
          <w:b/>
          <w:color w:val="auto"/>
          <w:szCs w:val="21"/>
        </w:rPr>
      </w:pPr>
      <w:bookmarkStart w:id="63" w:name="_Toc22872"/>
    </w:p>
    <w:p>
      <w:pPr>
        <w:spacing w:line="400" w:lineRule="exact"/>
        <w:jc w:val="center"/>
        <w:rPr>
          <w:rFonts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spacing w:line="400" w:lineRule="exact"/>
        <w:jc w:val="center"/>
        <w:rPr>
          <w:rFonts w:hint="eastAsia" w:asciiTheme="minorEastAsia" w:hAnsiTheme="minorEastAsia" w:eastAsiaTheme="minorEastAsia" w:cstheme="minorEastAsia"/>
          <w:b/>
          <w:color w:val="auto"/>
          <w:sz w:val="28"/>
          <w:szCs w:val="28"/>
        </w:rPr>
      </w:pPr>
    </w:p>
    <w:p>
      <w:pPr>
        <w:pStyle w:val="57"/>
        <w:rPr>
          <w:rFonts w:hint="eastAsia"/>
          <w:color w:val="auto"/>
        </w:rPr>
      </w:pPr>
    </w:p>
    <w:p>
      <w:pPr>
        <w:pStyle w:val="58"/>
        <w:rPr>
          <w:rFonts w:hint="eastAsia" w:asciiTheme="minorEastAsia" w:hAnsiTheme="minorEastAsia" w:eastAsiaTheme="minorEastAsia" w:cstheme="minorEastAsia"/>
          <w:b/>
          <w:color w:val="auto"/>
          <w:sz w:val="28"/>
          <w:szCs w:val="28"/>
        </w:rPr>
      </w:pPr>
    </w:p>
    <w:p>
      <w:pPr>
        <w:pStyle w:val="58"/>
        <w:rPr>
          <w:rFonts w:hint="eastAsia" w:asciiTheme="minorEastAsia" w:hAnsiTheme="minorEastAsia" w:eastAsiaTheme="minorEastAsia" w:cstheme="minorEastAsia"/>
          <w:b/>
          <w:color w:val="auto"/>
          <w:sz w:val="28"/>
          <w:szCs w:val="28"/>
        </w:rPr>
      </w:pPr>
    </w:p>
    <w:p>
      <w:pPr>
        <w:pStyle w:val="58"/>
        <w:rPr>
          <w:rFonts w:hint="eastAsia" w:asciiTheme="minorEastAsia" w:hAnsiTheme="minorEastAsia" w:eastAsiaTheme="minorEastAsia" w:cstheme="minorEastAsia"/>
          <w:b/>
          <w:color w:val="auto"/>
          <w:sz w:val="28"/>
          <w:szCs w:val="28"/>
        </w:rPr>
      </w:pPr>
    </w:p>
    <w:p>
      <w:pPr>
        <w:pStyle w:val="58"/>
        <w:rPr>
          <w:rFonts w:hint="eastAsia" w:asciiTheme="minorEastAsia" w:hAnsiTheme="minorEastAsia" w:eastAsiaTheme="minorEastAsia" w:cstheme="minorEastAsia"/>
          <w:b/>
          <w:color w:val="auto"/>
          <w:sz w:val="28"/>
          <w:szCs w:val="28"/>
        </w:rPr>
      </w:pPr>
    </w:p>
    <w:p>
      <w:pPr>
        <w:spacing w:line="400" w:lineRule="exact"/>
        <w:jc w:val="cente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第三章 评审方法及标准</w:t>
      </w:r>
      <w:bookmarkEnd w:id="63"/>
    </w:p>
    <w:p>
      <w:pPr>
        <w:pStyle w:val="22"/>
        <w:spacing w:line="360" w:lineRule="auto"/>
        <w:ind w:firstLine="434" w:firstLineChars="216"/>
        <w:rPr>
          <w:rFonts w:asciiTheme="minorEastAsia" w:hAnsiTheme="minorEastAsia" w:eastAsiaTheme="minorEastAsia" w:cstheme="minorEastAsia"/>
          <w:b/>
          <w:color w:val="auto"/>
        </w:rPr>
      </w:pPr>
    </w:p>
    <w:p>
      <w:pPr>
        <w:pStyle w:val="22"/>
        <w:spacing w:line="440" w:lineRule="exact"/>
        <w:ind w:firstLine="455" w:firstLineChars="216"/>
        <w:jc w:val="left"/>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一、评审原则（采用综合评分法）</w:t>
      </w:r>
    </w:p>
    <w:p>
      <w:pPr>
        <w:pStyle w:val="22"/>
        <w:spacing w:line="440" w:lineRule="exact"/>
        <w:ind w:firstLine="420" w:firstLineChars="200"/>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（一）磋商小组构成：本项目的磋商小组分别由采购人代表和评审专家共3人组成，其中评审专家人数不得少于磋商小组成员总数的三分之二。</w:t>
      </w:r>
    </w:p>
    <w:p>
      <w:pPr>
        <w:pStyle w:val="22"/>
        <w:spacing w:line="440" w:lineRule="exact"/>
        <w:ind w:firstLine="420" w:firstLineChars="200"/>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（二）评审依据：磋商小组将以磋商文件、响应文件、应答文件为评审依据，对供应商的报价、履约能力、技术或者服务水平等方面内容按百分制打分。</w:t>
      </w:r>
    </w:p>
    <w:p>
      <w:pPr>
        <w:pStyle w:val="22"/>
        <w:spacing w:line="440" w:lineRule="exact"/>
        <w:ind w:firstLine="420" w:firstLineChars="200"/>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（三）评审方式：以封闭方式进行。</w:t>
      </w:r>
    </w:p>
    <w:p>
      <w:pPr>
        <w:pStyle w:val="22"/>
        <w:spacing w:line="440" w:lineRule="exact"/>
        <w:ind w:firstLine="422" w:firstLineChars="200"/>
        <w:jc w:val="left"/>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二、评审方法</w:t>
      </w:r>
    </w:p>
    <w:p>
      <w:pPr>
        <w:pStyle w:val="22"/>
        <w:spacing w:line="440" w:lineRule="exact"/>
        <w:ind w:firstLine="420" w:firstLineChars="200"/>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（一）磋商小组依法对供应商的资格和符合性进行审查，通过资格和符合性审查的供应商才能进入详评。</w:t>
      </w:r>
    </w:p>
    <w:p>
      <w:pPr>
        <w:pStyle w:val="22"/>
        <w:spacing w:line="440" w:lineRule="exact"/>
        <w:ind w:firstLine="420" w:firstLineChars="200"/>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（二）对进入详评的，采用百分制综合评分法。</w:t>
      </w:r>
    </w:p>
    <w:p>
      <w:pPr>
        <w:pStyle w:val="22"/>
        <w:spacing w:line="440" w:lineRule="exact"/>
        <w:ind w:firstLine="420" w:firstLineChars="200"/>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（三）计分办法（按四舍五入取至百分位）</w:t>
      </w:r>
    </w:p>
    <w:tbl>
      <w:tblPr>
        <w:tblStyle w:val="46"/>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15"/>
        <w:gridCol w:w="618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8" w:type="dxa"/>
            <w:vAlign w:val="center"/>
          </w:tcPr>
          <w:p>
            <w:pPr>
              <w:widowControl/>
              <w:spacing w:line="400" w:lineRule="exact"/>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类别</w:t>
            </w:r>
          </w:p>
        </w:tc>
        <w:tc>
          <w:tcPr>
            <w:tcW w:w="1115" w:type="dxa"/>
            <w:vAlign w:val="center"/>
          </w:tcPr>
          <w:p>
            <w:pPr>
              <w:widowControl/>
              <w:spacing w:line="400" w:lineRule="exact"/>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评审因素</w:t>
            </w:r>
          </w:p>
        </w:tc>
        <w:tc>
          <w:tcPr>
            <w:tcW w:w="6187" w:type="dxa"/>
            <w:vAlign w:val="center"/>
          </w:tcPr>
          <w:p>
            <w:pPr>
              <w:widowControl/>
              <w:spacing w:line="400" w:lineRule="exact"/>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考核内容</w:t>
            </w:r>
          </w:p>
        </w:tc>
        <w:tc>
          <w:tcPr>
            <w:tcW w:w="781" w:type="dxa"/>
            <w:vAlign w:val="center"/>
          </w:tcPr>
          <w:p>
            <w:pPr>
              <w:widowControl/>
              <w:spacing w:line="400" w:lineRule="exact"/>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Align w:val="center"/>
          </w:tcPr>
          <w:p>
            <w:pPr>
              <w:widowControl/>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w:t>
            </w:r>
          </w:p>
          <w:p>
            <w:pPr>
              <w:pStyle w:val="17"/>
              <w:spacing w:after="0"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（满分30分）</w:t>
            </w:r>
          </w:p>
        </w:tc>
        <w:tc>
          <w:tcPr>
            <w:tcW w:w="1115" w:type="dxa"/>
            <w:vAlign w:val="center"/>
          </w:tcPr>
          <w:p>
            <w:pPr>
              <w:widowControl/>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最后报价</w:t>
            </w:r>
          </w:p>
          <w:p>
            <w:pPr>
              <w:pStyle w:val="17"/>
              <w:spacing w:after="0"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（满分30分）</w:t>
            </w:r>
          </w:p>
        </w:tc>
        <w:tc>
          <w:tcPr>
            <w:tcW w:w="6187" w:type="dxa"/>
          </w:tcPr>
          <w:p>
            <w:pPr>
              <w:widowControl/>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1.评审价为供应商的最后报价进行政策性扣除后的价格，评审价只是作为评审时使用。最终成交供应商的成交金额等于最后报价（如有修正，以供应商确认修正后的最后报价为准）。</w:t>
            </w:r>
          </w:p>
          <w:p>
            <w:pPr>
              <w:widowControl/>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2.政策性扣除计算方法：</w:t>
            </w:r>
          </w:p>
          <w:p>
            <w:pPr>
              <w:widowControl/>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（1）对小型企业、微型企业、监狱企业以及残疾人福利性单位，在评审时按磋商须知前附表的规定对其最后报价给予价格扣除。小微企业须在响应文件中提供《中小企业声明函》(格式见“第五章　响应文件组成”)，监狱企业在响应文件中应当提供由省级以上监狱管理局、戒毒管理局（含新疆生产建设兵团）出具的属于监狱企业的证明文件，残疾人福利性单位在响应文件中应当提供《残疾人福利性单位声明函》(格式见“第五章　响应文件组成”)，否则在评审时将不给予价格扣除。（供应商如能够在线查询的材料，请提供查询网址链接，可以不用同时提供纸质材料。）</w:t>
            </w:r>
          </w:p>
          <w:p>
            <w:pPr>
              <w:widowControl/>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注：监狱企业、残疾人福利性单位属于小型、微型企业的，不重复享受政策。</w:t>
            </w:r>
          </w:p>
          <w:p>
            <w:pPr>
              <w:widowControl/>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（2）以满足磋商文件要求且评审报价最低的评审价为评审基准价，其价格分为满分。</w:t>
            </w:r>
          </w:p>
          <w:p>
            <w:pPr>
              <w:widowControl/>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（3）供应商价格分计算公式：</w:t>
            </w:r>
          </w:p>
          <w:p>
            <w:pPr>
              <w:widowControl/>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某供应商价格分=(评审基准价／某供应商评审价)×30分</w:t>
            </w:r>
          </w:p>
        </w:tc>
        <w:tc>
          <w:tcPr>
            <w:tcW w:w="781" w:type="dxa"/>
            <w:vAlign w:val="center"/>
          </w:tcPr>
          <w:p>
            <w:pPr>
              <w:widowControl/>
              <w:spacing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restart"/>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履约能力</w:t>
            </w:r>
          </w:p>
          <w:p>
            <w:pPr>
              <w:pStyle w:val="17"/>
              <w:spacing w:after="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（满分</w:t>
            </w:r>
            <w:r>
              <w:rPr>
                <w:rFonts w:hint="eastAsia" w:asciiTheme="minorEastAsia" w:hAnsiTheme="minorEastAsia" w:eastAsiaTheme="minorEastAsia" w:cstheme="minorEastAsia"/>
                <w:color w:val="auto"/>
                <w:kern w:val="0"/>
                <w:szCs w:val="21"/>
                <w:highlight w:val="none"/>
                <w:lang w:val="en-US" w:eastAsia="zh-CN"/>
              </w:rPr>
              <w:t>40</w:t>
            </w:r>
            <w:r>
              <w:rPr>
                <w:rFonts w:hint="eastAsia" w:asciiTheme="minorEastAsia" w:hAnsiTheme="minorEastAsia" w:eastAsiaTheme="minorEastAsia" w:cstheme="minorEastAsia"/>
                <w:color w:val="auto"/>
                <w:kern w:val="0"/>
                <w:szCs w:val="21"/>
                <w:highlight w:val="none"/>
              </w:rPr>
              <w:t>分）</w:t>
            </w:r>
          </w:p>
        </w:tc>
        <w:tc>
          <w:tcPr>
            <w:tcW w:w="1115" w:type="dxa"/>
            <w:vAlign w:val="center"/>
          </w:tcPr>
          <w:p>
            <w:pPr>
              <w:widowControl/>
              <w:overflowPunct w:val="0"/>
              <w:autoSpaceDE w:val="0"/>
              <w:autoSpaceDN w:val="0"/>
              <w:adjustRightInd w:val="0"/>
              <w:spacing w:line="380" w:lineRule="exact"/>
              <w:jc w:val="center"/>
              <w:textAlignment w:val="baseline"/>
              <w:rPr>
                <w:rFonts w:asciiTheme="minorEastAsia" w:hAnsiTheme="minorEastAsia" w:eastAsiaTheme="minorEastAsia" w:cstheme="minorEastAsia"/>
                <w:color w:val="auto"/>
                <w:kern w:val="0"/>
                <w:szCs w:val="21"/>
                <w:highlight w:val="none"/>
              </w:rPr>
            </w:pPr>
            <w:r>
              <w:rPr>
                <w:rFonts w:hint="eastAsia" w:ascii="宋体" w:hAnsi="宋体" w:eastAsia="宋体" w:cs="Times New Roman"/>
                <w:color w:val="auto"/>
                <w:szCs w:val="21"/>
                <w:highlight w:val="none"/>
                <w:lang w:val="zh-CN"/>
              </w:rPr>
              <w:t>相关证书（</w:t>
            </w:r>
            <w:r>
              <w:rPr>
                <w:rFonts w:ascii="宋体" w:hAnsi="宋体" w:eastAsia="宋体" w:cs="Times New Roman"/>
                <w:color w:val="auto"/>
                <w:szCs w:val="21"/>
                <w:highlight w:val="none"/>
                <w:lang w:val="zh-CN"/>
              </w:rPr>
              <w:t>6</w:t>
            </w:r>
            <w:r>
              <w:rPr>
                <w:rFonts w:hint="eastAsia" w:ascii="宋体" w:hAnsi="宋体" w:eastAsia="宋体" w:cs="Times New Roman"/>
                <w:color w:val="auto"/>
                <w:szCs w:val="21"/>
                <w:highlight w:val="none"/>
                <w:lang w:val="zh-CN"/>
              </w:rPr>
              <w:t>分）</w:t>
            </w:r>
          </w:p>
        </w:tc>
        <w:tc>
          <w:tcPr>
            <w:tcW w:w="6187" w:type="dxa"/>
            <w:vAlign w:val="center"/>
          </w:tcPr>
          <w:p>
            <w:pPr>
              <w:spacing w:line="380" w:lineRule="exact"/>
              <w:ind w:firstLine="420" w:firstLineChars="200"/>
              <w:rPr>
                <w:rFonts w:asciiTheme="minorEastAsia" w:hAnsiTheme="minorEastAsia" w:eastAsiaTheme="minorEastAsia" w:cstheme="minorEastAsia"/>
                <w:color w:val="auto"/>
                <w:sz w:val="21"/>
                <w:szCs w:val="21"/>
                <w:highlight w:val="none"/>
              </w:rPr>
            </w:pPr>
            <w:r>
              <w:rPr>
                <w:rFonts w:hint="eastAsia"/>
                <w:color w:val="auto"/>
                <w:highlight w:val="none"/>
                <w:lang w:val="zh-CN"/>
              </w:rPr>
              <w:t>投标人具有有效的质量管理体系认证（ISO9001或GB/T19001）或信息技术服务管理体系认证（ISO20000）或信息安全管理体系认证（ISO27001），</w:t>
            </w:r>
            <w:r>
              <w:rPr>
                <w:rFonts w:hint="eastAsia"/>
                <w:color w:val="auto"/>
                <w:highlight w:val="none"/>
              </w:rPr>
              <w:t>每有一项得</w:t>
            </w:r>
            <w:r>
              <w:rPr>
                <w:color w:val="auto"/>
                <w:highlight w:val="none"/>
              </w:rPr>
              <w:t>2</w:t>
            </w:r>
            <w:r>
              <w:rPr>
                <w:rFonts w:hint="eastAsia"/>
                <w:color w:val="auto"/>
                <w:highlight w:val="none"/>
              </w:rPr>
              <w:t>分，满分</w:t>
            </w:r>
            <w:r>
              <w:rPr>
                <w:color w:val="auto"/>
                <w:highlight w:val="none"/>
              </w:rPr>
              <w:t>6</w:t>
            </w:r>
            <w:r>
              <w:rPr>
                <w:rFonts w:hint="eastAsia"/>
                <w:color w:val="auto"/>
                <w:highlight w:val="none"/>
              </w:rPr>
              <w:t>分。（投标人需提供有效认证证书扫描件，并加盖投标人公章）</w:t>
            </w:r>
          </w:p>
        </w:tc>
        <w:tc>
          <w:tcPr>
            <w:tcW w:w="781" w:type="dxa"/>
            <w:vAlign w:val="center"/>
          </w:tcPr>
          <w:p>
            <w:pPr>
              <w:widowControl/>
              <w:overflowPunct w:val="0"/>
              <w:autoSpaceDE w:val="0"/>
              <w:autoSpaceDN w:val="0"/>
              <w:adjustRightInd w:val="0"/>
              <w:spacing w:line="380" w:lineRule="exact"/>
              <w:jc w:val="center"/>
              <w:textAlignment w:val="baseline"/>
              <w:rPr>
                <w:rFonts w:asciiTheme="minorEastAsia" w:hAnsiTheme="minorEastAsia" w:eastAsiaTheme="minorEastAsia" w:cstheme="minorEastAsia"/>
                <w:color w:val="auto"/>
                <w:kern w:val="0"/>
                <w:szCs w:val="21"/>
                <w:highlight w:val="none"/>
              </w:rPr>
            </w:pPr>
            <w:r>
              <w:rPr>
                <w:rFonts w:ascii="宋体" w:hAnsi="宋体" w:eastAsia="宋体" w:cs="Times New Roman"/>
                <w:color w:val="auto"/>
                <w:szCs w:val="21"/>
                <w:highlight w:val="none"/>
                <w:lang w:val="zh-CN"/>
              </w:rPr>
              <w:t>6</w:t>
            </w:r>
            <w:r>
              <w:rPr>
                <w:rFonts w:hint="eastAsia" w:ascii="宋体" w:hAnsi="宋体" w:eastAsia="宋体" w:cs="Times New Roman"/>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continue"/>
            <w:vAlign w:val="center"/>
          </w:tcPr>
          <w:p>
            <w:pPr>
              <w:pStyle w:val="17"/>
              <w:spacing w:after="0" w:line="400" w:lineRule="exact"/>
              <w:rPr>
                <w:rFonts w:asciiTheme="minorEastAsia" w:hAnsiTheme="minorEastAsia" w:eastAsiaTheme="minorEastAsia" w:cstheme="minorEastAsia"/>
                <w:color w:val="auto"/>
                <w:kern w:val="0"/>
                <w:szCs w:val="21"/>
                <w:highlight w:val="none"/>
              </w:rPr>
            </w:pPr>
          </w:p>
        </w:tc>
        <w:tc>
          <w:tcPr>
            <w:tcW w:w="1115" w:type="dxa"/>
            <w:vAlign w:val="center"/>
          </w:tcPr>
          <w:p>
            <w:pPr>
              <w:pStyle w:val="22"/>
              <w:spacing w:line="400" w:lineRule="exact"/>
              <w:rPr>
                <w:rFonts w:asciiTheme="minorEastAsia" w:hAnsiTheme="minorEastAsia" w:eastAsiaTheme="minorEastAsia" w:cstheme="minorEastAsia"/>
                <w:color w:val="auto"/>
                <w:sz w:val="21"/>
                <w:szCs w:val="21"/>
                <w:highlight w:val="none"/>
              </w:rPr>
            </w:pPr>
            <w:r>
              <w:rPr>
                <w:rFonts w:hint="eastAsia" w:hAnsi="宋体" w:cs="宋体"/>
                <w:color w:val="auto"/>
                <w:sz w:val="21"/>
                <w:szCs w:val="21"/>
                <w:highlight w:val="none"/>
              </w:rPr>
              <w:t>成功案例</w:t>
            </w:r>
            <w:r>
              <w:rPr>
                <w:rFonts w:hint="eastAsia" w:hAnsi="宋体" w:cs="宋体"/>
                <w:bCs/>
                <w:color w:val="auto"/>
                <w:sz w:val="21"/>
                <w:szCs w:val="21"/>
                <w:highlight w:val="none"/>
              </w:rPr>
              <w:t>（</w:t>
            </w:r>
            <w:r>
              <w:rPr>
                <w:rFonts w:hint="eastAsia" w:hAnsi="宋体" w:cs="宋体"/>
                <w:bCs/>
                <w:color w:val="auto"/>
                <w:sz w:val="21"/>
                <w:szCs w:val="21"/>
                <w:highlight w:val="none"/>
                <w:lang w:val="en-US" w:eastAsia="zh-CN"/>
              </w:rPr>
              <w:t>10</w:t>
            </w:r>
            <w:r>
              <w:rPr>
                <w:rFonts w:hint="eastAsia" w:hAnsi="宋体" w:cs="宋体"/>
                <w:bCs/>
                <w:color w:val="auto"/>
                <w:sz w:val="21"/>
                <w:szCs w:val="21"/>
                <w:highlight w:val="none"/>
              </w:rPr>
              <w:t>分）</w:t>
            </w:r>
          </w:p>
        </w:tc>
        <w:tc>
          <w:tcPr>
            <w:tcW w:w="6187" w:type="dxa"/>
            <w:vAlign w:val="center"/>
          </w:tcPr>
          <w:p>
            <w:pPr>
              <w:pStyle w:val="22"/>
              <w:adjustRightInd w:val="0"/>
              <w:snapToGrid w:val="0"/>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w:t>
            </w:r>
            <w:r>
              <w:rPr>
                <w:rFonts w:hint="eastAsia" w:asciiTheme="minorEastAsia" w:hAnsiTheme="minorEastAsia" w:eastAsiaTheme="minorEastAsia" w:cstheme="minorEastAsia"/>
                <w:color w:val="auto"/>
                <w:sz w:val="21"/>
                <w:szCs w:val="21"/>
                <w:highlight w:val="none"/>
              </w:rPr>
              <w:t>供应商</w:t>
            </w:r>
            <w:r>
              <w:rPr>
                <w:rFonts w:hint="eastAsia" w:hAnsi="宋体" w:cs="宋体"/>
                <w:color w:val="auto"/>
                <w:sz w:val="21"/>
                <w:szCs w:val="21"/>
                <w:highlight w:val="none"/>
              </w:rPr>
              <w:t>2021年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月1日至响应文件</w:t>
            </w:r>
            <w:r>
              <w:rPr>
                <w:rFonts w:hint="eastAsia" w:hAnsi="宋体" w:cs="宋体"/>
                <w:color w:val="auto"/>
                <w:sz w:val="21"/>
                <w:szCs w:val="21"/>
                <w:highlight w:val="none"/>
                <w:lang w:eastAsia="zh-CN"/>
              </w:rPr>
              <w:t>递交</w:t>
            </w:r>
            <w:r>
              <w:rPr>
                <w:rFonts w:hint="eastAsia" w:hAnsi="宋体" w:cs="宋体"/>
                <w:color w:val="auto"/>
                <w:sz w:val="21"/>
                <w:szCs w:val="21"/>
                <w:highlight w:val="none"/>
              </w:rPr>
              <w:t>截止时间止（以合同签订时间为准）承接的类似项目的业绩的有效证明文件进行评价，有效证明文件包括该业绩的：采购合同文本复印件（同一个项目签订多份合同的只能计算一次，不重复计分），每有一项得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分，满分</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分。</w:t>
            </w:r>
          </w:p>
          <w:p>
            <w:pPr>
              <w:pStyle w:val="22"/>
              <w:spacing w:line="400" w:lineRule="exact"/>
              <w:rPr>
                <w:rFonts w:asciiTheme="minorEastAsia" w:hAnsiTheme="minorEastAsia" w:eastAsiaTheme="minorEastAsia" w:cstheme="minorEastAsia"/>
                <w:color w:val="auto"/>
                <w:sz w:val="21"/>
                <w:szCs w:val="21"/>
                <w:highlight w:val="none"/>
              </w:rPr>
            </w:pPr>
            <w:r>
              <w:rPr>
                <w:rFonts w:hint="eastAsia" w:hAnsi="宋体" w:cs="宋体"/>
                <w:color w:val="auto"/>
                <w:sz w:val="21"/>
                <w:szCs w:val="21"/>
                <w:highlight w:val="none"/>
              </w:rPr>
              <w:t>注释：以上评分因素中，类似项目是指通信平台销售或通信平台扩容项目</w:t>
            </w:r>
            <w:r>
              <w:rPr>
                <w:rFonts w:hint="eastAsia" w:hAnsi="宋体" w:cs="宋体"/>
                <w:color w:val="auto"/>
                <w:sz w:val="21"/>
                <w:szCs w:val="21"/>
                <w:highlight w:val="none"/>
              </w:rPr>
              <w:t>。</w:t>
            </w:r>
          </w:p>
        </w:tc>
        <w:tc>
          <w:tcPr>
            <w:tcW w:w="781" w:type="dxa"/>
            <w:vAlign w:val="center"/>
          </w:tcPr>
          <w:p>
            <w:pPr>
              <w:widowControl/>
              <w:spacing w:line="400" w:lineRule="exact"/>
              <w:jc w:val="center"/>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lang w:val="en-US" w:eastAsia="zh-CN"/>
              </w:rPr>
              <w:t>10</w:t>
            </w:r>
            <w:r>
              <w:rPr>
                <w:rFonts w:hint="eastAsia" w:asciiTheme="minorEastAsia" w:hAnsiTheme="minorEastAsia" w:eastAsiaTheme="minorEastAsia" w:cstheme="minorEastAsia"/>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continue"/>
            <w:vAlign w:val="center"/>
          </w:tcPr>
          <w:p>
            <w:pPr>
              <w:pStyle w:val="17"/>
              <w:spacing w:after="0" w:line="400" w:lineRule="exact"/>
              <w:rPr>
                <w:rFonts w:asciiTheme="minorEastAsia" w:hAnsiTheme="minorEastAsia" w:eastAsiaTheme="minorEastAsia" w:cstheme="minorEastAsia"/>
                <w:color w:val="auto"/>
                <w:kern w:val="0"/>
                <w:szCs w:val="21"/>
              </w:rPr>
            </w:pPr>
          </w:p>
        </w:tc>
        <w:tc>
          <w:tcPr>
            <w:tcW w:w="1115" w:type="dxa"/>
            <w:vAlign w:val="center"/>
          </w:tcPr>
          <w:p>
            <w:pPr>
              <w:widowControl/>
              <w:spacing w:line="400" w:lineRule="exact"/>
              <w:jc w:val="center"/>
              <w:rPr>
                <w:rFonts w:ascii="宋体" w:hAnsi="宋体" w:cs="宋体"/>
                <w:color w:val="auto"/>
                <w:szCs w:val="21"/>
              </w:rPr>
            </w:pPr>
            <w:r>
              <w:rPr>
                <w:rFonts w:hint="eastAsia" w:ascii="宋体" w:hAnsi="宋体" w:cs="宋体"/>
                <w:color w:val="auto"/>
                <w:szCs w:val="21"/>
              </w:rPr>
              <w:t>技术力量（</w:t>
            </w:r>
            <w:r>
              <w:rPr>
                <w:rFonts w:hint="eastAsia" w:ascii="宋体" w:hAnsi="宋体" w:cs="宋体"/>
                <w:color w:val="auto"/>
                <w:szCs w:val="21"/>
                <w:lang w:val="en-US" w:eastAsia="zh-CN"/>
              </w:rPr>
              <w:t>24</w:t>
            </w:r>
            <w:r>
              <w:rPr>
                <w:rFonts w:hint="eastAsia" w:ascii="宋体" w:hAnsi="宋体" w:cs="宋体"/>
                <w:color w:val="auto"/>
                <w:szCs w:val="21"/>
              </w:rPr>
              <w:t>分）</w:t>
            </w:r>
          </w:p>
        </w:tc>
        <w:tc>
          <w:tcPr>
            <w:tcW w:w="6187" w:type="dxa"/>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重点考核</w:t>
            </w:r>
            <w:r>
              <w:rPr>
                <w:rFonts w:hint="eastAsia" w:asciiTheme="minorEastAsia" w:hAnsiTheme="minorEastAsia" w:eastAsiaTheme="minorEastAsia" w:cstheme="minorEastAsia"/>
                <w:color w:val="auto"/>
                <w:szCs w:val="21"/>
              </w:rPr>
              <w:t>供应商</w:t>
            </w:r>
            <w:r>
              <w:rPr>
                <w:rFonts w:hint="eastAsia" w:ascii="宋体" w:hAnsi="宋体" w:cs="宋体"/>
                <w:color w:val="auto"/>
                <w:szCs w:val="21"/>
              </w:rPr>
              <w:t>投入人员的技术力量：投入本项目的人员在满足本项目采购需求的基础上，对下列指标进行考核打分：</w:t>
            </w:r>
          </w:p>
          <w:p>
            <w:pPr>
              <w:pStyle w:val="7"/>
              <w:widowControl/>
              <w:spacing w:before="0" w:after="0" w:line="400" w:lineRule="exact"/>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投入人员</w:t>
            </w:r>
            <w:r>
              <w:rPr>
                <w:rFonts w:hint="eastAsia" w:ascii="宋体" w:hAnsi="宋体" w:eastAsia="宋体" w:cs="宋体"/>
                <w:b w:val="0"/>
                <w:bCs w:val="0"/>
                <w:color w:val="auto"/>
                <w:sz w:val="21"/>
                <w:szCs w:val="21"/>
                <w:highlight w:val="none"/>
              </w:rPr>
              <w:t>具有计算机技术与软件专业技术资格中级证书(软件设计师、软件测评师、网络工程师、信息安全工程师、信息系统管理工程师、数据库系统工程师、系统集成项目管理工程师、信息技术支持工程师，任一)的，每人得2分；具有计算机技术与软件专业技术资格高级证书（信息系统项目管理师、系统分析师、系统架构设计师、系统规划与管理师、任一）的，每人得3分，满分</w:t>
            </w:r>
            <w:r>
              <w:rPr>
                <w:rFonts w:hint="eastAsia" w:ascii="宋体" w:hAnsi="宋体" w:eastAsia="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分。</w:t>
            </w:r>
          </w:p>
          <w:p>
            <w:pPr>
              <w:pStyle w:val="22"/>
              <w:spacing w:line="400" w:lineRule="exact"/>
              <w:ind w:firstLine="420" w:firstLineChars="200"/>
              <w:rPr>
                <w:rFonts w:hAnsi="宋体" w:cs="宋体"/>
                <w:color w:val="auto"/>
                <w:sz w:val="21"/>
                <w:szCs w:val="21"/>
              </w:rPr>
            </w:pPr>
            <w:r>
              <w:rPr>
                <w:rFonts w:hint="eastAsia" w:hAnsi="宋体" w:cs="宋体"/>
                <w:color w:val="auto"/>
                <w:sz w:val="21"/>
                <w:szCs w:val="21"/>
                <w:highlight w:val="none"/>
              </w:rPr>
              <w:t>注：上述人员一人多证</w:t>
            </w:r>
            <w:r>
              <w:rPr>
                <w:rFonts w:hint="eastAsia" w:hAnsi="宋体" w:cs="宋体"/>
                <w:color w:val="auto"/>
                <w:sz w:val="21"/>
                <w:szCs w:val="21"/>
                <w:highlight w:val="none"/>
                <w:lang w:val="en-US" w:eastAsia="zh-CN"/>
              </w:rPr>
              <w:t>可</w:t>
            </w:r>
            <w:r>
              <w:rPr>
                <w:rFonts w:hint="eastAsia" w:hAnsi="宋体" w:cs="宋体"/>
                <w:color w:val="auto"/>
                <w:sz w:val="21"/>
                <w:szCs w:val="21"/>
                <w:highlight w:val="none"/>
              </w:rPr>
              <w:t>重复计分。在响应文件中提供用于本项目人员简历表(简历表应包含人员专业、工作年限及近年承担类似工作名称等)、有效的劳动合同复印件、专业资格证书复印件。</w:t>
            </w:r>
          </w:p>
        </w:tc>
        <w:tc>
          <w:tcPr>
            <w:tcW w:w="781" w:type="dxa"/>
            <w:vAlign w:val="center"/>
          </w:tcPr>
          <w:p>
            <w:pPr>
              <w:pStyle w:val="17"/>
              <w:spacing w:after="0" w:line="400" w:lineRule="exact"/>
              <w:jc w:val="center"/>
              <w:rPr>
                <w:rFonts w:asciiTheme="minorEastAsia" w:hAnsiTheme="minorEastAsia" w:eastAsiaTheme="minorEastAsia" w:cstheme="minorEastAsia"/>
                <w:bCs/>
                <w:color w:val="auto"/>
                <w:kern w:val="0"/>
                <w:szCs w:val="21"/>
              </w:rPr>
            </w:pPr>
            <w:r>
              <w:rPr>
                <w:rFonts w:hint="eastAsia" w:ascii="宋体" w:hAnsi="宋体" w:cs="宋体"/>
                <w:color w:val="auto"/>
                <w:kern w:val="0"/>
                <w:szCs w:val="21"/>
                <w:lang w:val="en-US" w:eastAsia="zh-CN"/>
              </w:rPr>
              <w:t>24</w:t>
            </w:r>
            <w:r>
              <w:rPr>
                <w:rFonts w:hint="eastAsia" w:ascii="宋体" w:hAnsi="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1058" w:type="dxa"/>
            <w:vMerge w:val="restart"/>
            <w:vAlign w:val="center"/>
          </w:tcPr>
          <w:p>
            <w:pPr>
              <w:pStyle w:val="17"/>
              <w:spacing w:after="0"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技术或者服务水平</w:t>
            </w:r>
            <w:r>
              <w:rPr>
                <w:rFonts w:hint="eastAsia" w:asciiTheme="minorEastAsia" w:hAnsiTheme="minorEastAsia" w:eastAsiaTheme="minorEastAsia" w:cstheme="minorEastAsia"/>
                <w:color w:val="auto"/>
                <w:kern w:val="0"/>
                <w:szCs w:val="21"/>
              </w:rPr>
              <w:t>（满分</w:t>
            </w:r>
            <w:r>
              <w:rPr>
                <w:rFonts w:hint="eastAsia" w:asciiTheme="minorEastAsia" w:hAnsiTheme="minorEastAsia" w:eastAsiaTheme="minorEastAsia" w:cstheme="minorEastAsia"/>
                <w:color w:val="auto"/>
                <w:kern w:val="0"/>
                <w:szCs w:val="21"/>
                <w:lang w:val="en-US" w:eastAsia="zh-CN"/>
              </w:rPr>
              <w:t>30</w:t>
            </w:r>
            <w:r>
              <w:rPr>
                <w:rFonts w:hint="eastAsia" w:asciiTheme="minorEastAsia" w:hAnsiTheme="minorEastAsia" w:eastAsiaTheme="minorEastAsia" w:cstheme="minorEastAsia"/>
                <w:color w:val="auto"/>
                <w:kern w:val="0"/>
                <w:szCs w:val="21"/>
              </w:rPr>
              <w:t>分）</w:t>
            </w:r>
          </w:p>
        </w:tc>
        <w:tc>
          <w:tcPr>
            <w:tcW w:w="1115" w:type="dxa"/>
            <w:vAlign w:val="center"/>
          </w:tcPr>
          <w:p>
            <w:pPr>
              <w:widowControl/>
              <w:spacing w:line="400" w:lineRule="exact"/>
              <w:jc w:val="center"/>
              <w:rPr>
                <w:rFonts w:hint="eastAsia" w:ascii="Times New Roman" w:hAnsi="Times New Roman"/>
                <w:color w:val="auto"/>
                <w:szCs w:val="21"/>
                <w:lang w:val="zh-CN"/>
              </w:rPr>
            </w:pPr>
          </w:p>
          <w:p>
            <w:pPr>
              <w:widowControl/>
              <w:spacing w:line="400" w:lineRule="exact"/>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s="宋体"/>
                <w:color w:val="auto"/>
                <w:szCs w:val="21"/>
              </w:rPr>
              <w:t>项目需求理解（9分）</w:t>
            </w:r>
          </w:p>
        </w:tc>
        <w:tc>
          <w:tcPr>
            <w:tcW w:w="6187" w:type="dxa"/>
            <w:vAlign w:val="center"/>
          </w:tcPr>
          <w:p>
            <w:pPr>
              <w:widowControl/>
              <w:overflowPunct w:val="0"/>
              <w:autoSpaceDE w:val="0"/>
              <w:autoSpaceDN w:val="0"/>
              <w:adjustRightInd w:val="0"/>
              <w:spacing w:line="360" w:lineRule="auto"/>
              <w:ind w:firstLine="0" w:firstLineChars="0"/>
              <w:jc w:val="left"/>
              <w:textAlignment w:val="baseline"/>
              <w:rPr>
                <w:rFonts w:ascii="宋体" w:hAnsi="宋体" w:cs="宋体"/>
                <w:color w:val="auto"/>
                <w:szCs w:val="21"/>
              </w:rPr>
            </w:pPr>
            <w:r>
              <w:rPr>
                <w:rFonts w:hint="eastAsia" w:ascii="宋体" w:hAnsi="宋体" w:cs="宋体"/>
                <w:color w:val="auto"/>
                <w:szCs w:val="21"/>
              </w:rPr>
              <w:t>由磋商小组根据响应文件中项目需求的项目定位、采购需求、业务流程、工作现状的把握及理解情况等进行评审</w:t>
            </w:r>
            <w:r>
              <w:rPr>
                <w:rFonts w:hint="eastAsia" w:ascii="宋体" w:hAnsi="宋体" w:cs="宋体"/>
                <w:color w:val="auto"/>
                <w:szCs w:val="21"/>
                <w:lang w:eastAsia="zh-CN"/>
              </w:rPr>
              <w:t>。</w:t>
            </w:r>
            <w:r>
              <w:rPr>
                <w:rFonts w:hint="eastAsia" w:ascii="宋体" w:hAnsi="宋体" w:cs="宋体"/>
                <w:color w:val="auto"/>
                <w:szCs w:val="21"/>
              </w:rPr>
              <w:t>以下各项不重复计分：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①供应商能对项目定位、采购需求、业务流程、工作现状的基本情况进行描述，内容全面、完整，对本项目服务</w:t>
            </w:r>
            <w:r>
              <w:rPr>
                <w:rFonts w:hint="eastAsia" w:ascii="宋体" w:hAnsi="宋体" w:cs="宋体"/>
                <w:color w:val="auto"/>
                <w:szCs w:val="21"/>
              </w:rPr>
              <w:t>需求</w:t>
            </w:r>
            <w:r>
              <w:rPr>
                <w:rFonts w:hint="eastAsia" w:ascii="宋体" w:hAnsi="宋体" w:cs="宋体"/>
                <w:color w:val="auto"/>
                <w:szCs w:val="21"/>
              </w:rPr>
              <w:t>理解思路正确的，得3分；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②在本项①基础上，供应商能详细阐述12366热线通信平台的技术架构、数据结构，熟悉本项目业务流程，能提出项目需求实现的重点难点，并提供解决方案，得6分；</w:t>
            </w:r>
          </w:p>
          <w:p>
            <w:pPr>
              <w:spacing w:line="400" w:lineRule="exact"/>
              <w:ind w:firstLine="420" w:firstLineChars="200"/>
              <w:rPr>
                <w:rFonts w:ascii="宋体" w:hAnsi="宋体" w:cs="宋体"/>
                <w:color w:val="auto"/>
                <w:szCs w:val="21"/>
              </w:rPr>
            </w:pPr>
            <w:r>
              <w:rPr>
                <w:rFonts w:hint="eastAsia" w:ascii="宋体" w:hAnsi="宋体" w:cs="宋体"/>
                <w:color w:val="auto"/>
                <w:szCs w:val="21"/>
              </w:rPr>
              <w:t>③在本项②基础上，供应商对本项目服务要求（12366通信平台扩容升级和基于通信迁移的集成开发服务）有深入的了解，能对两部分需求进行准确、详细的需求分析，并能根据需求分析列出</w:t>
            </w:r>
            <w:r>
              <w:rPr>
                <w:rFonts w:hint="eastAsia" w:ascii="宋体" w:hAnsi="宋体" w:cs="宋体"/>
                <w:color w:val="auto"/>
                <w:szCs w:val="21"/>
                <w:lang w:val="en-US" w:eastAsia="zh-CN"/>
              </w:rPr>
              <w:t>扩容升级及集成开发</w:t>
            </w:r>
            <w:r>
              <w:rPr>
                <w:rFonts w:hint="eastAsia" w:ascii="宋体" w:hAnsi="宋体" w:cs="宋体"/>
                <w:color w:val="auto"/>
                <w:szCs w:val="21"/>
              </w:rPr>
              <w:t>的工作量，得9分。</w:t>
            </w:r>
          </w:p>
          <w:p>
            <w:pPr>
              <w:spacing w:line="400" w:lineRule="exact"/>
              <w:rPr>
                <w:rFonts w:hint="eastAsia" w:asciiTheme="minorEastAsia" w:hAnsiTheme="minorEastAsia" w:eastAsiaTheme="minorEastAsia" w:cstheme="minorEastAsia"/>
                <w:b/>
                <w:color w:val="auto"/>
                <w:kern w:val="2"/>
                <w:sz w:val="21"/>
                <w:szCs w:val="21"/>
                <w:lang w:val="en-US" w:eastAsia="zh-CN" w:bidi="ar-SA"/>
              </w:rPr>
            </w:pPr>
            <w:r>
              <w:rPr>
                <w:rFonts w:hint="eastAsia" w:ascii="宋体" w:hAnsi="宋体" w:cs="宋体"/>
                <w:b/>
                <w:bCs w:val="0"/>
                <w:color w:val="auto"/>
                <w:szCs w:val="21"/>
              </w:rPr>
              <w:t>注：未提供项目需求理解或项目需求理解未达到①标准要求的，得0分。</w:t>
            </w:r>
          </w:p>
        </w:tc>
        <w:tc>
          <w:tcPr>
            <w:tcW w:w="781" w:type="dxa"/>
            <w:vAlign w:val="center"/>
          </w:tcPr>
          <w:p>
            <w:pPr>
              <w:widowControl/>
              <w:overflowPunct w:val="0"/>
              <w:autoSpaceDE w:val="0"/>
              <w:autoSpaceDN w:val="0"/>
              <w:adjustRightInd w:val="0"/>
              <w:spacing w:line="360" w:lineRule="auto"/>
              <w:jc w:val="center"/>
              <w:textAlignment w:val="baseline"/>
              <w:rPr>
                <w:rFonts w:hint="eastAsia"/>
                <w:color w:val="auto"/>
                <w:szCs w:val="21"/>
                <w:lang w:val="en-US" w:eastAsia="zh-CN"/>
              </w:rPr>
            </w:pPr>
          </w:p>
          <w:p>
            <w:pPr>
              <w:widowControl/>
              <w:spacing w:line="400" w:lineRule="exact"/>
              <w:jc w:val="center"/>
              <w:rPr>
                <w:rFonts w:hint="eastAsia" w:asciiTheme="minorEastAsia" w:hAnsiTheme="minorEastAsia" w:eastAsiaTheme="minorEastAsia" w:cstheme="minorEastAsia"/>
                <w:bCs/>
                <w:color w:val="auto"/>
                <w:kern w:val="0"/>
                <w:sz w:val="21"/>
                <w:szCs w:val="21"/>
                <w:lang w:val="en-US" w:eastAsia="zh-CN" w:bidi="ar-SA"/>
              </w:rPr>
            </w:pPr>
            <w:r>
              <w:rPr>
                <w:rFonts w:hint="eastAsia" w:ascii="宋体" w:hAnsi="宋体" w:cs="宋体"/>
                <w:bCs/>
                <w:color w:val="auto"/>
                <w:kern w:val="0"/>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058" w:type="dxa"/>
            <w:vMerge w:val="continue"/>
            <w:vAlign w:val="center"/>
          </w:tcPr>
          <w:p>
            <w:pPr>
              <w:widowControl/>
              <w:spacing w:line="400" w:lineRule="exact"/>
              <w:jc w:val="center"/>
              <w:rPr>
                <w:rFonts w:asciiTheme="minorEastAsia" w:hAnsiTheme="minorEastAsia" w:eastAsiaTheme="minorEastAsia" w:cstheme="minorEastAsia"/>
                <w:b/>
                <w:bCs/>
                <w:color w:val="auto"/>
                <w:kern w:val="0"/>
                <w:szCs w:val="21"/>
              </w:rPr>
            </w:pPr>
          </w:p>
        </w:tc>
        <w:tc>
          <w:tcPr>
            <w:tcW w:w="1115" w:type="dxa"/>
            <w:vAlign w:val="center"/>
          </w:tcPr>
          <w:p>
            <w:pPr>
              <w:widowControl/>
              <w:spacing w:line="400" w:lineRule="exact"/>
              <w:jc w:val="center"/>
              <w:rPr>
                <w:rFonts w:asciiTheme="minorEastAsia" w:hAnsiTheme="minorEastAsia" w:eastAsiaTheme="minorEastAsia" w:cstheme="minorEastAsia"/>
                <w:bCs/>
                <w:color w:val="auto"/>
                <w:szCs w:val="21"/>
              </w:rPr>
            </w:pPr>
            <w:r>
              <w:rPr>
                <w:rFonts w:hint="eastAsia" w:ascii="宋体" w:hAnsi="宋体" w:cs="宋体"/>
                <w:color w:val="auto"/>
                <w:szCs w:val="21"/>
              </w:rPr>
              <w:t>实施方案（9分）</w:t>
            </w:r>
          </w:p>
        </w:tc>
        <w:tc>
          <w:tcPr>
            <w:tcW w:w="6187"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由磋商小组根据响应文件中</w:t>
            </w:r>
            <w:r>
              <w:rPr>
                <w:rFonts w:hint="eastAsia" w:ascii="宋体" w:hAnsi="宋体" w:cs="宋体"/>
                <w:color w:val="auto"/>
                <w:szCs w:val="21"/>
              </w:rPr>
              <w:t>实施方案的项目实施计划、实施周期管理、项目实施组织管控、项目实施过程质量保证等内容进行评审。</w:t>
            </w:r>
            <w:r>
              <w:rPr>
                <w:rFonts w:hint="eastAsia" w:ascii="宋体" w:hAnsi="宋体" w:cs="宋体"/>
                <w:color w:val="auto"/>
                <w:szCs w:val="21"/>
              </w:rPr>
              <w:t>以下各项不得重复计分：</w:t>
            </w:r>
          </w:p>
          <w:p>
            <w:pPr>
              <w:pStyle w:val="57"/>
              <w:spacing w:before="0" w:after="0" w:line="400" w:lineRule="exact"/>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①供应商能根据项目采购需求制订有实施进度计划、项目实施组织机构的组建及管控措施</w:t>
            </w:r>
            <w:r>
              <w:rPr>
                <w:rFonts w:hint="eastAsia" w:ascii="宋体" w:hAnsi="宋体" w:eastAsia="宋体" w:cs="宋体"/>
                <w:b w:val="0"/>
                <w:color w:val="auto"/>
                <w:kern w:val="2"/>
                <w:sz w:val="21"/>
                <w:szCs w:val="21"/>
                <w:lang w:val="en-US" w:eastAsia="zh-CN"/>
              </w:rPr>
              <w:t>的</w:t>
            </w:r>
            <w:r>
              <w:rPr>
                <w:rFonts w:hint="eastAsia" w:ascii="宋体" w:hAnsi="宋体" w:eastAsia="宋体" w:cs="宋体"/>
                <w:b w:val="0"/>
                <w:color w:val="auto"/>
                <w:kern w:val="2"/>
                <w:sz w:val="21"/>
                <w:szCs w:val="21"/>
              </w:rPr>
              <w:t>实施方案，满足项目需求，得3分；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②供应商能根据项目采购需求制订实施进度</w:t>
            </w:r>
            <w:r>
              <w:rPr>
                <w:rFonts w:hint="eastAsia" w:ascii="宋体" w:hAnsi="宋体" w:cs="宋体"/>
                <w:color w:val="auto"/>
                <w:szCs w:val="21"/>
                <w:lang w:eastAsia="zh-CN"/>
              </w:rPr>
              <w:t>方案、</w:t>
            </w:r>
            <w:r>
              <w:rPr>
                <w:rFonts w:hint="eastAsia" w:ascii="宋体" w:hAnsi="宋体" w:cs="宋体"/>
                <w:color w:val="auto"/>
                <w:szCs w:val="21"/>
              </w:rPr>
              <w:t>计划安排详细、具体；保证实施周期的管理措施；项目实施组织机构的工作任务及职责分工明确；项目实施过程有正确的管理方式、项目实施质量控制措施得当，得6分；</w:t>
            </w:r>
          </w:p>
          <w:p>
            <w:pPr>
              <w:spacing w:line="400" w:lineRule="exact"/>
              <w:ind w:firstLine="420" w:firstLineChars="200"/>
              <w:rPr>
                <w:rFonts w:ascii="宋体" w:hAnsi="宋体" w:cs="宋体"/>
                <w:color w:val="auto"/>
                <w:szCs w:val="21"/>
              </w:rPr>
            </w:pPr>
            <w:r>
              <w:rPr>
                <w:rFonts w:hint="eastAsia" w:ascii="宋体" w:hAnsi="宋体" w:cs="宋体"/>
                <w:color w:val="auto"/>
                <w:szCs w:val="21"/>
              </w:rPr>
              <w:t>③在本项②基础上，项目实施过程有针对基于通信迁移的集成开发服务内容的进度计</w:t>
            </w:r>
            <w:r>
              <w:rPr>
                <w:rFonts w:hint="eastAsia" w:ascii="宋体" w:hAnsi="宋体" w:cs="宋体"/>
                <w:color w:val="auto"/>
                <w:szCs w:val="21"/>
              </w:rPr>
              <w:t>划表及进度保障措施、拟采取的技术手段、测试方案；有针对性地提出有效优化建议，得9分。</w:t>
            </w:r>
          </w:p>
          <w:p>
            <w:pPr>
              <w:spacing w:line="400" w:lineRule="exact"/>
              <w:rPr>
                <w:rFonts w:asciiTheme="minorEastAsia" w:hAnsiTheme="minorEastAsia" w:eastAsiaTheme="minorEastAsia" w:cstheme="minorEastAsia"/>
                <w:b/>
                <w:color w:val="auto"/>
                <w:szCs w:val="21"/>
              </w:rPr>
            </w:pPr>
            <w:r>
              <w:rPr>
                <w:rFonts w:hint="eastAsia" w:ascii="宋体" w:hAnsi="宋体" w:cs="宋体"/>
                <w:b/>
                <w:bCs/>
                <w:color w:val="auto"/>
                <w:szCs w:val="21"/>
              </w:rPr>
              <w:t>注：未提供实施方案或实施方案未达到①标准要求的，得0分。</w:t>
            </w:r>
          </w:p>
        </w:tc>
        <w:tc>
          <w:tcPr>
            <w:tcW w:w="781" w:type="dxa"/>
            <w:vAlign w:val="center"/>
          </w:tcPr>
          <w:p>
            <w:pPr>
              <w:widowControl/>
              <w:spacing w:line="400" w:lineRule="exact"/>
              <w:jc w:val="center"/>
              <w:rPr>
                <w:rFonts w:asciiTheme="minorEastAsia" w:hAnsiTheme="minorEastAsia" w:eastAsiaTheme="minorEastAsia" w:cstheme="minorEastAsia"/>
                <w:color w:val="auto"/>
                <w:kern w:val="0"/>
                <w:szCs w:val="21"/>
              </w:rPr>
            </w:pPr>
            <w:r>
              <w:rPr>
                <w:rFonts w:hint="eastAsia" w:ascii="宋体" w:hAnsi="宋体" w:cs="宋体"/>
                <w:bCs/>
                <w:color w:val="auto"/>
                <w:kern w:val="0"/>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vAlign w:val="center"/>
          </w:tcPr>
          <w:p>
            <w:pPr>
              <w:widowControl/>
              <w:spacing w:line="400" w:lineRule="exact"/>
              <w:jc w:val="center"/>
              <w:rPr>
                <w:rFonts w:asciiTheme="minorEastAsia" w:hAnsiTheme="minorEastAsia" w:eastAsiaTheme="minorEastAsia" w:cstheme="minorEastAsia"/>
                <w:b/>
                <w:bCs/>
                <w:color w:val="auto"/>
                <w:kern w:val="0"/>
                <w:szCs w:val="21"/>
              </w:rPr>
            </w:pPr>
          </w:p>
        </w:tc>
        <w:tc>
          <w:tcPr>
            <w:tcW w:w="1115" w:type="dxa"/>
            <w:vAlign w:val="center"/>
          </w:tcPr>
          <w:p>
            <w:pPr>
              <w:spacing w:line="400" w:lineRule="exact"/>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售后服务方案</w:t>
            </w:r>
          </w:p>
          <w:p>
            <w:pPr>
              <w:pStyle w:val="17"/>
              <w:spacing w:after="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（6分）</w:t>
            </w:r>
          </w:p>
        </w:tc>
        <w:tc>
          <w:tcPr>
            <w:tcW w:w="6187" w:type="dxa"/>
          </w:tcPr>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由磋商小组根据</w:t>
            </w:r>
            <w:r>
              <w:rPr>
                <w:rFonts w:hint="eastAsia" w:asciiTheme="minorEastAsia" w:hAnsiTheme="minorEastAsia" w:eastAsiaTheme="minorEastAsia" w:cstheme="minorEastAsia"/>
                <w:color w:val="auto"/>
                <w:szCs w:val="21"/>
                <w:highlight w:val="none"/>
              </w:rPr>
              <w:t>项目采购需求及供应商提供的售后服务方案（包括售后技术支持服务，系统稳定保障措施包括系统巡检、升级、现场故障检测及修复</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质量保证期</w:t>
            </w:r>
            <w:r>
              <w:rPr>
                <w:rFonts w:hint="eastAsia" w:asciiTheme="minorEastAsia" w:hAnsiTheme="minorEastAsia" w:eastAsiaTheme="minorEastAsia" w:cstheme="minorEastAsia"/>
                <w:color w:val="auto"/>
                <w:szCs w:val="21"/>
                <w:highlight w:val="none"/>
              </w:rPr>
              <w:t>等）进行</w:t>
            </w:r>
            <w:r>
              <w:rPr>
                <w:rFonts w:hint="eastAsia" w:ascii="宋体" w:hAnsi="宋体" w:cs="宋体"/>
                <w:color w:val="auto"/>
                <w:szCs w:val="21"/>
                <w:highlight w:val="none"/>
              </w:rPr>
              <w:t>评审</w:t>
            </w:r>
            <w:r>
              <w:rPr>
                <w:rFonts w:hint="eastAsia" w:ascii="宋体" w:hAnsi="宋体" w:cs="宋体"/>
                <w:color w:val="auto"/>
                <w:szCs w:val="21"/>
                <w:highlight w:val="none"/>
                <w:lang w:eastAsia="zh-CN"/>
              </w:rPr>
              <w:t>。</w:t>
            </w:r>
            <w:r>
              <w:rPr>
                <w:rFonts w:hint="eastAsia" w:asciiTheme="minorEastAsia" w:hAnsiTheme="minorEastAsia" w:eastAsiaTheme="minorEastAsia" w:cstheme="minorEastAsia"/>
                <w:color w:val="auto"/>
                <w:szCs w:val="21"/>
                <w:highlight w:val="none"/>
              </w:rPr>
              <w:t>以下各项不重复计分：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①供应商提供的售后服务方案较完整，有一定的可操作性，承诺的售后服务完全响应项目需求，即：设立7×24小时响应服务热线、响应及解决时限、质</w:t>
            </w:r>
            <w:r>
              <w:rPr>
                <w:rFonts w:hint="eastAsia" w:asciiTheme="minorEastAsia" w:hAnsiTheme="minorEastAsia" w:eastAsiaTheme="minorEastAsia" w:cstheme="minorEastAsia"/>
                <w:color w:val="auto"/>
                <w:szCs w:val="21"/>
                <w:highlight w:val="none"/>
                <w:lang w:val="en-US" w:eastAsia="zh-CN"/>
              </w:rPr>
              <w:t>量</w:t>
            </w:r>
            <w:r>
              <w:rPr>
                <w:rFonts w:hint="eastAsia" w:asciiTheme="minorEastAsia" w:hAnsiTheme="minorEastAsia" w:eastAsiaTheme="minorEastAsia" w:cstheme="minorEastAsia"/>
                <w:color w:val="auto"/>
                <w:szCs w:val="21"/>
                <w:highlight w:val="none"/>
              </w:rPr>
              <w:t>保</w:t>
            </w:r>
            <w:r>
              <w:rPr>
                <w:rFonts w:hint="eastAsia" w:asciiTheme="minorEastAsia" w:hAnsiTheme="minorEastAsia" w:eastAsiaTheme="minorEastAsia" w:cstheme="minorEastAsia"/>
                <w:color w:val="auto"/>
                <w:szCs w:val="21"/>
                <w:highlight w:val="none"/>
                <w:lang w:val="en-US" w:eastAsia="zh-CN"/>
              </w:rPr>
              <w:t>证</w:t>
            </w:r>
            <w:r>
              <w:rPr>
                <w:rFonts w:hint="eastAsia" w:asciiTheme="minorEastAsia" w:hAnsiTheme="minorEastAsia" w:eastAsiaTheme="minorEastAsia" w:cstheme="minorEastAsia"/>
                <w:color w:val="auto"/>
                <w:szCs w:val="21"/>
                <w:highlight w:val="none"/>
              </w:rPr>
              <w:t>期、服务方式满足项目采购需求提出的售后服务要求，得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w:t>
            </w:r>
            <w:r>
              <w:rPr>
                <w:rFonts w:hint="eastAsia" w:ascii="宋体" w:hAnsi="宋体" w:cs="宋体"/>
                <w:color w:val="auto"/>
                <w:szCs w:val="21"/>
                <w:highlight w:val="none"/>
              </w:rPr>
              <w:t>在本项①基础上，</w:t>
            </w:r>
            <w:r>
              <w:rPr>
                <w:rFonts w:hint="eastAsia" w:asciiTheme="minorEastAsia" w:hAnsiTheme="minorEastAsia" w:eastAsiaTheme="minorEastAsia" w:cstheme="minorEastAsia"/>
                <w:color w:val="auto"/>
                <w:szCs w:val="21"/>
                <w:highlight w:val="none"/>
              </w:rPr>
              <w:t>供应商提供全面</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完善的售后技术支持服务</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有</w:t>
            </w:r>
            <w:r>
              <w:rPr>
                <w:rFonts w:hint="eastAsia" w:asciiTheme="minorEastAsia" w:hAnsiTheme="minorEastAsia" w:eastAsiaTheme="minorEastAsia" w:cstheme="minorEastAsia"/>
                <w:color w:val="auto"/>
                <w:szCs w:val="21"/>
                <w:highlight w:val="none"/>
              </w:rPr>
              <w:t>包括系统巡检、升级（包含业务规范调整的系统更新）</w:t>
            </w:r>
            <w:r>
              <w:rPr>
                <w:rFonts w:hint="eastAsia" w:asciiTheme="minorEastAsia" w:hAnsiTheme="minorEastAsia" w:eastAsiaTheme="minorEastAsia" w:cstheme="minorEastAsia"/>
                <w:color w:val="auto"/>
                <w:szCs w:val="21"/>
                <w:highlight w:val="none"/>
                <w:lang w:eastAsia="zh-CN"/>
              </w:rPr>
              <w:t>等保证</w:t>
            </w:r>
            <w:r>
              <w:rPr>
                <w:rFonts w:hint="eastAsia" w:asciiTheme="minorEastAsia" w:hAnsiTheme="minorEastAsia" w:eastAsiaTheme="minorEastAsia" w:cstheme="minorEastAsia"/>
                <w:color w:val="auto"/>
                <w:szCs w:val="21"/>
                <w:highlight w:val="none"/>
                <w:lang w:val="en-US" w:eastAsia="zh-CN"/>
              </w:rPr>
              <w:t>系统</w:t>
            </w:r>
            <w:r>
              <w:rPr>
                <w:rFonts w:hint="eastAsia" w:asciiTheme="minorEastAsia" w:hAnsiTheme="minorEastAsia" w:eastAsiaTheme="minorEastAsia" w:cstheme="minorEastAsia"/>
                <w:color w:val="auto"/>
                <w:szCs w:val="21"/>
                <w:highlight w:val="none"/>
              </w:rPr>
              <w:t>稳定</w:t>
            </w:r>
            <w:r>
              <w:rPr>
                <w:rFonts w:hint="eastAsia" w:asciiTheme="minorEastAsia" w:hAnsiTheme="minorEastAsia" w:eastAsia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保障措施，得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③在本项②基础上，供应商提供的售后服务方案，有明确的服务团队组织架构、应急联系人员、服务流程、应急预案，</w:t>
            </w:r>
            <w:r>
              <w:rPr>
                <w:rFonts w:hint="eastAsia" w:asciiTheme="minorEastAsia" w:hAnsiTheme="minorEastAsia" w:eastAsiaTheme="minorEastAsia" w:cstheme="minorEastAsia"/>
                <w:color w:val="auto"/>
                <w:szCs w:val="21"/>
                <w:highlight w:val="none"/>
                <w:lang w:val="en-US" w:eastAsia="zh-CN"/>
              </w:rPr>
              <w:t>故障报告文档齐全</w:t>
            </w:r>
            <w:r>
              <w:rPr>
                <w:rFonts w:hint="eastAsia" w:asciiTheme="minorEastAsia" w:hAnsiTheme="minorEastAsia" w:eastAsiaTheme="minorEastAsia" w:cstheme="minorEastAsia"/>
                <w:color w:val="auto"/>
                <w:szCs w:val="21"/>
                <w:highlight w:val="none"/>
              </w:rPr>
              <w:t>，得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pPr>
              <w:pStyle w:val="17"/>
              <w:spacing w:after="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注：未提供售后服务方案或售后服务方案未达到①标准要求的，得0分。</w:t>
            </w:r>
          </w:p>
        </w:tc>
        <w:tc>
          <w:tcPr>
            <w:tcW w:w="781" w:type="dxa"/>
            <w:vAlign w:val="center"/>
          </w:tcPr>
          <w:p>
            <w:pPr>
              <w:spacing w:line="40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vAlign w:val="center"/>
          </w:tcPr>
          <w:p>
            <w:pPr>
              <w:widowControl/>
              <w:spacing w:line="400" w:lineRule="exact"/>
              <w:jc w:val="center"/>
              <w:rPr>
                <w:rFonts w:asciiTheme="minorEastAsia" w:hAnsiTheme="minorEastAsia" w:eastAsiaTheme="minorEastAsia" w:cstheme="minorEastAsia"/>
                <w:b/>
                <w:bCs/>
                <w:color w:val="auto"/>
                <w:kern w:val="0"/>
                <w:szCs w:val="21"/>
              </w:rPr>
            </w:pPr>
          </w:p>
        </w:tc>
        <w:tc>
          <w:tcPr>
            <w:tcW w:w="1115" w:type="dxa"/>
            <w:vAlign w:val="center"/>
          </w:tcPr>
          <w:p>
            <w:pPr>
              <w:widowControl/>
              <w:spacing w:line="400" w:lineRule="exact"/>
              <w:jc w:val="center"/>
              <w:rPr>
                <w:rFonts w:asciiTheme="minorEastAsia" w:hAnsiTheme="minorEastAsia" w:eastAsiaTheme="minorEastAsia" w:cstheme="minorEastAsia"/>
                <w:color w:val="auto"/>
                <w:szCs w:val="21"/>
              </w:rPr>
            </w:pPr>
            <w:r>
              <w:rPr>
                <w:rFonts w:hint="eastAsia" w:ascii="宋体" w:hAnsi="宋体" w:cs="宋体"/>
                <w:color w:val="auto"/>
                <w:szCs w:val="21"/>
              </w:rPr>
              <w:t>验收方案（6分）</w:t>
            </w:r>
          </w:p>
        </w:tc>
        <w:tc>
          <w:tcPr>
            <w:tcW w:w="6187" w:type="dxa"/>
          </w:tcPr>
          <w:p>
            <w:pPr>
              <w:pStyle w:val="17"/>
              <w:spacing w:after="0" w:line="400" w:lineRule="exact"/>
              <w:ind w:firstLine="420" w:firstLineChars="200"/>
              <w:rPr>
                <w:rFonts w:ascii="宋体" w:hAnsi="宋体" w:cs="宋体"/>
                <w:b/>
                <w:color w:val="auto"/>
                <w:szCs w:val="21"/>
              </w:rPr>
            </w:pPr>
            <w:r>
              <w:rPr>
                <w:rFonts w:hint="eastAsia" w:ascii="宋体" w:hAnsi="宋体" w:cs="宋体"/>
                <w:bCs/>
                <w:color w:val="auto"/>
                <w:szCs w:val="21"/>
              </w:rPr>
              <w:t>由磋商小组根据</w:t>
            </w:r>
            <w:r>
              <w:rPr>
                <w:rFonts w:hint="eastAsia" w:ascii="宋体" w:hAnsi="宋体" w:cs="宋体"/>
                <w:color w:val="auto"/>
                <w:szCs w:val="21"/>
              </w:rPr>
              <w:t>响应文件中</w:t>
            </w:r>
            <w:r>
              <w:rPr>
                <w:rFonts w:hint="eastAsia" w:ascii="宋体" w:hAnsi="宋体" w:cs="宋体"/>
                <w:bCs/>
                <w:color w:val="auto"/>
                <w:szCs w:val="21"/>
              </w:rPr>
              <w:t>的验收方案，从验收流程及标准、验收中出现问题的解决办法和补救措施等内容、验收交付物等描述进行评</w:t>
            </w:r>
            <w:r>
              <w:rPr>
                <w:rFonts w:hint="eastAsia" w:ascii="宋体" w:hAnsi="宋体" w:cs="宋体"/>
                <w:bCs/>
                <w:color w:val="auto"/>
                <w:szCs w:val="21"/>
                <w:lang w:eastAsia="zh-CN"/>
              </w:rPr>
              <w:t>审。</w:t>
            </w:r>
            <w:r>
              <w:rPr>
                <w:rFonts w:hint="eastAsia" w:ascii="宋体" w:hAnsi="宋体" w:cs="宋体"/>
                <w:bCs/>
                <w:color w:val="auto"/>
                <w:szCs w:val="21"/>
              </w:rPr>
              <w:t>以下各项不重复计分：</w:t>
            </w:r>
          </w:p>
          <w:p>
            <w:pPr>
              <w:pStyle w:val="17"/>
              <w:spacing w:after="0" w:line="400" w:lineRule="exact"/>
              <w:ind w:firstLine="420" w:firstLineChars="200"/>
              <w:rPr>
                <w:rFonts w:ascii="宋体" w:hAnsi="宋体" w:cs="宋体"/>
                <w:bCs/>
                <w:color w:val="auto"/>
                <w:szCs w:val="21"/>
              </w:rPr>
            </w:pPr>
            <w:r>
              <w:rPr>
                <w:rFonts w:hint="eastAsia" w:ascii="宋体" w:hAnsi="宋体" w:cs="宋体"/>
                <w:bCs/>
                <w:color w:val="auto"/>
                <w:szCs w:val="21"/>
              </w:rPr>
              <w:t>①供应商提供有符合采购需求要求的验收方案，对验收流程及标准有描述，能够满足采购需求得 2 分；</w:t>
            </w:r>
          </w:p>
          <w:p>
            <w:pPr>
              <w:pStyle w:val="17"/>
              <w:spacing w:after="0" w:line="400" w:lineRule="exact"/>
              <w:ind w:firstLine="420" w:firstLineChars="200"/>
              <w:rPr>
                <w:rFonts w:ascii="宋体" w:hAnsi="宋体" w:cs="宋体"/>
                <w:bCs/>
                <w:color w:val="auto"/>
                <w:szCs w:val="21"/>
              </w:rPr>
            </w:pPr>
            <w:r>
              <w:rPr>
                <w:rFonts w:hint="eastAsia" w:ascii="宋体" w:hAnsi="宋体" w:cs="宋体"/>
                <w:bCs/>
                <w:color w:val="auto"/>
                <w:szCs w:val="21"/>
              </w:rPr>
              <w:t>②在本项①基础上，供应商能根据项目采购需求制定并能优化项目验收流程，制订有较完善的验收标准，各流程的验收文档（如项目实施工作总结和技术报告、项目成果、重要数据和技术资料、测试报告等）输出时间有明确计划时限，得</w:t>
            </w:r>
            <w:r>
              <w:rPr>
                <w:rFonts w:hint="eastAsia" w:ascii="宋体" w:hAnsi="宋体" w:cs="宋体"/>
                <w:bCs/>
                <w:color w:val="auto"/>
                <w:szCs w:val="21"/>
                <w:lang w:val="en-US" w:eastAsia="zh-CN"/>
              </w:rPr>
              <w:t>4</w:t>
            </w:r>
            <w:r>
              <w:rPr>
                <w:rFonts w:hint="eastAsia" w:ascii="宋体" w:hAnsi="宋体" w:cs="宋体"/>
                <w:bCs/>
                <w:color w:val="auto"/>
                <w:szCs w:val="21"/>
              </w:rPr>
              <w:t>分；</w:t>
            </w:r>
          </w:p>
          <w:p>
            <w:pPr>
              <w:pStyle w:val="17"/>
              <w:spacing w:after="0" w:line="400" w:lineRule="exact"/>
              <w:ind w:firstLine="420" w:firstLineChars="200"/>
              <w:rPr>
                <w:rFonts w:ascii="宋体" w:hAnsi="宋体" w:cs="宋体"/>
                <w:bCs/>
                <w:color w:val="auto"/>
                <w:szCs w:val="21"/>
              </w:rPr>
            </w:pPr>
            <w:r>
              <w:rPr>
                <w:rFonts w:hint="eastAsia" w:ascii="宋体" w:hAnsi="宋体" w:cs="宋体"/>
                <w:bCs/>
                <w:color w:val="auto"/>
                <w:szCs w:val="21"/>
              </w:rPr>
              <w:t>③在本项②基础上，提出完整、详细、量化的验收标准，有详细的验收考核管理制度的，得</w:t>
            </w:r>
            <w:r>
              <w:rPr>
                <w:rFonts w:hint="eastAsia" w:ascii="宋体" w:hAnsi="宋体" w:cs="宋体"/>
                <w:bCs/>
                <w:color w:val="auto"/>
                <w:szCs w:val="21"/>
                <w:lang w:val="en-US" w:eastAsia="zh-CN"/>
              </w:rPr>
              <w:t>6</w:t>
            </w:r>
            <w:r>
              <w:rPr>
                <w:rFonts w:hint="eastAsia" w:ascii="宋体" w:hAnsi="宋体" w:cs="宋体"/>
                <w:bCs/>
                <w:color w:val="auto"/>
                <w:szCs w:val="21"/>
              </w:rPr>
              <w:t>分。</w:t>
            </w:r>
          </w:p>
          <w:p>
            <w:pPr>
              <w:pStyle w:val="17"/>
              <w:spacing w:after="0" w:line="400" w:lineRule="exact"/>
              <w:rPr>
                <w:rFonts w:asciiTheme="minorEastAsia" w:hAnsiTheme="minorEastAsia" w:eastAsiaTheme="minorEastAsia" w:cstheme="minorEastAsia"/>
                <w:b/>
                <w:bCs/>
                <w:color w:val="auto"/>
                <w:szCs w:val="21"/>
              </w:rPr>
            </w:pPr>
            <w:r>
              <w:rPr>
                <w:rFonts w:hint="eastAsia" w:ascii="宋体" w:hAnsi="宋体" w:cs="宋体"/>
                <w:b/>
                <w:color w:val="auto"/>
                <w:szCs w:val="21"/>
              </w:rPr>
              <w:t>未提供验收方案或验收方案未达到①标准要求的，得 0 分。</w:t>
            </w:r>
          </w:p>
        </w:tc>
        <w:tc>
          <w:tcPr>
            <w:tcW w:w="781" w:type="dxa"/>
            <w:vAlign w:val="center"/>
          </w:tcPr>
          <w:p>
            <w:pPr>
              <w:widowControl/>
              <w:spacing w:line="400" w:lineRule="exact"/>
              <w:jc w:val="center"/>
              <w:rPr>
                <w:rFonts w:asciiTheme="minorEastAsia" w:hAnsiTheme="minorEastAsia" w:eastAsiaTheme="minorEastAsia" w:cstheme="minorEastAsia"/>
                <w:bCs/>
                <w:color w:val="auto"/>
                <w:szCs w:val="21"/>
              </w:rPr>
            </w:pPr>
            <w:r>
              <w:rPr>
                <w:rFonts w:hint="eastAsia" w:ascii="宋体" w:hAnsi="宋体" w:cs="宋体"/>
                <w:bCs/>
                <w:color w:val="auto"/>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0" w:type="dxa"/>
            <w:gridSpan w:val="3"/>
            <w:vAlign w:val="center"/>
          </w:tcPr>
          <w:p>
            <w:pPr>
              <w:widowControl/>
              <w:spacing w:line="400" w:lineRule="exact"/>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bCs/>
                <w:color w:val="auto"/>
                <w:szCs w:val="21"/>
              </w:rPr>
              <w:t>总得分=</w:t>
            </w:r>
            <w:r>
              <w:rPr>
                <w:rFonts w:hint="eastAsia" w:asciiTheme="minorEastAsia" w:hAnsiTheme="minorEastAsia" w:eastAsiaTheme="minorEastAsia" w:cstheme="minorEastAsia"/>
                <w:b/>
                <w:bCs/>
                <w:color w:val="auto"/>
                <w:szCs w:val="21"/>
                <w:lang w:eastAsia="zh-CN"/>
              </w:rPr>
              <w:t>报价</w:t>
            </w:r>
            <w:r>
              <w:rPr>
                <w:rFonts w:hint="eastAsia" w:asciiTheme="minorEastAsia" w:hAnsiTheme="minorEastAsia" w:eastAsiaTheme="minorEastAsia" w:cstheme="minorEastAsia"/>
                <w:b/>
                <w:bCs/>
                <w:color w:val="auto"/>
                <w:szCs w:val="21"/>
              </w:rPr>
              <w:t>分+履约能力分+技术或者服务水平分</w:t>
            </w:r>
            <w:r>
              <w:rPr>
                <w:rFonts w:hint="eastAsia" w:asciiTheme="minorEastAsia" w:hAnsiTheme="minorEastAsia" w:eastAsiaTheme="minorEastAsia" w:cstheme="minorEastAsia"/>
                <w:b/>
                <w:color w:val="auto"/>
                <w:szCs w:val="21"/>
              </w:rPr>
              <w:t>（各项评分分值计算保留小数点后两位，小数点后第三位“四舍五入”）</w:t>
            </w:r>
          </w:p>
        </w:tc>
        <w:tc>
          <w:tcPr>
            <w:tcW w:w="781" w:type="dxa"/>
          </w:tcPr>
          <w:p>
            <w:pPr>
              <w:widowControl/>
              <w:spacing w:line="400" w:lineRule="exac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Cs/>
                <w:color w:val="auto"/>
                <w:kern w:val="0"/>
                <w:szCs w:val="21"/>
              </w:rPr>
              <w:t>100分</w:t>
            </w:r>
          </w:p>
        </w:tc>
      </w:tr>
    </w:tbl>
    <w:p>
      <w:pPr>
        <w:rPr>
          <w:rFonts w:asciiTheme="minorEastAsia" w:hAnsiTheme="minorEastAsia" w:eastAsiaTheme="minorEastAsia" w:cstheme="minorEastAsia"/>
          <w:bCs/>
          <w:color w:val="auto"/>
          <w:szCs w:val="21"/>
        </w:rPr>
      </w:pPr>
    </w:p>
    <w:p>
      <w:pPr>
        <w:pStyle w:val="22"/>
        <w:spacing w:line="360" w:lineRule="auto"/>
        <w:ind w:firstLine="422" w:firstLineChars="200"/>
        <w:jc w:val="left"/>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三、成交候选供应商推荐原则</w:t>
      </w:r>
    </w:p>
    <w:p>
      <w:pPr>
        <w:pStyle w:val="22"/>
        <w:spacing w:line="440" w:lineRule="exact"/>
        <w:ind w:firstLine="420" w:firstLineChars="20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磋商小组将根据</w:t>
      </w:r>
      <w:r>
        <w:rPr>
          <w:rFonts w:hint="eastAsia" w:asciiTheme="minorEastAsia" w:hAnsiTheme="minorEastAsia" w:eastAsiaTheme="minorEastAsia" w:cstheme="minorEastAsia"/>
          <w:bCs/>
          <w:color w:val="auto"/>
          <w:sz w:val="21"/>
          <w:szCs w:val="21"/>
          <w:lang w:eastAsia="zh-CN"/>
        </w:rPr>
        <w:t>总</w:t>
      </w:r>
      <w:r>
        <w:rPr>
          <w:rFonts w:hint="eastAsia" w:asciiTheme="minorEastAsia" w:hAnsiTheme="minorEastAsia" w:eastAsiaTheme="minorEastAsia" w:cstheme="minorEastAsia"/>
          <w:bCs/>
          <w:color w:val="auto"/>
          <w:sz w:val="21"/>
          <w:szCs w:val="21"/>
        </w:rPr>
        <w:t>得分由高到低排列次序（</w:t>
      </w:r>
      <w:r>
        <w:rPr>
          <w:rFonts w:hint="eastAsia" w:asciiTheme="minorEastAsia" w:hAnsiTheme="minorEastAsia" w:eastAsiaTheme="minorEastAsia" w:cstheme="minorEastAsia"/>
          <w:bCs/>
          <w:color w:val="auto"/>
          <w:sz w:val="21"/>
          <w:szCs w:val="21"/>
          <w:lang w:eastAsia="zh-CN"/>
        </w:rPr>
        <w:t>总</w:t>
      </w:r>
      <w:r>
        <w:rPr>
          <w:rFonts w:hint="eastAsia" w:asciiTheme="minorEastAsia" w:hAnsiTheme="minorEastAsia" w:eastAsiaTheme="minorEastAsia" w:cstheme="minorEastAsia"/>
          <w:bCs/>
          <w:color w:val="auto"/>
          <w:sz w:val="21"/>
          <w:szCs w:val="21"/>
        </w:rPr>
        <w:t>得分相同时，以最后报价由低到高顺序排列；</w:t>
      </w:r>
      <w:r>
        <w:rPr>
          <w:rFonts w:hint="eastAsia" w:asciiTheme="minorEastAsia" w:hAnsiTheme="minorEastAsia" w:eastAsiaTheme="minorEastAsia" w:cstheme="minorEastAsia"/>
          <w:bCs/>
          <w:color w:val="auto"/>
          <w:sz w:val="21"/>
          <w:szCs w:val="21"/>
          <w:lang w:eastAsia="zh-CN"/>
        </w:rPr>
        <w:t>总</w:t>
      </w:r>
      <w:r>
        <w:rPr>
          <w:rFonts w:hint="eastAsia" w:asciiTheme="minorEastAsia" w:hAnsiTheme="minorEastAsia" w:eastAsiaTheme="minorEastAsia" w:cstheme="minorEastAsia"/>
          <w:bCs/>
          <w:color w:val="auto"/>
          <w:sz w:val="21"/>
          <w:szCs w:val="21"/>
        </w:rPr>
        <w:t>得分相同且最后报价相同的，按技术指标优劣顺序排列）并推荐3名成交候选供应商。采购人应当确定磋商小组推荐排名第一的成交候选供应商为成交供应商。排名第一的成交候选供应商放弃成交、因不可抗力提出不能履行合同，或者磋商文件规定应当提交履约保证金而在规定的期限内未能提交的，采购人可以确定排名第二的成交候选供应商为成家供应商。</w:t>
      </w:r>
      <w:r>
        <w:rPr>
          <w:rFonts w:hint="eastAsia" w:asciiTheme="minorEastAsia" w:hAnsiTheme="minorEastAsia" w:eastAsiaTheme="minorEastAsia" w:cstheme="minorEastAsia"/>
          <w:color w:val="auto"/>
          <w:sz w:val="21"/>
          <w:szCs w:val="21"/>
        </w:rPr>
        <w:t>其余以此类推。</w:t>
      </w:r>
      <w:r>
        <w:rPr>
          <w:rFonts w:hint="eastAsia" w:asciiTheme="minorEastAsia" w:hAnsiTheme="minorEastAsia" w:eastAsiaTheme="minorEastAsia" w:cstheme="minorEastAsia"/>
          <w:bCs/>
          <w:color w:val="auto"/>
          <w:sz w:val="21"/>
          <w:szCs w:val="21"/>
        </w:rPr>
        <w:t>采购人也可以决定重新开展采购活动。</w:t>
      </w:r>
    </w:p>
    <w:p>
      <w:pPr>
        <w:pStyle w:val="22"/>
        <w:spacing w:line="360" w:lineRule="auto"/>
        <w:ind w:firstLine="422" w:firstLineChars="200"/>
        <w:jc w:val="left"/>
        <w:rPr>
          <w:rFonts w:asciiTheme="minorEastAsia" w:hAnsiTheme="minorEastAsia" w:eastAsiaTheme="minorEastAsia" w:cstheme="minorEastAsia"/>
          <w:b/>
          <w:bCs/>
          <w:color w:val="auto"/>
          <w:sz w:val="21"/>
          <w:szCs w:val="21"/>
        </w:rPr>
      </w:pPr>
    </w:p>
    <w:p>
      <w:pPr>
        <w:pStyle w:val="22"/>
        <w:spacing w:line="360" w:lineRule="auto"/>
        <w:ind w:firstLine="422" w:firstLineChars="200"/>
        <w:jc w:val="left"/>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四、特别说明</w:t>
      </w:r>
    </w:p>
    <w:p>
      <w:pPr>
        <w:pStyle w:val="22"/>
        <w:spacing w:line="360" w:lineRule="auto"/>
        <w:ind w:firstLine="420" w:firstLineChars="200"/>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磋商小组认为供应商的最后响应报价明显低于其他通过符合性审查供应商的响应报价，有可能影响产品（或服务）质量或者不能诚信履约的，应当要求其在评审现场合理的时间内提供书面说明，必要时提交相关证明材料；供应商不能证明其响应报价合理性的，磋商小组应当将其作为无效响应处理。</w:t>
      </w:r>
    </w:p>
    <w:p>
      <w:pPr>
        <w:spacing w:line="360" w:lineRule="auto"/>
        <w:jc w:val="center"/>
        <w:outlineLvl w:val="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bookmarkStart w:id="64" w:name="_Toc26773"/>
    </w:p>
    <w:p>
      <w:pPr>
        <w:spacing w:line="360" w:lineRule="auto"/>
        <w:jc w:val="center"/>
        <w:outlineLvl w:val="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第四章 合同草案条款</w:t>
      </w:r>
      <w:bookmarkEnd w:id="64"/>
    </w:p>
    <w:p>
      <w:pPr>
        <w:pStyle w:val="22"/>
        <w:rPr>
          <w:rFonts w:hAnsi="宋体"/>
          <w:color w:val="auto"/>
          <w:sz w:val="30"/>
          <w:szCs w:val="30"/>
        </w:rPr>
      </w:pPr>
      <w:r>
        <w:rPr>
          <w:rFonts w:hint="eastAsia" w:hAnsi="宋体"/>
          <w:color w:val="auto"/>
          <w:sz w:val="30"/>
          <w:szCs w:val="30"/>
        </w:rPr>
        <w:t>（合同封面）</w:t>
      </w:r>
      <w:r>
        <w:rPr>
          <w:rFonts w:hAnsi="宋体"/>
          <w:color w:val="auto"/>
          <w:sz w:val="30"/>
          <w:szCs w:val="30"/>
        </w:rPr>
        <w:t xml:space="preserve">  </w:t>
      </w:r>
      <w:r>
        <w:rPr>
          <w:rFonts w:hint="eastAsia" w:hAnsi="宋体"/>
          <w:color w:val="auto"/>
          <w:sz w:val="30"/>
          <w:szCs w:val="30"/>
        </w:rPr>
        <w:t xml:space="preserve">                </w:t>
      </w:r>
      <w:r>
        <w:rPr>
          <w:rFonts w:hAnsi="宋体"/>
          <w:color w:val="auto"/>
          <w:sz w:val="30"/>
          <w:szCs w:val="30"/>
        </w:rPr>
        <w:t xml:space="preserve"> </w:t>
      </w:r>
      <w:r>
        <w:rPr>
          <w:rFonts w:hint="eastAsia" w:hAnsi="宋体"/>
          <w:color w:val="auto"/>
          <w:sz w:val="30"/>
          <w:szCs w:val="30"/>
        </w:rPr>
        <w:t xml:space="preserve">    中小企业预留合同：□是 </w:t>
      </w:r>
      <w:r>
        <w:rPr>
          <w:rFonts w:hint="eastAsia" w:hAnsi="宋体"/>
          <w:color w:val="auto"/>
          <w:sz w:val="30"/>
          <w:szCs w:val="30"/>
        </w:rPr>
        <w:sym w:font="Wingdings 2" w:char="0052"/>
      </w:r>
      <w:r>
        <w:rPr>
          <w:rFonts w:hint="eastAsia" w:hAnsi="宋体"/>
          <w:color w:val="auto"/>
          <w:sz w:val="30"/>
          <w:szCs w:val="30"/>
        </w:rPr>
        <w:t>否</w:t>
      </w:r>
      <w:r>
        <w:rPr>
          <w:rFonts w:hAnsi="宋体"/>
          <w:color w:val="auto"/>
          <w:sz w:val="30"/>
          <w:szCs w:val="30"/>
        </w:rPr>
        <w:t xml:space="preserve">                    </w:t>
      </w:r>
    </w:p>
    <w:p>
      <w:pPr>
        <w:pStyle w:val="22"/>
        <w:jc w:val="center"/>
        <w:rPr>
          <w:rFonts w:ascii="Times New Roman"/>
          <w:color w:val="auto"/>
        </w:rPr>
      </w:pPr>
      <w:r>
        <w:rPr>
          <w:rFonts w:hint="eastAsia" w:hAnsi="宋体"/>
          <w:color w:val="auto"/>
          <w:sz w:val="30"/>
          <w:szCs w:val="30"/>
        </w:rPr>
        <w:t xml:space="preserve">                 </w:t>
      </w:r>
      <w:r>
        <w:rPr>
          <w:rFonts w:hAnsi="宋体"/>
          <w:color w:val="auto"/>
          <w:sz w:val="30"/>
          <w:szCs w:val="30"/>
        </w:rPr>
        <w:t xml:space="preserve"> </w:t>
      </w:r>
      <w:r>
        <w:rPr>
          <w:rFonts w:hint="eastAsia" w:hAnsi="宋体"/>
          <w:color w:val="auto"/>
          <w:sz w:val="30"/>
          <w:szCs w:val="30"/>
        </w:rPr>
        <w:t xml:space="preserve">                 合  同  类  别：货  物  类</w:t>
      </w:r>
    </w:p>
    <w:p>
      <w:pPr>
        <w:pStyle w:val="22"/>
        <w:jc w:val="center"/>
        <w:rPr>
          <w:rFonts w:ascii="黑体" w:hAnsi="宋体" w:eastAsia="黑体"/>
          <w:b/>
          <w:color w:val="auto"/>
          <w:sz w:val="44"/>
          <w:szCs w:val="44"/>
        </w:rPr>
      </w:pPr>
    </w:p>
    <w:p>
      <w:pPr>
        <w:pStyle w:val="22"/>
        <w:jc w:val="center"/>
        <w:rPr>
          <w:rFonts w:ascii="黑体" w:hAnsi="宋体" w:eastAsia="黑体"/>
          <w:b/>
          <w:color w:val="auto"/>
          <w:sz w:val="44"/>
          <w:szCs w:val="44"/>
        </w:rPr>
      </w:pPr>
    </w:p>
    <w:p>
      <w:pPr>
        <w:pStyle w:val="22"/>
        <w:jc w:val="center"/>
        <w:rPr>
          <w:rFonts w:ascii="黑体" w:hAnsi="宋体" w:eastAsia="黑体"/>
          <w:b/>
          <w:color w:val="auto"/>
          <w:sz w:val="44"/>
          <w:szCs w:val="44"/>
        </w:rPr>
      </w:pPr>
      <w:r>
        <w:rPr>
          <w:rFonts w:hint="eastAsia" w:ascii="黑体" w:hAnsi="宋体" w:eastAsia="黑体"/>
          <w:b/>
          <w:color w:val="auto"/>
          <w:sz w:val="44"/>
          <w:szCs w:val="44"/>
        </w:rPr>
        <w:t>采</w:t>
      </w:r>
      <w:r>
        <w:rPr>
          <w:rFonts w:ascii="黑体" w:hAnsi="宋体" w:eastAsia="黑体"/>
          <w:b/>
          <w:color w:val="auto"/>
          <w:sz w:val="44"/>
          <w:szCs w:val="44"/>
        </w:rPr>
        <w:t xml:space="preserve"> </w:t>
      </w:r>
      <w:r>
        <w:rPr>
          <w:rFonts w:hint="eastAsia" w:ascii="黑体" w:hAnsi="宋体" w:eastAsia="黑体"/>
          <w:b/>
          <w:color w:val="auto"/>
          <w:sz w:val="44"/>
          <w:szCs w:val="44"/>
        </w:rPr>
        <w:t>购</w:t>
      </w:r>
      <w:r>
        <w:rPr>
          <w:rFonts w:ascii="黑体" w:hAnsi="宋体" w:eastAsia="黑体"/>
          <w:b/>
          <w:color w:val="auto"/>
          <w:sz w:val="44"/>
          <w:szCs w:val="44"/>
        </w:rPr>
        <w:t xml:space="preserve"> </w:t>
      </w:r>
      <w:r>
        <w:rPr>
          <w:rFonts w:hint="eastAsia" w:ascii="黑体" w:hAnsi="宋体" w:eastAsia="黑体"/>
          <w:b/>
          <w:color w:val="auto"/>
          <w:sz w:val="44"/>
          <w:szCs w:val="44"/>
        </w:rPr>
        <w:t>合</w:t>
      </w:r>
      <w:r>
        <w:rPr>
          <w:rFonts w:ascii="黑体" w:hAnsi="宋体" w:eastAsia="黑体"/>
          <w:b/>
          <w:color w:val="auto"/>
          <w:sz w:val="44"/>
          <w:szCs w:val="44"/>
        </w:rPr>
        <w:t xml:space="preserve"> </w:t>
      </w:r>
      <w:r>
        <w:rPr>
          <w:rFonts w:hint="eastAsia" w:ascii="黑体" w:hAnsi="宋体" w:eastAsia="黑体"/>
          <w:b/>
          <w:color w:val="auto"/>
          <w:sz w:val="44"/>
          <w:szCs w:val="44"/>
        </w:rPr>
        <w:t>同</w:t>
      </w:r>
    </w:p>
    <w:p>
      <w:pPr>
        <w:pStyle w:val="22"/>
        <w:ind w:firstLine="560" w:firstLineChars="200"/>
        <w:jc w:val="center"/>
        <w:rPr>
          <w:rFonts w:hAnsi="宋体"/>
          <w:color w:val="auto"/>
          <w:sz w:val="28"/>
          <w:szCs w:val="28"/>
        </w:rPr>
      </w:pPr>
    </w:p>
    <w:p>
      <w:pPr>
        <w:pStyle w:val="22"/>
        <w:ind w:firstLine="560" w:firstLineChars="200"/>
        <w:jc w:val="center"/>
        <w:rPr>
          <w:rFonts w:hAnsi="宋体"/>
          <w:color w:val="auto"/>
          <w:sz w:val="28"/>
          <w:szCs w:val="28"/>
        </w:rPr>
      </w:pPr>
      <w:r>
        <w:rPr>
          <w:rFonts w:hint="eastAsia" w:hAnsi="宋体"/>
          <w:color w:val="auto"/>
          <w:sz w:val="28"/>
          <w:szCs w:val="28"/>
        </w:rPr>
        <w:t>（年度</w:t>
      </w:r>
      <w:r>
        <w:rPr>
          <w:rFonts w:hAnsi="宋体"/>
          <w:color w:val="auto"/>
          <w:sz w:val="28"/>
          <w:szCs w:val="28"/>
          <w:u w:val="single"/>
        </w:rPr>
        <w:t xml:space="preserve">         </w:t>
      </w:r>
      <w:r>
        <w:rPr>
          <w:rFonts w:hint="eastAsia" w:hAnsi="宋体"/>
          <w:color w:val="auto"/>
          <w:sz w:val="28"/>
          <w:szCs w:val="28"/>
        </w:rPr>
        <w:t>）</w:t>
      </w:r>
    </w:p>
    <w:p>
      <w:pPr>
        <w:pStyle w:val="22"/>
        <w:ind w:firstLine="600" w:firstLineChars="200"/>
        <w:jc w:val="center"/>
        <w:rPr>
          <w:rFonts w:hAnsi="宋体"/>
          <w:color w:val="auto"/>
          <w:sz w:val="30"/>
          <w:szCs w:val="30"/>
        </w:rPr>
      </w:pPr>
    </w:p>
    <w:p>
      <w:pPr>
        <w:pStyle w:val="22"/>
        <w:ind w:firstLine="1500" w:firstLineChars="500"/>
        <w:rPr>
          <w:rFonts w:hAnsi="宋体"/>
          <w:color w:val="auto"/>
          <w:sz w:val="30"/>
          <w:szCs w:val="30"/>
        </w:rPr>
      </w:pPr>
    </w:p>
    <w:p>
      <w:pPr>
        <w:pStyle w:val="22"/>
        <w:ind w:firstLine="1500" w:firstLineChars="500"/>
        <w:rPr>
          <w:rFonts w:hAnsi="宋体"/>
          <w:color w:val="auto"/>
          <w:sz w:val="30"/>
          <w:szCs w:val="30"/>
        </w:rPr>
      </w:pPr>
      <w:r>
        <w:rPr>
          <w:rFonts w:hint="eastAsia" w:hAnsi="宋体"/>
          <w:color w:val="auto"/>
          <w:sz w:val="30"/>
          <w:szCs w:val="30"/>
        </w:rPr>
        <w:t>项目名称：</w:t>
      </w:r>
      <w:r>
        <w:rPr>
          <w:rFonts w:hAnsi="宋体"/>
          <w:color w:val="auto"/>
          <w:sz w:val="30"/>
          <w:szCs w:val="30"/>
        </w:rPr>
        <w:t xml:space="preserve"> </w:t>
      </w:r>
    </w:p>
    <w:p>
      <w:pPr>
        <w:pStyle w:val="22"/>
        <w:ind w:firstLine="1500" w:firstLineChars="500"/>
        <w:rPr>
          <w:rFonts w:hAnsi="宋体"/>
          <w:color w:val="auto"/>
          <w:sz w:val="30"/>
          <w:szCs w:val="30"/>
          <w:u w:val="single"/>
        </w:rPr>
      </w:pPr>
      <w:r>
        <w:rPr>
          <w:rFonts w:hint="eastAsia" w:hAnsi="宋体"/>
          <w:color w:val="auto"/>
          <w:sz w:val="30"/>
          <w:szCs w:val="30"/>
        </w:rPr>
        <w:t>合同编号：</w:t>
      </w:r>
    </w:p>
    <w:p>
      <w:pPr>
        <w:pStyle w:val="22"/>
        <w:ind w:firstLine="1350" w:firstLineChars="450"/>
        <w:rPr>
          <w:rFonts w:hAnsi="宋体"/>
          <w:color w:val="auto"/>
          <w:sz w:val="30"/>
          <w:szCs w:val="30"/>
          <w:u w:val="single"/>
        </w:rPr>
      </w:pPr>
    </w:p>
    <w:p>
      <w:pPr>
        <w:pStyle w:val="22"/>
        <w:ind w:firstLine="600" w:firstLineChars="200"/>
        <w:jc w:val="center"/>
        <w:rPr>
          <w:rFonts w:hAnsi="宋体"/>
          <w:color w:val="auto"/>
          <w:sz w:val="30"/>
          <w:szCs w:val="30"/>
        </w:rPr>
      </w:pPr>
    </w:p>
    <w:p>
      <w:pPr>
        <w:pStyle w:val="22"/>
        <w:ind w:firstLine="444" w:firstLineChars="148"/>
        <w:rPr>
          <w:rFonts w:hAnsi="宋体"/>
          <w:color w:val="auto"/>
          <w:sz w:val="30"/>
          <w:szCs w:val="30"/>
        </w:rPr>
      </w:pPr>
      <w:r>
        <w:rPr>
          <w:rFonts w:hint="eastAsia" w:hAnsi="宋体"/>
          <w:color w:val="auto"/>
          <w:sz w:val="30"/>
          <w:szCs w:val="30"/>
        </w:rPr>
        <w:t>甲方</w:t>
      </w:r>
      <w:r>
        <w:rPr>
          <w:rFonts w:hAnsi="宋体"/>
          <w:color w:val="auto"/>
          <w:sz w:val="30"/>
          <w:szCs w:val="30"/>
        </w:rPr>
        <w:t>(</w:t>
      </w:r>
      <w:r>
        <w:rPr>
          <w:rFonts w:hint="eastAsia" w:hAnsi="宋体"/>
          <w:color w:val="auto"/>
          <w:sz w:val="30"/>
          <w:szCs w:val="30"/>
        </w:rPr>
        <w:t>采购人名称</w:t>
      </w:r>
      <w:r>
        <w:rPr>
          <w:rFonts w:hAnsi="宋体"/>
          <w:color w:val="auto"/>
          <w:sz w:val="30"/>
          <w:szCs w:val="30"/>
        </w:rPr>
        <w:t>)</w:t>
      </w:r>
      <w:r>
        <w:rPr>
          <w:rFonts w:hint="eastAsia" w:hAnsi="宋体"/>
          <w:color w:val="auto"/>
          <w:sz w:val="30"/>
          <w:szCs w:val="30"/>
        </w:rPr>
        <w:t>：</w:t>
      </w:r>
      <w:r>
        <w:rPr>
          <w:rFonts w:hAnsi="宋体"/>
          <w:color w:val="auto"/>
          <w:sz w:val="30"/>
          <w:szCs w:val="30"/>
          <w:u w:val="single"/>
        </w:rPr>
        <w:t xml:space="preserve"> </w:t>
      </w:r>
      <w:r>
        <w:rPr>
          <w:rFonts w:hint="eastAsia" w:hAnsi="宋体"/>
          <w:color w:val="auto"/>
          <w:sz w:val="30"/>
          <w:szCs w:val="30"/>
          <w:u w:val="single"/>
        </w:rPr>
        <w:t>国家税务总局广西壮族自治区税务局</w:t>
      </w:r>
      <w:r>
        <w:rPr>
          <w:rFonts w:hAnsi="宋体"/>
          <w:color w:val="auto"/>
          <w:sz w:val="30"/>
          <w:szCs w:val="30"/>
          <w:u w:val="single"/>
        </w:rPr>
        <w:t xml:space="preserve"> </w:t>
      </w:r>
    </w:p>
    <w:p>
      <w:pPr>
        <w:pStyle w:val="22"/>
        <w:rPr>
          <w:rFonts w:hAnsi="宋体"/>
          <w:color w:val="auto"/>
          <w:sz w:val="30"/>
          <w:szCs w:val="30"/>
        </w:rPr>
      </w:pPr>
    </w:p>
    <w:p>
      <w:pPr>
        <w:pStyle w:val="22"/>
        <w:ind w:firstLine="444" w:firstLineChars="148"/>
        <w:rPr>
          <w:rFonts w:hAnsi="宋体"/>
          <w:color w:val="auto"/>
          <w:sz w:val="30"/>
          <w:szCs w:val="30"/>
          <w:u w:val="single"/>
        </w:rPr>
      </w:pPr>
      <w:r>
        <w:rPr>
          <w:rFonts w:hint="eastAsia" w:hAnsi="宋体"/>
          <w:color w:val="auto"/>
          <w:sz w:val="30"/>
          <w:szCs w:val="30"/>
        </w:rPr>
        <w:t>乙方</w:t>
      </w:r>
      <w:r>
        <w:rPr>
          <w:rFonts w:hAnsi="宋体"/>
          <w:color w:val="auto"/>
          <w:sz w:val="30"/>
          <w:szCs w:val="30"/>
        </w:rPr>
        <w:t>(</w:t>
      </w:r>
      <w:r>
        <w:rPr>
          <w:rFonts w:hint="eastAsia" w:hAnsi="宋体"/>
          <w:color w:val="auto"/>
          <w:sz w:val="30"/>
          <w:szCs w:val="30"/>
        </w:rPr>
        <w:t>供应商名称</w:t>
      </w:r>
      <w:r>
        <w:rPr>
          <w:rFonts w:hAnsi="宋体"/>
          <w:color w:val="auto"/>
          <w:sz w:val="30"/>
          <w:szCs w:val="30"/>
        </w:rPr>
        <w:t>)</w:t>
      </w:r>
      <w:r>
        <w:rPr>
          <w:rFonts w:hint="eastAsia" w:hAnsi="宋体"/>
          <w:color w:val="auto"/>
          <w:sz w:val="30"/>
          <w:szCs w:val="30"/>
        </w:rPr>
        <w:t>：</w:t>
      </w:r>
      <w:r>
        <w:rPr>
          <w:rFonts w:hAnsi="宋体"/>
          <w:color w:val="auto"/>
          <w:sz w:val="30"/>
          <w:szCs w:val="30"/>
          <w:u w:val="single"/>
        </w:rPr>
        <w:t xml:space="preserve">                             </w:t>
      </w:r>
    </w:p>
    <w:p>
      <w:pPr>
        <w:pStyle w:val="22"/>
        <w:rPr>
          <w:rFonts w:hAnsi="宋体"/>
          <w:color w:val="auto"/>
          <w:sz w:val="30"/>
          <w:szCs w:val="30"/>
        </w:rPr>
      </w:pPr>
    </w:p>
    <w:p>
      <w:pPr>
        <w:rPr>
          <w:color w:val="auto"/>
        </w:rPr>
      </w:pPr>
    </w:p>
    <w:p>
      <w:pPr>
        <w:pStyle w:val="22"/>
        <w:jc w:val="center"/>
        <w:rPr>
          <w:rFonts w:hAnsi="宋体"/>
          <w:color w:val="auto"/>
          <w:sz w:val="30"/>
          <w:szCs w:val="30"/>
        </w:rPr>
      </w:pPr>
      <w:r>
        <w:rPr>
          <w:rFonts w:hint="eastAsia" w:hAnsi="宋体"/>
          <w:color w:val="auto"/>
          <w:sz w:val="30"/>
          <w:szCs w:val="30"/>
        </w:rPr>
        <w:t>签</w:t>
      </w:r>
      <w:r>
        <w:rPr>
          <w:rFonts w:hAnsi="宋体"/>
          <w:color w:val="auto"/>
          <w:sz w:val="30"/>
          <w:szCs w:val="30"/>
        </w:rPr>
        <w:t xml:space="preserve"> </w:t>
      </w:r>
      <w:r>
        <w:rPr>
          <w:rFonts w:hint="eastAsia" w:hAnsi="宋体"/>
          <w:color w:val="auto"/>
          <w:sz w:val="30"/>
          <w:szCs w:val="30"/>
        </w:rPr>
        <w:t>订</w:t>
      </w:r>
      <w:r>
        <w:rPr>
          <w:rFonts w:hAnsi="宋体"/>
          <w:color w:val="auto"/>
          <w:sz w:val="30"/>
          <w:szCs w:val="30"/>
        </w:rPr>
        <w:t xml:space="preserve"> </w:t>
      </w:r>
      <w:r>
        <w:rPr>
          <w:rFonts w:hint="eastAsia" w:hAnsi="宋体"/>
          <w:color w:val="auto"/>
          <w:sz w:val="30"/>
          <w:szCs w:val="30"/>
        </w:rPr>
        <w:t>日</w:t>
      </w:r>
      <w:r>
        <w:rPr>
          <w:rFonts w:hAnsi="宋体"/>
          <w:color w:val="auto"/>
          <w:sz w:val="30"/>
          <w:szCs w:val="30"/>
        </w:rPr>
        <w:t xml:space="preserve"> </w:t>
      </w:r>
      <w:r>
        <w:rPr>
          <w:rFonts w:hint="eastAsia" w:hAnsi="宋体"/>
          <w:color w:val="auto"/>
          <w:sz w:val="30"/>
          <w:szCs w:val="30"/>
        </w:rPr>
        <w:t>期：</w:t>
      </w:r>
      <w:r>
        <w:rPr>
          <w:rFonts w:hAnsi="宋体"/>
          <w:color w:val="auto"/>
          <w:sz w:val="30"/>
          <w:szCs w:val="30"/>
        </w:rPr>
        <w:t xml:space="preserve">       </w:t>
      </w:r>
      <w:r>
        <w:rPr>
          <w:rFonts w:hint="eastAsia" w:hAnsi="宋体"/>
          <w:color w:val="auto"/>
          <w:sz w:val="30"/>
          <w:szCs w:val="30"/>
        </w:rPr>
        <w:t>年</w:t>
      </w:r>
      <w:r>
        <w:rPr>
          <w:rFonts w:hAnsi="宋体"/>
          <w:color w:val="auto"/>
          <w:sz w:val="30"/>
          <w:szCs w:val="30"/>
        </w:rPr>
        <w:t xml:space="preserve">    </w:t>
      </w:r>
      <w:r>
        <w:rPr>
          <w:rFonts w:hint="eastAsia" w:hAnsi="宋体"/>
          <w:color w:val="auto"/>
          <w:sz w:val="30"/>
          <w:szCs w:val="30"/>
        </w:rPr>
        <w:t xml:space="preserve">  月</w:t>
      </w:r>
      <w:r>
        <w:rPr>
          <w:rFonts w:hAnsi="宋体"/>
          <w:color w:val="auto"/>
          <w:sz w:val="30"/>
          <w:szCs w:val="30"/>
        </w:rPr>
        <w:t xml:space="preserve">     </w:t>
      </w:r>
      <w:r>
        <w:rPr>
          <w:rFonts w:hint="eastAsia" w:hAnsi="宋体"/>
          <w:color w:val="auto"/>
          <w:sz w:val="30"/>
          <w:szCs w:val="30"/>
        </w:rPr>
        <w:t>日</w:t>
      </w:r>
    </w:p>
    <w:p>
      <w:pPr>
        <w:spacing w:line="300" w:lineRule="auto"/>
        <w:jc w:val="center"/>
        <w:rPr>
          <w:rFonts w:hint="eastAsia" w:ascii="宋体" w:hAnsi="宋体" w:cs="宋体"/>
          <w:b/>
          <w:color w:val="auto"/>
          <w:sz w:val="24"/>
        </w:rPr>
      </w:pPr>
    </w:p>
    <w:p>
      <w:pPr>
        <w:spacing w:line="300" w:lineRule="auto"/>
        <w:jc w:val="center"/>
        <w:rPr>
          <w:rFonts w:hint="eastAsia" w:ascii="宋体" w:hAnsi="宋体" w:cs="宋体"/>
          <w:b/>
          <w:color w:val="auto"/>
          <w:sz w:val="24"/>
        </w:rPr>
      </w:pPr>
    </w:p>
    <w:p>
      <w:pPr>
        <w:spacing w:line="300" w:lineRule="auto"/>
        <w:jc w:val="center"/>
        <w:rPr>
          <w:rFonts w:ascii="宋体" w:hAnsi="宋体" w:cs="宋体"/>
          <w:b/>
          <w:color w:val="auto"/>
          <w:sz w:val="24"/>
        </w:rPr>
      </w:pPr>
      <w:r>
        <w:rPr>
          <w:rFonts w:hint="eastAsia" w:ascii="宋体" w:hAnsi="宋体" w:cs="宋体"/>
          <w:b/>
          <w:color w:val="auto"/>
          <w:sz w:val="24"/>
        </w:rPr>
        <w:t>合同条款前附表</w:t>
      </w:r>
    </w:p>
    <w:tbl>
      <w:tblPr>
        <w:tblStyle w:val="46"/>
        <w:tblpPr w:leftFromText="180" w:rightFromText="180" w:vertAnchor="text" w:horzAnchor="page" w:tblpX="1487" w:tblpY="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2014"/>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Align w:val="center"/>
          </w:tcPr>
          <w:p>
            <w:pPr>
              <w:tabs>
                <w:tab w:val="left" w:pos="700"/>
              </w:tabs>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8418" w:type="dxa"/>
            <w:gridSpan w:val="3"/>
            <w:vAlign w:val="center"/>
          </w:tcPr>
          <w:p>
            <w:pPr>
              <w:tabs>
                <w:tab w:val="left" w:pos="700"/>
              </w:tabs>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合同名称</w:t>
            </w:r>
          </w:p>
        </w:tc>
        <w:tc>
          <w:tcPr>
            <w:tcW w:w="5995" w:type="dxa"/>
            <w:vAlign w:val="center"/>
          </w:tcPr>
          <w:p>
            <w:pPr>
              <w:tabs>
                <w:tab w:val="left" w:pos="700"/>
              </w:tabs>
              <w:adjustRightInd w:val="0"/>
              <w:snapToGrid w:val="0"/>
              <w:spacing w:line="360" w:lineRule="auto"/>
              <w:rPr>
                <w:rFonts w:ascii="宋体" w:hAnsi="宋体" w:cs="宋体"/>
                <w:bCs/>
                <w:color w:val="auto"/>
                <w:szCs w:val="21"/>
              </w:rPr>
            </w:pPr>
            <w:r>
              <w:rPr>
                <w:rFonts w:hint="eastAsia" w:ascii="宋体" w:hAnsi="宋体" w:cs="宋体"/>
                <w:bCs/>
                <w:color w:val="auto"/>
                <w:szCs w:val="21"/>
              </w:rPr>
              <w:t>国家税务总局广西壮族自治区税务局12366热线系统通信设备升级项目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合同编号</w:t>
            </w:r>
          </w:p>
        </w:tc>
        <w:tc>
          <w:tcPr>
            <w:tcW w:w="5995" w:type="dxa"/>
            <w:vAlign w:val="center"/>
          </w:tcPr>
          <w:p>
            <w:pPr>
              <w:tabs>
                <w:tab w:val="left" w:pos="2160"/>
              </w:tabs>
              <w:topLinePunct/>
              <w:autoSpaceDE w:val="0"/>
              <w:autoSpaceDN w:val="0"/>
              <w:adjustRightInd w:val="0"/>
              <w:snapToGrid w:val="0"/>
              <w:spacing w:line="360" w:lineRule="auto"/>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合同类型</w:t>
            </w:r>
          </w:p>
        </w:tc>
        <w:tc>
          <w:tcPr>
            <w:tcW w:w="5995" w:type="dxa"/>
            <w:vAlign w:val="center"/>
          </w:tcPr>
          <w:p>
            <w:pPr>
              <w:tabs>
                <w:tab w:val="left" w:pos="2160"/>
              </w:tabs>
              <w:topLinePunct/>
              <w:autoSpaceDE w:val="0"/>
              <w:autoSpaceDN w:val="0"/>
              <w:adjustRightInd w:val="0"/>
              <w:snapToGrid w:val="0"/>
              <w:spacing w:line="360" w:lineRule="auto"/>
              <w:jc w:val="left"/>
              <w:rPr>
                <w:rFonts w:ascii="宋体" w:hAnsi="宋体" w:cs="宋体"/>
                <w:b/>
                <w:bCs/>
                <w:color w:val="auto"/>
                <w:szCs w:val="21"/>
              </w:rPr>
            </w:pPr>
            <w:r>
              <w:rPr>
                <w:rFonts w:hint="eastAsia" w:ascii="宋体" w:hAnsi="宋体"/>
                <w:color w:val="auto"/>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4</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定价方式</w:t>
            </w:r>
          </w:p>
        </w:tc>
        <w:tc>
          <w:tcPr>
            <w:tcW w:w="5995" w:type="dxa"/>
            <w:vAlign w:val="center"/>
          </w:tcPr>
          <w:p>
            <w:pPr>
              <w:tabs>
                <w:tab w:val="left" w:pos="2160"/>
              </w:tabs>
              <w:topLinePunct/>
              <w:autoSpaceDE w:val="0"/>
              <w:autoSpaceDN w:val="0"/>
              <w:adjustRightInd w:val="0"/>
              <w:snapToGrid w:val="0"/>
              <w:spacing w:line="360" w:lineRule="auto"/>
              <w:rPr>
                <w:rFonts w:ascii="宋体" w:hAnsi="宋体" w:cs="宋体"/>
                <w:b/>
                <w:bCs/>
                <w:color w:val="auto"/>
                <w:szCs w:val="21"/>
              </w:rPr>
            </w:pPr>
            <w:r>
              <w:rPr>
                <w:rFonts w:hint="eastAsia" w:ascii="宋体" w:hAnsi="宋体" w:cs="宋体"/>
                <w:color w:val="auto"/>
                <w:szCs w:val="21"/>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5</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甲方名称</w:t>
            </w:r>
          </w:p>
        </w:tc>
        <w:tc>
          <w:tcPr>
            <w:tcW w:w="5995" w:type="dxa"/>
            <w:vAlign w:val="center"/>
          </w:tcPr>
          <w:p>
            <w:pPr>
              <w:tabs>
                <w:tab w:val="left" w:pos="700"/>
              </w:tabs>
              <w:adjustRightInd w:val="0"/>
              <w:snapToGrid w:val="0"/>
              <w:spacing w:line="360" w:lineRule="auto"/>
              <w:rPr>
                <w:rFonts w:ascii="宋体" w:hAnsi="宋体" w:cs="宋体"/>
                <w:color w:val="auto"/>
                <w:szCs w:val="21"/>
              </w:rPr>
            </w:pPr>
            <w:r>
              <w:rPr>
                <w:rFonts w:hint="eastAsia" w:ascii="宋体" w:hAnsi="宋体" w:cs="宋体"/>
                <w:bCs/>
                <w:color w:val="auto"/>
                <w:szCs w:val="21"/>
              </w:rPr>
              <w:t>国家税务总局广西壮族自治区税务局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甲方地址</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409" w:type="dxa"/>
            <w:vMerge w:val="restart"/>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甲方相关部门</w:t>
            </w:r>
          </w:p>
        </w:tc>
        <w:tc>
          <w:tcPr>
            <w:tcW w:w="2014"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甲方采购部门</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auto"/>
                <w:szCs w:val="21"/>
              </w:rPr>
            </w:pPr>
          </w:p>
        </w:tc>
        <w:tc>
          <w:tcPr>
            <w:tcW w:w="2014"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联系人</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auto"/>
                <w:szCs w:val="21"/>
              </w:rPr>
            </w:pPr>
          </w:p>
        </w:tc>
        <w:tc>
          <w:tcPr>
            <w:tcW w:w="2014"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联系电话</w:t>
            </w:r>
          </w:p>
        </w:tc>
        <w:tc>
          <w:tcPr>
            <w:tcW w:w="5995" w:type="dxa"/>
            <w:vAlign w:val="center"/>
          </w:tcPr>
          <w:p>
            <w:pPr>
              <w:pStyle w:val="22"/>
              <w:spacing w:line="360" w:lineRule="auto"/>
              <w:jc w:val="left"/>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auto"/>
                <w:szCs w:val="21"/>
              </w:rPr>
            </w:pPr>
          </w:p>
        </w:tc>
        <w:tc>
          <w:tcPr>
            <w:tcW w:w="2014"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甲方需求部门</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auto"/>
                <w:szCs w:val="21"/>
              </w:rPr>
            </w:pPr>
          </w:p>
        </w:tc>
        <w:tc>
          <w:tcPr>
            <w:tcW w:w="2014"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联系人</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auto"/>
                <w:szCs w:val="21"/>
              </w:rPr>
            </w:pPr>
          </w:p>
        </w:tc>
        <w:tc>
          <w:tcPr>
            <w:tcW w:w="2014"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联系电话</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6</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乙方名称</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乙方企业性质</w:t>
            </w:r>
          </w:p>
        </w:tc>
        <w:tc>
          <w:tcPr>
            <w:tcW w:w="5995" w:type="dxa"/>
            <w:vAlign w:val="center"/>
          </w:tcPr>
          <w:p>
            <w:pPr>
              <w:tabs>
                <w:tab w:val="left" w:pos="700"/>
              </w:tabs>
              <w:adjustRightInd w:val="0"/>
              <w:snapToGrid w:val="0"/>
              <w:spacing w:line="360" w:lineRule="auto"/>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 xml:space="preserve"> 中型企业     </w:t>
            </w:r>
            <w:r>
              <w:rPr>
                <w:rFonts w:hint="eastAsia" w:ascii="宋体" w:hAnsi="宋体" w:cs="宋体"/>
                <w:color w:val="auto"/>
                <w:szCs w:val="21"/>
              </w:rPr>
              <w:sym w:font="Wingdings 2" w:char="00A3"/>
            </w:r>
            <w:r>
              <w:rPr>
                <w:rFonts w:hint="eastAsia" w:ascii="宋体" w:hAnsi="宋体" w:cs="宋体"/>
                <w:color w:val="auto"/>
                <w:szCs w:val="21"/>
              </w:rPr>
              <w:t xml:space="preserve"> 小型企业            </w:t>
            </w:r>
            <w:r>
              <w:rPr>
                <w:rFonts w:hint="eastAsia" w:ascii="宋体" w:hAnsi="宋体" w:cs="宋体"/>
                <w:color w:val="auto"/>
                <w:szCs w:val="21"/>
              </w:rPr>
              <w:sym w:font="Wingdings 2" w:char="00A3"/>
            </w:r>
            <w:r>
              <w:rPr>
                <w:rFonts w:hint="eastAsia" w:ascii="宋体" w:hAnsi="宋体" w:cs="宋体"/>
                <w:color w:val="auto"/>
                <w:szCs w:val="21"/>
              </w:rPr>
              <w:t xml:space="preserve"> 微型企业    </w:t>
            </w:r>
          </w:p>
          <w:p>
            <w:pPr>
              <w:tabs>
                <w:tab w:val="left" w:pos="700"/>
              </w:tabs>
              <w:adjustRightInd w:val="0"/>
              <w:snapToGrid w:val="0"/>
              <w:spacing w:line="360" w:lineRule="auto"/>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 xml:space="preserve"> 监狱企业     </w:t>
            </w:r>
            <w:r>
              <w:rPr>
                <w:rFonts w:hint="eastAsia" w:ascii="宋体" w:hAnsi="宋体" w:cs="宋体"/>
                <w:color w:val="auto"/>
                <w:szCs w:val="21"/>
              </w:rPr>
              <w:sym w:font="Wingdings 2" w:char="00A3"/>
            </w:r>
            <w:r>
              <w:rPr>
                <w:rFonts w:hint="eastAsia" w:ascii="宋体" w:hAnsi="宋体" w:cs="宋体"/>
                <w:color w:val="auto"/>
                <w:szCs w:val="21"/>
              </w:rPr>
              <w:t xml:space="preserve"> 残疾人福利性单位    </w:t>
            </w:r>
            <w:r>
              <w:rPr>
                <w:rFonts w:hint="eastAsia" w:ascii="宋体" w:hAnsi="宋体" w:cs="宋体"/>
                <w:color w:val="auto"/>
                <w:szCs w:val="21"/>
              </w:rPr>
              <w:sym w:font="Wingdings 2" w:char="00A3"/>
            </w:r>
            <w:r>
              <w:rPr>
                <w:rFonts w:hint="eastAsia" w:ascii="宋体" w:hAnsi="宋体" w:cs="宋体"/>
                <w:color w:val="auto"/>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乙方地址</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乙方联系人</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联系电话/传真</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color w:val="auto"/>
                <w:szCs w:val="21"/>
              </w:rPr>
              <w:t>开户银行名称</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auto"/>
                <w:szCs w:val="21"/>
              </w:rPr>
            </w:pPr>
          </w:p>
        </w:tc>
        <w:tc>
          <w:tcPr>
            <w:tcW w:w="2423" w:type="dxa"/>
            <w:gridSpan w:val="2"/>
            <w:vAlign w:val="center"/>
          </w:tcPr>
          <w:p>
            <w:pPr>
              <w:tabs>
                <w:tab w:val="left" w:pos="700"/>
              </w:tabs>
              <w:adjustRightInd w:val="0"/>
              <w:snapToGrid w:val="0"/>
              <w:spacing w:line="360" w:lineRule="auto"/>
              <w:jc w:val="center"/>
              <w:rPr>
                <w:color w:val="auto"/>
                <w:szCs w:val="21"/>
              </w:rPr>
            </w:pPr>
            <w:r>
              <w:rPr>
                <w:color w:val="auto"/>
                <w:szCs w:val="21"/>
              </w:rPr>
              <w:t>银行账号</w:t>
            </w:r>
          </w:p>
        </w:tc>
        <w:tc>
          <w:tcPr>
            <w:tcW w:w="5995" w:type="dxa"/>
            <w:vAlign w:val="center"/>
          </w:tcPr>
          <w:p>
            <w:pPr>
              <w:tabs>
                <w:tab w:val="left" w:pos="700"/>
              </w:tabs>
              <w:adjustRightInd w:val="0"/>
              <w:snapToGrid w:val="0"/>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7</w:t>
            </w:r>
          </w:p>
        </w:tc>
        <w:tc>
          <w:tcPr>
            <w:tcW w:w="2423" w:type="dxa"/>
            <w:gridSpan w:val="2"/>
            <w:vAlign w:val="center"/>
          </w:tcPr>
          <w:p>
            <w:pPr>
              <w:tabs>
                <w:tab w:val="left" w:pos="700"/>
              </w:tabs>
              <w:adjustRightInd w:val="0"/>
              <w:snapToGrid w:val="0"/>
              <w:jc w:val="center"/>
              <w:rPr>
                <w:rFonts w:ascii="宋体" w:hAnsi="宋体" w:cs="宋体"/>
                <w:color w:val="auto"/>
                <w:szCs w:val="21"/>
              </w:rPr>
            </w:pPr>
            <w:r>
              <w:rPr>
                <w:color w:val="auto"/>
                <w:szCs w:val="21"/>
              </w:rPr>
              <w:t>合同金额</w:t>
            </w:r>
          </w:p>
        </w:tc>
        <w:tc>
          <w:tcPr>
            <w:tcW w:w="5995" w:type="dxa"/>
            <w:vAlign w:val="center"/>
          </w:tcPr>
          <w:p>
            <w:pPr>
              <w:tabs>
                <w:tab w:val="left" w:pos="700"/>
              </w:tabs>
              <w:adjustRightInd w:val="0"/>
              <w:snapToGrid w:val="0"/>
              <w:rPr>
                <w:rFonts w:ascii="宋体" w:hAnsi="宋体" w:cs="宋体"/>
                <w:color w:val="auto"/>
                <w:szCs w:val="21"/>
              </w:rPr>
            </w:pPr>
            <w:r>
              <w:rPr>
                <w:color w:val="auto"/>
                <w:szCs w:val="21"/>
              </w:rPr>
              <w:t>人民币</w:t>
            </w:r>
            <w:r>
              <w:rPr>
                <w:color w:val="auto"/>
                <w:szCs w:val="21"/>
                <w:u w:val="single"/>
              </w:rPr>
              <w:t xml:space="preserve">        </w:t>
            </w:r>
            <w:r>
              <w:rPr>
                <w:color w:val="auto"/>
                <w:szCs w:val="21"/>
              </w:rPr>
              <w:t>元整（¥</w:t>
            </w:r>
            <w:r>
              <w:rPr>
                <w:color w:val="auto"/>
                <w:szCs w:val="21"/>
                <w:u w:val="single"/>
              </w:rPr>
              <w:t xml:space="preserve">           </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8</w:t>
            </w:r>
          </w:p>
        </w:tc>
        <w:tc>
          <w:tcPr>
            <w:tcW w:w="2423" w:type="dxa"/>
            <w:gridSpan w:val="2"/>
            <w:vAlign w:val="center"/>
          </w:tcPr>
          <w:p>
            <w:pPr>
              <w:tabs>
                <w:tab w:val="left" w:pos="700"/>
              </w:tabs>
              <w:adjustRightInd w:val="0"/>
              <w:snapToGrid w:val="0"/>
              <w:spacing w:line="380" w:lineRule="exact"/>
              <w:jc w:val="center"/>
              <w:rPr>
                <w:rFonts w:ascii="宋体" w:hAnsi="宋体" w:cs="宋体"/>
                <w:color w:val="auto"/>
                <w:szCs w:val="21"/>
              </w:rPr>
            </w:pPr>
            <w:r>
              <w:rPr>
                <w:rFonts w:ascii="宋体" w:hAnsi="宋体"/>
                <w:color w:val="auto"/>
                <w:szCs w:val="21"/>
              </w:rPr>
              <w:t>交货时间和地点</w:t>
            </w:r>
          </w:p>
        </w:tc>
        <w:tc>
          <w:tcPr>
            <w:tcW w:w="5995" w:type="dxa"/>
            <w:vAlign w:val="center"/>
          </w:tcPr>
          <w:p>
            <w:pPr>
              <w:tabs>
                <w:tab w:val="left" w:pos="700"/>
              </w:tabs>
              <w:adjustRightInd w:val="0"/>
              <w:snapToGrid w:val="0"/>
              <w:spacing w:line="380" w:lineRule="exact"/>
              <w:rPr>
                <w:rFonts w:ascii="宋体" w:hAnsi="宋体"/>
                <w:color w:val="auto"/>
                <w:szCs w:val="21"/>
              </w:rPr>
            </w:pPr>
            <w:r>
              <w:rPr>
                <w:rFonts w:ascii="宋体" w:hAnsi="宋体"/>
                <w:color w:val="auto"/>
                <w:szCs w:val="21"/>
              </w:rPr>
              <w:t>时间：</w:t>
            </w:r>
            <w:r>
              <w:rPr>
                <w:rFonts w:hint="eastAsia" w:ascii="宋体" w:hAnsi="宋体"/>
                <w:color w:val="auto"/>
                <w:szCs w:val="21"/>
                <w:u w:val="single"/>
              </w:rPr>
              <w:t xml:space="preserve">                                        </w:t>
            </w:r>
            <w:r>
              <w:rPr>
                <w:rFonts w:hint="eastAsia" w:ascii="宋体" w:hAnsi="宋体"/>
                <w:color w:val="auto"/>
                <w:szCs w:val="21"/>
              </w:rPr>
              <w:t>。</w:t>
            </w:r>
          </w:p>
          <w:p>
            <w:pPr>
              <w:tabs>
                <w:tab w:val="left" w:pos="700"/>
              </w:tabs>
              <w:adjustRightInd w:val="0"/>
              <w:snapToGrid w:val="0"/>
              <w:spacing w:line="380" w:lineRule="exact"/>
              <w:rPr>
                <w:rFonts w:ascii="宋体" w:hAnsi="宋体" w:cs="宋体"/>
                <w:color w:val="auto"/>
                <w:szCs w:val="21"/>
              </w:rPr>
            </w:pPr>
            <w:r>
              <w:rPr>
                <w:rFonts w:ascii="宋体" w:hAnsi="宋体"/>
                <w:color w:val="auto"/>
                <w:szCs w:val="21"/>
              </w:rPr>
              <w:t>地点：</w:t>
            </w:r>
            <w:r>
              <w:rPr>
                <w:rFonts w:hint="eastAsia"/>
                <w:color w:val="auto"/>
                <w:lang w:eastAsia="zh-CN"/>
              </w:rPr>
              <w:t>南宁市区甲方指定地点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9</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合同付款</w:t>
            </w:r>
          </w:p>
        </w:tc>
        <w:tc>
          <w:tcPr>
            <w:tcW w:w="5995" w:type="dxa"/>
            <w:vAlign w:val="center"/>
          </w:tcPr>
          <w:p>
            <w:pPr>
              <w:tabs>
                <w:tab w:val="center" w:pos="4890"/>
              </w:tabs>
              <w:spacing w:line="360" w:lineRule="auto"/>
              <w:ind w:firstLine="420" w:firstLineChars="200"/>
              <w:rPr>
                <w:rFonts w:ascii="宋体" w:hAnsi="宋体" w:cs="宋体"/>
                <w:color w:val="auto"/>
                <w:szCs w:val="21"/>
              </w:rPr>
            </w:pPr>
            <w:r>
              <w:rPr>
                <w:rFonts w:hint="eastAsia" w:ascii="宋体" w:hAnsi="宋体" w:cs="宋体"/>
                <w:color w:val="auto"/>
                <w:szCs w:val="21"/>
              </w:rPr>
              <w:t>合同以人民币结算，付款方式：</w:t>
            </w:r>
          </w:p>
          <w:p>
            <w:pPr>
              <w:tabs>
                <w:tab w:val="center" w:pos="4890"/>
              </w:tabs>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本项目分3个阶段支付</w:t>
            </w:r>
            <w:r>
              <w:rPr>
                <w:rFonts w:hint="eastAsia" w:ascii="宋体" w:hAnsi="宋体" w:cs="宋体"/>
                <w:snapToGrid w:val="0"/>
                <w:color w:val="auto"/>
                <w:kern w:val="0"/>
                <w:szCs w:val="21"/>
                <w:lang w:val="en-US" w:eastAsia="zh-CN"/>
              </w:rPr>
              <w:t>合同总金额</w:t>
            </w:r>
            <w:r>
              <w:rPr>
                <w:rFonts w:hint="eastAsia" w:ascii="宋体" w:hAnsi="宋体" w:cs="宋体"/>
                <w:snapToGrid w:val="0"/>
                <w:color w:val="auto"/>
                <w:kern w:val="0"/>
                <w:szCs w:val="21"/>
              </w:rPr>
              <w:t>，在合同签订后10个工作日内支付合同金额的50%；产品安装完成</w:t>
            </w:r>
            <w:r>
              <w:rPr>
                <w:rFonts w:hint="eastAsia" w:ascii="宋体" w:hAnsi="宋体" w:cs="宋体"/>
                <w:snapToGrid w:val="0"/>
                <w:color w:val="auto"/>
                <w:kern w:val="0"/>
                <w:szCs w:val="21"/>
              </w:rPr>
              <w:t>，初步验收合格后10个工作日内，支付项目合同金额的20%；质量保证期满</w:t>
            </w:r>
            <w:r>
              <w:rPr>
                <w:rFonts w:hint="eastAsia" w:ascii="宋体" w:hAnsi="宋体" w:cs="宋体"/>
                <w:snapToGrid w:val="0"/>
                <w:color w:val="auto"/>
                <w:kern w:val="0"/>
                <w:szCs w:val="21"/>
              </w:rPr>
              <w:t>，根据项目验收标准以及合同罚责</w:t>
            </w:r>
            <w:r>
              <w:rPr>
                <w:rFonts w:hint="eastAsia" w:ascii="宋体" w:hAnsi="宋体" w:cs="宋体"/>
                <w:snapToGrid w:val="0"/>
                <w:color w:val="auto"/>
                <w:kern w:val="0"/>
                <w:szCs w:val="21"/>
              </w:rPr>
              <w:t>进行终验，终验合格后10个工作日内，支付剩余款项。</w:t>
            </w:r>
          </w:p>
          <w:p>
            <w:pPr>
              <w:tabs>
                <w:tab w:val="center" w:pos="4890"/>
              </w:tabs>
              <w:spacing w:line="360" w:lineRule="auto"/>
              <w:ind w:firstLine="420" w:firstLineChars="200"/>
              <w:rPr>
                <w:rFonts w:ascii="宋体" w:hAnsi="宋体" w:cs="宋体"/>
                <w:color w:val="auto"/>
                <w:szCs w:val="21"/>
              </w:rPr>
            </w:pPr>
            <w:r>
              <w:rPr>
                <w:rFonts w:hint="eastAsia" w:ascii="宋体" w:hAnsi="宋体" w:cs="宋体"/>
                <w:color w:val="auto"/>
                <w:szCs w:val="21"/>
              </w:rPr>
              <w:t>甲方付款前，乙方应向甲方开具等额有效的增值税发票，甲方未收到发票的，有权不予支付相应款项直至乙方提供合格发票，并不承担延迟付款责任。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10</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履约保证金及返还</w:t>
            </w:r>
          </w:p>
        </w:tc>
        <w:tc>
          <w:tcPr>
            <w:tcW w:w="5995" w:type="dxa"/>
            <w:vAlign w:val="center"/>
          </w:tcPr>
          <w:p>
            <w:pPr>
              <w:tabs>
                <w:tab w:val="left" w:pos="700"/>
              </w:tabs>
              <w:adjustRightInd w:val="0"/>
              <w:snapToGrid w:val="0"/>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本项目不要求提供履约保证金。</w:t>
            </w:r>
          </w:p>
          <w:p>
            <w:pPr>
              <w:tabs>
                <w:tab w:val="left" w:pos="700"/>
              </w:tabs>
              <w:adjustRightInd w:val="0"/>
              <w:snapToGrid w:val="0"/>
              <w:spacing w:line="360" w:lineRule="auto"/>
              <w:rPr>
                <w:rFonts w:ascii="宋体" w:hAnsi="宋体" w:cs="宋体"/>
                <w:color w:val="auto"/>
                <w:szCs w:val="21"/>
              </w:rPr>
            </w:pPr>
            <w:r>
              <w:rPr>
                <w:rFonts w:hint="eastAsia" w:ascii="宋体" w:hAnsi="宋体" w:cs="宋体"/>
                <w:color w:val="auto"/>
                <w:szCs w:val="21"/>
              </w:rPr>
              <w:t>□本项目要求提供履约保证金。履约保证金为合同总金额的</w:t>
            </w:r>
            <w:r>
              <w:rPr>
                <w:rFonts w:hint="eastAsia" w:ascii="宋体" w:hAnsi="宋体" w:cs="宋体"/>
                <w:color w:val="auto"/>
                <w:szCs w:val="21"/>
                <w:u w:val="single"/>
              </w:rPr>
              <w:t xml:space="preserve">   </w:t>
            </w:r>
            <w:r>
              <w:rPr>
                <w:rFonts w:hint="eastAsia" w:ascii="宋体" w:hAnsi="宋体" w:cs="宋体"/>
                <w:color w:val="auto"/>
                <w:szCs w:val="21"/>
              </w:rPr>
              <w:t>，即人民币</w:t>
            </w:r>
            <w:r>
              <w:rPr>
                <w:rFonts w:hint="eastAsia" w:ascii="宋体" w:hAnsi="宋体" w:cs="宋体"/>
                <w:color w:val="auto"/>
                <w:szCs w:val="21"/>
                <w:u w:val="single"/>
              </w:rPr>
              <w:t xml:space="preserve">       </w:t>
            </w:r>
            <w:r>
              <w:rPr>
                <w:rFonts w:hint="eastAsia" w:ascii="宋体" w:hAnsi="宋体" w:cs="宋体"/>
                <w:color w:val="auto"/>
                <w:szCs w:val="21"/>
              </w:rPr>
              <w:t>元整（¥</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Calibri" w:hAnsi="Calibri" w:cs="Calibri"/>
                <w:color w:val="auto"/>
              </w:rPr>
              <w:t>乙方</w:t>
            </w:r>
            <w:r>
              <w:rPr>
                <w:rFonts w:hAnsi="宋体"/>
                <w:color w:val="auto"/>
              </w:rPr>
              <w:t>在签订合同前</w:t>
            </w:r>
            <w:r>
              <w:rPr>
                <w:rFonts w:hint="eastAsia" w:hAnsi="宋体"/>
                <w:color w:val="auto"/>
              </w:rPr>
              <w:t>应提交履约保证金，</w:t>
            </w:r>
            <w:r>
              <w:rPr>
                <w:rFonts w:hAnsi="宋体"/>
                <w:color w:val="auto"/>
              </w:rPr>
              <w:t>否则，不予签订合同</w:t>
            </w:r>
            <w:r>
              <w:rPr>
                <w:rFonts w:hint="eastAsia" w:ascii="宋体" w:hAnsi="宋体" w:cs="宋体"/>
                <w:color w:val="auto"/>
                <w:szCs w:val="21"/>
              </w:rPr>
              <w:t>。提交方式为银行电汇、金融机构或担保机构出具的保函。在合同履行期满，扣除应扣除的款项（如有）且双方无争议后，无息返还。</w:t>
            </w:r>
          </w:p>
          <w:p>
            <w:pPr>
              <w:tabs>
                <w:tab w:val="left" w:pos="70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满足履约保证金返还条件的，甲方在收到返还相关信息等合同约定资料后，进行核实。对核实结果无异议的，自完成核实之日起30日内，以</w:t>
            </w:r>
            <w:r>
              <w:rPr>
                <w:rFonts w:hint="eastAsia" w:ascii="宋体" w:hAnsi="宋体" w:cs="宋体"/>
                <w:color w:val="auto"/>
                <w:szCs w:val="21"/>
                <w:u w:val="single"/>
              </w:rPr>
              <w:t>银行转账</w:t>
            </w:r>
            <w:r>
              <w:rPr>
                <w:rFonts w:hint="eastAsia" w:ascii="宋体" w:hAnsi="宋体" w:cs="宋体"/>
                <w:color w:val="auto"/>
                <w:szCs w:val="21"/>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11</w:t>
            </w:r>
          </w:p>
        </w:tc>
        <w:tc>
          <w:tcPr>
            <w:tcW w:w="2423" w:type="dxa"/>
            <w:gridSpan w:val="2"/>
            <w:vAlign w:val="center"/>
          </w:tcPr>
          <w:p>
            <w:pPr>
              <w:tabs>
                <w:tab w:val="left" w:pos="700"/>
              </w:tabs>
              <w:adjustRightInd w:val="0"/>
              <w:snapToGrid w:val="0"/>
              <w:spacing w:line="380" w:lineRule="exact"/>
              <w:jc w:val="center"/>
              <w:rPr>
                <w:rFonts w:ascii="宋体" w:hAnsi="宋体" w:cs="宋体"/>
                <w:color w:val="auto"/>
                <w:szCs w:val="21"/>
              </w:rPr>
            </w:pPr>
            <w:r>
              <w:rPr>
                <w:rFonts w:ascii="宋体" w:hAnsi="宋体"/>
                <w:color w:val="auto"/>
                <w:szCs w:val="21"/>
              </w:rPr>
              <w:t>合同履行期限</w:t>
            </w:r>
          </w:p>
        </w:tc>
        <w:tc>
          <w:tcPr>
            <w:tcW w:w="5995" w:type="dxa"/>
            <w:vAlign w:val="center"/>
          </w:tcPr>
          <w:p>
            <w:pPr>
              <w:tabs>
                <w:tab w:val="left" w:pos="700"/>
              </w:tabs>
              <w:adjustRightInd w:val="0"/>
              <w:snapToGrid w:val="0"/>
              <w:spacing w:line="380" w:lineRule="exact"/>
              <w:rPr>
                <w:rFonts w:ascii="宋体" w:hAnsi="宋体" w:cs="宋体"/>
                <w:color w:val="auto"/>
                <w:szCs w:val="21"/>
              </w:rPr>
            </w:pPr>
            <w:r>
              <w:rPr>
                <w:rFonts w:ascii="宋体" w:hAnsi="宋体" w:cs="宋体"/>
                <w:color w:val="auto"/>
                <w:szCs w:val="21"/>
              </w:rPr>
              <w:t>合同签订后</w:t>
            </w:r>
            <w:r>
              <w:rPr>
                <w:rFonts w:hint="eastAsia" w:ascii="宋体" w:hAnsi="宋体" w:cs="宋体"/>
                <w:color w:val="auto"/>
                <w:szCs w:val="21"/>
                <w:u w:val="single"/>
                <w:lang w:val="en-US" w:eastAsia="zh-CN"/>
              </w:rPr>
              <w:t xml:space="preserve">   </w:t>
            </w:r>
            <w:r>
              <w:rPr>
                <w:rFonts w:ascii="宋体" w:hAnsi="宋体" w:cs="宋体"/>
                <w:color w:val="auto"/>
                <w:szCs w:val="21"/>
              </w:rPr>
              <w:t>个月内完成本项目要求的通信许可等软件产品安装。</w:t>
            </w:r>
            <w:r>
              <w:rPr>
                <w:rFonts w:hint="eastAsia"/>
                <w:color w:val="auto"/>
              </w:rPr>
              <w:t>技术支持及质量保证期为自产品安装调试通过后12个月</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12</w:t>
            </w:r>
          </w:p>
        </w:tc>
        <w:tc>
          <w:tcPr>
            <w:tcW w:w="2423" w:type="dxa"/>
            <w:gridSpan w:val="2"/>
            <w:vAlign w:val="center"/>
          </w:tcPr>
          <w:p>
            <w:pPr>
              <w:tabs>
                <w:tab w:val="left" w:pos="700"/>
              </w:tabs>
              <w:adjustRightInd w:val="0"/>
              <w:snapToGrid w:val="0"/>
              <w:jc w:val="center"/>
              <w:rPr>
                <w:rFonts w:ascii="宋体" w:hAnsi="宋体"/>
                <w:color w:val="auto"/>
                <w:szCs w:val="21"/>
              </w:rPr>
            </w:pPr>
            <w:r>
              <w:rPr>
                <w:color w:val="auto"/>
                <w:szCs w:val="21"/>
              </w:rPr>
              <w:t>质量保证期</w:t>
            </w:r>
          </w:p>
        </w:tc>
        <w:tc>
          <w:tcPr>
            <w:tcW w:w="5995" w:type="dxa"/>
            <w:vAlign w:val="center"/>
          </w:tcPr>
          <w:p>
            <w:pPr>
              <w:tabs>
                <w:tab w:val="left" w:pos="700"/>
              </w:tabs>
              <w:adjustRightInd w:val="0"/>
              <w:snapToGrid w:val="0"/>
              <w:rPr>
                <w:rFonts w:ascii="宋体" w:hAnsi="宋体"/>
                <w:color w:val="auto"/>
                <w:szCs w:val="21"/>
              </w:rPr>
            </w:pPr>
            <w:r>
              <w:rPr>
                <w:rFonts w:hint="eastAsia"/>
                <w:color w:val="auto"/>
              </w:rPr>
              <w:t>自产品安装调试并通过验收后12个月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13</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合同履约地点</w:t>
            </w:r>
          </w:p>
        </w:tc>
        <w:tc>
          <w:tcPr>
            <w:tcW w:w="5995" w:type="dxa"/>
            <w:vAlign w:val="center"/>
          </w:tcPr>
          <w:p>
            <w:pPr>
              <w:tabs>
                <w:tab w:val="left" w:pos="700"/>
              </w:tabs>
              <w:adjustRightInd w:val="0"/>
              <w:snapToGrid w:val="0"/>
              <w:spacing w:line="360" w:lineRule="auto"/>
              <w:rPr>
                <w:rFonts w:ascii="宋体" w:hAnsi="宋体" w:cs="宋体"/>
                <w:color w:val="auto"/>
                <w:szCs w:val="21"/>
              </w:rPr>
            </w:pPr>
            <w:r>
              <w:rPr>
                <w:rFonts w:hint="eastAsia"/>
                <w:color w:val="auto"/>
                <w:lang w:eastAsia="zh-CN"/>
              </w:rPr>
              <w:t>南宁市区甲方指定地点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14</w:t>
            </w:r>
          </w:p>
        </w:tc>
        <w:tc>
          <w:tcPr>
            <w:tcW w:w="2423" w:type="dxa"/>
            <w:gridSpan w:val="2"/>
            <w:vAlign w:val="center"/>
          </w:tcPr>
          <w:p>
            <w:pPr>
              <w:tabs>
                <w:tab w:val="left" w:pos="70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合同纠纷解决方式</w:t>
            </w:r>
          </w:p>
        </w:tc>
        <w:tc>
          <w:tcPr>
            <w:tcW w:w="5995" w:type="dxa"/>
            <w:vAlign w:val="center"/>
          </w:tcPr>
          <w:p>
            <w:pPr>
              <w:tabs>
                <w:tab w:val="left" w:pos="700"/>
              </w:tabs>
              <w:adjustRightInd w:val="0"/>
              <w:snapToGrid w:val="0"/>
              <w:spacing w:line="360" w:lineRule="auto"/>
              <w:rPr>
                <w:rFonts w:ascii="宋体" w:hAnsi="宋体" w:cs="宋体"/>
                <w:color w:val="auto"/>
                <w:szCs w:val="21"/>
              </w:rPr>
            </w:pPr>
            <w:r>
              <w:rPr>
                <w:rFonts w:hint="eastAsia" w:ascii="宋体" w:hAnsi="宋体" w:cs="宋体"/>
                <w:color w:val="auto"/>
                <w:szCs w:val="21"/>
              </w:rPr>
              <w:t>甲乙双方应首先通过友好协商解决在执行本合同中所发生的或与本合同有关的一切争端。如从协商开始</w:t>
            </w:r>
            <w:r>
              <w:rPr>
                <w:rFonts w:hint="eastAsia" w:ascii="宋体" w:hAnsi="宋体" w:cs="宋体"/>
                <w:color w:val="auto"/>
                <w:szCs w:val="21"/>
                <w:u w:val="single"/>
              </w:rPr>
              <w:t>30</w:t>
            </w:r>
            <w:r>
              <w:rPr>
                <w:rFonts w:hint="eastAsia" w:ascii="宋体" w:hAnsi="宋体" w:cs="宋体"/>
                <w:color w:val="auto"/>
                <w:szCs w:val="21"/>
              </w:rPr>
              <w:t>天内仍不能解决，可以选择以下途径之一解决纠纷：</w:t>
            </w:r>
          </w:p>
          <w:p>
            <w:pPr>
              <w:tabs>
                <w:tab w:val="left" w:pos="700"/>
              </w:tabs>
              <w:adjustRightInd w:val="0"/>
              <w:snapToGrid w:val="0"/>
              <w:spacing w:line="360" w:lineRule="auto"/>
              <w:rPr>
                <w:rFonts w:ascii="宋体" w:hAnsi="宋体" w:cs="宋体"/>
                <w:color w:val="auto"/>
                <w:szCs w:val="21"/>
              </w:rPr>
            </w:pPr>
            <w:r>
              <w:rPr>
                <w:rFonts w:hint="eastAsia" w:ascii="宋体" w:hAnsi="宋体" w:cs="宋体"/>
                <w:color w:val="auto"/>
                <w:szCs w:val="21"/>
              </w:rPr>
              <w:t>□向甲方所在地仲裁委员会或</w:t>
            </w:r>
            <w:r>
              <w:rPr>
                <w:rFonts w:hint="eastAsia" w:ascii="宋体" w:hAnsi="宋体" w:cs="宋体"/>
                <w:color w:val="auto"/>
                <w:szCs w:val="21"/>
                <w:u w:val="single"/>
              </w:rPr>
              <w:t xml:space="preserve">    \    </w:t>
            </w:r>
            <w:r>
              <w:rPr>
                <w:rFonts w:hint="eastAsia" w:ascii="宋体" w:hAnsi="宋体" w:cs="宋体"/>
                <w:color w:val="auto"/>
                <w:szCs w:val="21"/>
              </w:rPr>
              <w:t>仲裁委员会申请仲裁</w:t>
            </w:r>
          </w:p>
          <w:p>
            <w:pPr>
              <w:tabs>
                <w:tab w:val="left" w:pos="700"/>
              </w:tabs>
              <w:adjustRightInd w:val="0"/>
              <w:snapToGrid w:val="0"/>
              <w:spacing w:line="360" w:lineRule="auto"/>
              <w:rPr>
                <w:rFonts w:ascii="宋体" w:hAnsi="宋体" w:cs="宋体"/>
                <w:color w:val="auto"/>
                <w:szCs w:val="21"/>
              </w:rPr>
            </w:pPr>
            <w:r>
              <w:rPr>
                <w:rFonts w:hint="eastAsia" w:ascii="宋体" w:hAnsi="宋体" w:cs="宋体"/>
                <w:color w:val="auto"/>
                <w:szCs w:val="21"/>
              </w:rPr>
              <w:t>☑向甲方所在地人民法院或</w:t>
            </w:r>
            <w:r>
              <w:rPr>
                <w:rFonts w:hint="eastAsia" w:ascii="宋体" w:hAnsi="宋体" w:cs="宋体"/>
                <w:color w:val="auto"/>
                <w:szCs w:val="21"/>
                <w:u w:val="single"/>
              </w:rPr>
              <w:t>项目所在地有管辖权的</w:t>
            </w:r>
            <w:r>
              <w:rPr>
                <w:rFonts w:hint="eastAsia" w:ascii="宋体" w:hAnsi="宋体" w:cs="宋体"/>
                <w:color w:val="auto"/>
                <w:szCs w:val="21"/>
              </w:rPr>
              <w:t>人民法院提起诉讼</w:t>
            </w:r>
          </w:p>
        </w:tc>
      </w:tr>
    </w:tbl>
    <w:p>
      <w:pPr>
        <w:tabs>
          <w:tab w:val="left" w:pos="0"/>
        </w:tabs>
        <w:topLinePunct/>
        <w:autoSpaceDE w:val="0"/>
        <w:autoSpaceDN w:val="0"/>
        <w:spacing w:line="360" w:lineRule="auto"/>
        <w:jc w:val="center"/>
        <w:rPr>
          <w:rFonts w:ascii="宋体" w:hAnsi="宋体" w:cs="宋体"/>
          <w:b/>
          <w:color w:val="auto"/>
          <w:sz w:val="24"/>
        </w:rPr>
      </w:pPr>
      <w:r>
        <w:rPr>
          <w:rFonts w:hint="eastAsia" w:ascii="宋体" w:hAnsi="宋体" w:cs="宋体"/>
          <w:b/>
          <w:color w:val="auto"/>
          <w:sz w:val="24"/>
        </w:rPr>
        <w:t xml:space="preserve">一   合  同 </w:t>
      </w:r>
    </w:p>
    <w:p>
      <w:pPr>
        <w:tabs>
          <w:tab w:val="left" w:pos="540"/>
        </w:tabs>
        <w:topLinePunct/>
        <w:autoSpaceDE w:val="0"/>
        <w:autoSpaceDN w:val="0"/>
        <w:spacing w:line="460" w:lineRule="exact"/>
        <w:rPr>
          <w:rFonts w:ascii="宋体" w:hAnsi="宋体" w:cs="宋体"/>
          <w:b/>
          <w:color w:val="auto"/>
          <w:sz w:val="24"/>
        </w:rPr>
      </w:pPr>
    </w:p>
    <w:p>
      <w:pPr>
        <w:tabs>
          <w:tab w:val="left" w:pos="700"/>
        </w:tabs>
        <w:topLinePunct/>
        <w:autoSpaceDE w:val="0"/>
        <w:autoSpaceDN w:val="0"/>
        <w:snapToGrid w:val="0"/>
        <w:spacing w:line="360" w:lineRule="auto"/>
        <w:ind w:firstLine="420" w:firstLineChars="200"/>
        <w:rPr>
          <w:color w:val="auto"/>
          <w:szCs w:val="21"/>
        </w:rPr>
      </w:pPr>
      <w:r>
        <w:rPr>
          <w:rFonts w:hint="eastAsia"/>
          <w:color w:val="auto"/>
          <w:szCs w:val="21"/>
        </w:rPr>
        <w:t>国家税务总局广西壮族自治区税务局</w:t>
      </w:r>
      <w:r>
        <w:rPr>
          <w:color w:val="auto"/>
          <w:szCs w:val="21"/>
        </w:rPr>
        <w:t>（以下简称“甲方”）通</w:t>
      </w:r>
      <w:r>
        <w:rPr>
          <w:rFonts w:hint="eastAsia"/>
          <w:color w:val="auto"/>
          <w:szCs w:val="21"/>
        </w:rPr>
        <w:t>过</w:t>
      </w:r>
      <w:r>
        <w:rPr>
          <w:rFonts w:hint="eastAsia"/>
          <w:color w:val="auto"/>
          <w:szCs w:val="21"/>
          <w:u w:val="single"/>
        </w:rPr>
        <w:t>磋商</w:t>
      </w:r>
      <w:r>
        <w:rPr>
          <w:rFonts w:hint="eastAsia"/>
          <w:color w:val="auto"/>
          <w:szCs w:val="21"/>
        </w:rPr>
        <w:t>方</w:t>
      </w:r>
      <w:r>
        <w:rPr>
          <w:color w:val="auto"/>
          <w:szCs w:val="21"/>
        </w:rPr>
        <w:t>式采购，确定_____公司（以下简称“乙方”）为《国家税务总局广西壮族自治区税务局12366热线系统通信设备升级项目》</w:t>
      </w:r>
      <w:r>
        <w:rPr>
          <w:rFonts w:hint="eastAsia"/>
          <w:color w:val="auto"/>
          <w:szCs w:val="21"/>
        </w:rPr>
        <w:t>成交</w:t>
      </w:r>
      <w:r>
        <w:rPr>
          <w:color w:val="auto"/>
          <w:szCs w:val="21"/>
        </w:rPr>
        <w:t>供应商。甲乙双方同意按照该项目</w:t>
      </w:r>
      <w:r>
        <w:rPr>
          <w:rFonts w:hint="eastAsia"/>
          <w:color w:val="auto"/>
          <w:szCs w:val="21"/>
        </w:rPr>
        <w:t>磋商</w:t>
      </w:r>
      <w:r>
        <w:rPr>
          <w:color w:val="auto"/>
          <w:szCs w:val="21"/>
        </w:rPr>
        <w:t>文件约定的内容，签署《国家税务总局广西壮族自治区税务局12366热线系统通信设备升级项目合同书》（合同编号：</w:t>
      </w:r>
      <w:r>
        <w:rPr>
          <w:rFonts w:hint="eastAsia"/>
          <w:color w:val="auto"/>
          <w:szCs w:val="21"/>
          <w:u w:val="single"/>
        </w:rPr>
        <w:t xml:space="preserve">       </w:t>
      </w:r>
      <w:r>
        <w:rPr>
          <w:color w:val="auto"/>
          <w:szCs w:val="21"/>
        </w:rPr>
        <w:t>，以下简称“合同”</w:t>
      </w:r>
      <w:r>
        <w:rPr>
          <w:rFonts w:hint="eastAsia"/>
          <w:color w:val="auto"/>
          <w:szCs w:val="21"/>
        </w:rPr>
        <w:t>）</w:t>
      </w:r>
      <w:r>
        <w:rPr>
          <w:color w:val="auto"/>
          <w:szCs w:val="21"/>
        </w:rPr>
        <w:t>。</w:t>
      </w:r>
    </w:p>
    <w:p>
      <w:pPr>
        <w:topLinePunct/>
        <w:autoSpaceDE w:val="0"/>
        <w:autoSpaceDN w:val="0"/>
        <w:snapToGrid w:val="0"/>
        <w:spacing w:line="360" w:lineRule="auto"/>
        <w:ind w:left="482"/>
        <w:rPr>
          <w:b/>
          <w:color w:val="auto"/>
          <w:szCs w:val="21"/>
        </w:rPr>
      </w:pPr>
      <w:r>
        <w:rPr>
          <w:b/>
          <w:color w:val="auto"/>
          <w:szCs w:val="21"/>
        </w:rPr>
        <w:t>1. 合同文件</w:t>
      </w:r>
    </w:p>
    <w:p>
      <w:pPr>
        <w:tabs>
          <w:tab w:val="left" w:pos="700"/>
        </w:tabs>
        <w:topLinePunct/>
        <w:autoSpaceDE w:val="0"/>
        <w:autoSpaceDN w:val="0"/>
        <w:snapToGrid w:val="0"/>
        <w:spacing w:line="360" w:lineRule="auto"/>
        <w:ind w:firstLine="420" w:firstLineChars="200"/>
        <w:rPr>
          <w:color w:val="auto"/>
          <w:szCs w:val="21"/>
        </w:rPr>
      </w:pPr>
      <w:r>
        <w:rPr>
          <w:color w:val="auto"/>
          <w:szCs w:val="21"/>
        </w:rPr>
        <w:t>本合同所附下列文件是构成本合同不可分割的部分：</w:t>
      </w:r>
    </w:p>
    <w:p>
      <w:pPr>
        <w:tabs>
          <w:tab w:val="left" w:pos="700"/>
        </w:tabs>
        <w:topLinePunct/>
        <w:autoSpaceDE w:val="0"/>
        <w:autoSpaceDN w:val="0"/>
        <w:snapToGrid w:val="0"/>
        <w:spacing w:line="360" w:lineRule="auto"/>
        <w:ind w:firstLine="420" w:firstLineChars="200"/>
        <w:rPr>
          <w:color w:val="auto"/>
          <w:szCs w:val="21"/>
        </w:rPr>
      </w:pPr>
      <w:r>
        <w:rPr>
          <w:color w:val="auto"/>
          <w:szCs w:val="21"/>
        </w:rPr>
        <w:t>（1）合同通用条款；</w:t>
      </w:r>
    </w:p>
    <w:p>
      <w:pPr>
        <w:tabs>
          <w:tab w:val="left" w:pos="700"/>
        </w:tabs>
        <w:topLinePunct/>
        <w:autoSpaceDE w:val="0"/>
        <w:autoSpaceDN w:val="0"/>
        <w:snapToGrid w:val="0"/>
        <w:spacing w:line="360" w:lineRule="auto"/>
        <w:ind w:firstLine="420" w:firstLineChars="200"/>
        <w:rPr>
          <w:color w:val="auto"/>
          <w:szCs w:val="21"/>
        </w:rPr>
      </w:pPr>
      <w:r>
        <w:rPr>
          <w:color w:val="auto"/>
          <w:szCs w:val="21"/>
        </w:rPr>
        <w:t>（2）报价表（总报价表和分项报价表）；</w:t>
      </w:r>
    </w:p>
    <w:p>
      <w:pPr>
        <w:tabs>
          <w:tab w:val="left" w:pos="700"/>
        </w:tabs>
        <w:topLinePunct/>
        <w:autoSpaceDE w:val="0"/>
        <w:autoSpaceDN w:val="0"/>
        <w:snapToGrid w:val="0"/>
        <w:spacing w:line="360" w:lineRule="auto"/>
        <w:ind w:firstLine="420" w:firstLineChars="200"/>
        <w:rPr>
          <w:color w:val="auto"/>
          <w:szCs w:val="21"/>
        </w:rPr>
      </w:pPr>
      <w:r>
        <w:rPr>
          <w:color w:val="auto"/>
          <w:szCs w:val="21"/>
        </w:rPr>
        <w:t>（3）</w:t>
      </w:r>
      <w:r>
        <w:rPr>
          <w:rFonts w:hint="eastAsia"/>
          <w:color w:val="auto"/>
          <w:szCs w:val="21"/>
        </w:rPr>
        <w:t>磋商</w:t>
      </w:r>
      <w:r>
        <w:rPr>
          <w:color w:val="auto"/>
          <w:szCs w:val="21"/>
        </w:rPr>
        <w:t>文件；</w:t>
      </w:r>
    </w:p>
    <w:p>
      <w:pPr>
        <w:tabs>
          <w:tab w:val="left" w:pos="700"/>
        </w:tabs>
        <w:topLinePunct/>
        <w:autoSpaceDE w:val="0"/>
        <w:autoSpaceDN w:val="0"/>
        <w:snapToGrid w:val="0"/>
        <w:spacing w:line="360" w:lineRule="auto"/>
        <w:ind w:firstLine="420" w:firstLineChars="200"/>
        <w:rPr>
          <w:color w:val="auto"/>
          <w:szCs w:val="21"/>
        </w:rPr>
      </w:pPr>
      <w:r>
        <w:rPr>
          <w:color w:val="auto"/>
          <w:szCs w:val="21"/>
        </w:rPr>
        <w:t>（4）</w:t>
      </w:r>
      <w:r>
        <w:rPr>
          <w:rFonts w:hint="eastAsia"/>
          <w:color w:val="auto"/>
          <w:szCs w:val="21"/>
        </w:rPr>
        <w:t>响应文件</w:t>
      </w:r>
      <w:r>
        <w:rPr>
          <w:color w:val="auto"/>
          <w:szCs w:val="21"/>
        </w:rPr>
        <w:t>。</w:t>
      </w:r>
    </w:p>
    <w:p>
      <w:pPr>
        <w:topLinePunct/>
        <w:autoSpaceDE w:val="0"/>
        <w:autoSpaceDN w:val="0"/>
        <w:snapToGrid w:val="0"/>
        <w:spacing w:line="360" w:lineRule="auto"/>
        <w:ind w:left="482"/>
        <w:rPr>
          <w:b/>
          <w:color w:val="auto"/>
          <w:szCs w:val="21"/>
        </w:rPr>
      </w:pPr>
      <w:r>
        <w:rPr>
          <w:b/>
          <w:color w:val="auto"/>
          <w:szCs w:val="21"/>
        </w:rPr>
        <w:t>2. 合同范围和条件</w:t>
      </w:r>
    </w:p>
    <w:p>
      <w:pPr>
        <w:tabs>
          <w:tab w:val="left" w:pos="700"/>
        </w:tabs>
        <w:topLinePunct/>
        <w:autoSpaceDE w:val="0"/>
        <w:autoSpaceDN w:val="0"/>
        <w:snapToGrid w:val="0"/>
        <w:spacing w:line="360" w:lineRule="auto"/>
        <w:ind w:firstLine="420" w:firstLineChars="200"/>
        <w:rPr>
          <w:color w:val="auto"/>
          <w:szCs w:val="21"/>
        </w:rPr>
      </w:pPr>
      <w:r>
        <w:rPr>
          <w:color w:val="auto"/>
          <w:szCs w:val="21"/>
        </w:rPr>
        <w:t>本合同的范围和条件应与上述合同文件的规定相一致。</w:t>
      </w:r>
    </w:p>
    <w:p>
      <w:pPr>
        <w:tabs>
          <w:tab w:val="left" w:pos="700"/>
        </w:tabs>
        <w:topLinePunct/>
        <w:autoSpaceDE w:val="0"/>
        <w:autoSpaceDN w:val="0"/>
        <w:snapToGrid w:val="0"/>
        <w:spacing w:line="360" w:lineRule="auto"/>
        <w:ind w:firstLine="413" w:firstLineChars="196"/>
        <w:rPr>
          <w:b/>
          <w:color w:val="auto"/>
          <w:szCs w:val="21"/>
        </w:rPr>
      </w:pPr>
      <w:r>
        <w:rPr>
          <w:b/>
          <w:color w:val="auto"/>
          <w:szCs w:val="21"/>
        </w:rPr>
        <w:t>3. 合同</w:t>
      </w:r>
      <w:r>
        <w:rPr>
          <w:rFonts w:hint="eastAsia"/>
          <w:b/>
          <w:color w:val="auto"/>
          <w:szCs w:val="21"/>
          <w:lang w:eastAsia="zh-CN"/>
        </w:rPr>
        <w:t>总</w:t>
      </w:r>
      <w:r>
        <w:rPr>
          <w:b/>
          <w:color w:val="auto"/>
          <w:szCs w:val="21"/>
        </w:rPr>
        <w:t>金额</w:t>
      </w:r>
    </w:p>
    <w:p>
      <w:pPr>
        <w:tabs>
          <w:tab w:val="left" w:pos="700"/>
        </w:tabs>
        <w:topLinePunct/>
        <w:autoSpaceDE w:val="0"/>
        <w:autoSpaceDN w:val="0"/>
        <w:snapToGrid w:val="0"/>
        <w:spacing w:line="360" w:lineRule="auto"/>
        <w:ind w:firstLine="420" w:firstLineChars="200"/>
        <w:rPr>
          <w:color w:val="auto"/>
          <w:szCs w:val="21"/>
        </w:rPr>
      </w:pPr>
      <w:r>
        <w:rPr>
          <w:rFonts w:hint="eastAsia" w:ascii="宋体" w:hAnsi="宋体" w:cs="宋体"/>
          <w:color w:val="auto"/>
          <w:szCs w:val="21"/>
        </w:rPr>
        <w:t>本</w:t>
      </w:r>
      <w:r>
        <w:rPr>
          <w:color w:val="auto"/>
          <w:szCs w:val="21"/>
        </w:rPr>
        <w:t>合同</w:t>
      </w:r>
      <w:r>
        <w:rPr>
          <w:rFonts w:hint="eastAsia"/>
          <w:color w:val="auto"/>
          <w:szCs w:val="21"/>
          <w:lang w:eastAsia="zh-CN"/>
        </w:rPr>
        <w:t>总</w:t>
      </w:r>
      <w:r>
        <w:rPr>
          <w:color w:val="auto"/>
          <w:szCs w:val="21"/>
        </w:rPr>
        <w:t>金额</w:t>
      </w:r>
      <w:r>
        <w:rPr>
          <w:rFonts w:hint="eastAsia" w:ascii="宋体" w:hAnsi="宋体" w:cs="宋体"/>
          <w:color w:val="auto"/>
          <w:szCs w:val="21"/>
        </w:rPr>
        <w:t>为</w:t>
      </w:r>
      <w:r>
        <w:rPr>
          <w:color w:val="auto"/>
          <w:szCs w:val="21"/>
        </w:rPr>
        <w:t>人民币</w:t>
      </w:r>
      <w:r>
        <w:rPr>
          <w:color w:val="auto"/>
          <w:szCs w:val="21"/>
          <w:u w:val="single"/>
        </w:rPr>
        <w:t xml:space="preserve">        </w:t>
      </w:r>
      <w:r>
        <w:rPr>
          <w:color w:val="auto"/>
          <w:szCs w:val="21"/>
        </w:rPr>
        <w:t>元整（¥</w:t>
      </w:r>
      <w:r>
        <w:rPr>
          <w:color w:val="auto"/>
          <w:szCs w:val="21"/>
          <w:u w:val="single"/>
        </w:rPr>
        <w:t xml:space="preserve">           </w:t>
      </w:r>
      <w:r>
        <w:rPr>
          <w:color w:val="auto"/>
          <w:szCs w:val="21"/>
        </w:rPr>
        <w:t>）</w:t>
      </w:r>
      <w:r>
        <w:rPr>
          <w:rFonts w:hint="eastAsia" w:ascii="宋体" w:hAnsi="宋体" w:cs="宋体"/>
          <w:color w:val="auto"/>
          <w:szCs w:val="21"/>
        </w:rPr>
        <w:t>。</w:t>
      </w:r>
    </w:p>
    <w:p>
      <w:pPr>
        <w:tabs>
          <w:tab w:val="left" w:pos="700"/>
        </w:tabs>
        <w:topLinePunct/>
        <w:autoSpaceDE w:val="0"/>
        <w:autoSpaceDN w:val="0"/>
        <w:snapToGrid w:val="0"/>
        <w:spacing w:line="360" w:lineRule="auto"/>
        <w:ind w:firstLine="422" w:firstLineChars="200"/>
        <w:rPr>
          <w:b/>
          <w:color w:val="auto"/>
          <w:szCs w:val="21"/>
        </w:rPr>
      </w:pPr>
      <w:r>
        <w:rPr>
          <w:b/>
          <w:color w:val="auto"/>
          <w:szCs w:val="21"/>
        </w:rPr>
        <w:t>4.付款条件</w:t>
      </w:r>
    </w:p>
    <w:p>
      <w:pPr>
        <w:tabs>
          <w:tab w:val="center" w:pos="4890"/>
        </w:tabs>
        <w:spacing w:line="360" w:lineRule="auto"/>
        <w:ind w:firstLine="420" w:firstLineChars="200"/>
        <w:rPr>
          <w:rFonts w:ascii="宋体" w:hAnsi="宋体" w:cs="宋体"/>
          <w:color w:val="auto"/>
          <w:szCs w:val="21"/>
        </w:rPr>
      </w:pPr>
      <w:r>
        <w:rPr>
          <w:color w:val="auto"/>
          <w:szCs w:val="21"/>
        </w:rPr>
        <w:t>合同以人民币结算，付款方式：</w:t>
      </w:r>
      <w:r>
        <w:rPr>
          <w:rFonts w:hint="eastAsia" w:ascii="宋体" w:hAnsi="宋体" w:cs="宋体"/>
          <w:snapToGrid w:val="0"/>
          <w:color w:val="auto"/>
          <w:kern w:val="0"/>
          <w:szCs w:val="21"/>
        </w:rPr>
        <w:t>本项目分3个阶段支付</w:t>
      </w:r>
      <w:r>
        <w:rPr>
          <w:rFonts w:hint="eastAsia"/>
          <w:color w:val="auto"/>
        </w:rPr>
        <w:t>合同</w:t>
      </w:r>
      <w:r>
        <w:rPr>
          <w:rFonts w:hint="eastAsia" w:ascii="宋体" w:hAnsi="宋体" w:cs="宋体"/>
          <w:snapToGrid w:val="0"/>
          <w:color w:val="auto"/>
          <w:kern w:val="0"/>
          <w:szCs w:val="21"/>
          <w:lang w:eastAsia="zh-CN"/>
        </w:rPr>
        <w:t>总</w:t>
      </w:r>
      <w:r>
        <w:rPr>
          <w:rFonts w:hint="eastAsia"/>
          <w:color w:val="auto"/>
        </w:rPr>
        <w:t>金额</w:t>
      </w:r>
      <w:r>
        <w:rPr>
          <w:rFonts w:hint="eastAsia" w:ascii="宋体" w:hAnsi="宋体" w:cs="宋体"/>
          <w:snapToGrid w:val="0"/>
          <w:color w:val="auto"/>
          <w:kern w:val="0"/>
          <w:szCs w:val="21"/>
        </w:rPr>
        <w:t>，在合同签订后10个工作日内支付合同</w:t>
      </w:r>
      <w:r>
        <w:rPr>
          <w:rFonts w:hint="eastAsia" w:ascii="宋体" w:hAnsi="宋体" w:cs="宋体"/>
          <w:snapToGrid w:val="0"/>
          <w:color w:val="auto"/>
          <w:kern w:val="0"/>
          <w:szCs w:val="21"/>
          <w:lang w:eastAsia="zh-CN"/>
        </w:rPr>
        <w:t>总</w:t>
      </w:r>
      <w:r>
        <w:rPr>
          <w:rFonts w:hint="eastAsia" w:ascii="宋体" w:hAnsi="宋体" w:cs="宋体"/>
          <w:snapToGrid w:val="0"/>
          <w:color w:val="auto"/>
          <w:kern w:val="0"/>
          <w:szCs w:val="21"/>
        </w:rPr>
        <w:t>金额的50%；</w:t>
      </w:r>
      <w:r>
        <w:rPr>
          <w:rFonts w:hint="eastAsia"/>
          <w:color w:val="auto"/>
        </w:rPr>
        <w:t>产品安装完成</w:t>
      </w:r>
      <w:r>
        <w:rPr>
          <w:rFonts w:hint="eastAsia" w:ascii="宋体" w:hAnsi="宋体" w:cs="宋体"/>
          <w:snapToGrid w:val="0"/>
          <w:color w:val="auto"/>
          <w:kern w:val="0"/>
          <w:szCs w:val="21"/>
        </w:rPr>
        <w:t>，初步验收合格后10个工作日内，支付项目合同</w:t>
      </w:r>
      <w:r>
        <w:rPr>
          <w:rFonts w:hint="eastAsia" w:ascii="宋体" w:hAnsi="宋体" w:cs="宋体"/>
          <w:snapToGrid w:val="0"/>
          <w:color w:val="auto"/>
          <w:kern w:val="0"/>
          <w:szCs w:val="21"/>
          <w:lang w:eastAsia="zh-CN"/>
        </w:rPr>
        <w:t>总</w:t>
      </w:r>
      <w:r>
        <w:rPr>
          <w:rFonts w:hint="eastAsia" w:ascii="宋体" w:hAnsi="宋体" w:cs="宋体"/>
          <w:snapToGrid w:val="0"/>
          <w:color w:val="auto"/>
          <w:kern w:val="0"/>
          <w:szCs w:val="21"/>
        </w:rPr>
        <w:t>金额的20%；</w:t>
      </w:r>
      <w:r>
        <w:rPr>
          <w:rFonts w:hint="eastAsia"/>
          <w:color w:val="auto"/>
        </w:rPr>
        <w:t>质量保证期满</w:t>
      </w:r>
      <w:r>
        <w:rPr>
          <w:rFonts w:hint="eastAsia" w:ascii="宋体" w:hAnsi="宋体" w:cs="宋体"/>
          <w:snapToGrid w:val="0"/>
          <w:color w:val="auto"/>
          <w:kern w:val="0"/>
          <w:szCs w:val="21"/>
        </w:rPr>
        <w:t>满，根据项目验收标准以及合同罚责</w:t>
      </w:r>
      <w:r>
        <w:rPr>
          <w:rFonts w:hint="eastAsia" w:ascii="宋体" w:hAnsi="宋体" w:cs="宋体"/>
          <w:snapToGrid w:val="0"/>
          <w:color w:val="auto"/>
          <w:kern w:val="0"/>
          <w:szCs w:val="21"/>
        </w:rPr>
        <w:t>进行终验，终验合格后10个工作日内，支付剩余款项。</w:t>
      </w:r>
    </w:p>
    <w:p>
      <w:pPr>
        <w:tabs>
          <w:tab w:val="center" w:pos="4890"/>
        </w:tabs>
        <w:spacing w:line="360" w:lineRule="auto"/>
        <w:ind w:firstLine="420" w:firstLineChars="200"/>
        <w:rPr>
          <w:rFonts w:ascii="宋体" w:hAnsi="宋体" w:cs="宋体"/>
          <w:color w:val="auto"/>
          <w:szCs w:val="21"/>
        </w:rPr>
      </w:pPr>
      <w:r>
        <w:rPr>
          <w:rFonts w:hint="eastAsia" w:ascii="宋体" w:hAnsi="宋体" w:cs="宋体"/>
          <w:color w:val="auto"/>
          <w:szCs w:val="21"/>
        </w:rPr>
        <w:t>甲方付款前，乙方应向甲方开具等额有效的增值税发票，甲方未收到发票的，有权不予支付相应款项直至乙方提供合格发票，并不承担延迟付款责任。</w:t>
      </w:r>
    </w:p>
    <w:p>
      <w:pPr>
        <w:pStyle w:val="207"/>
        <w:tabs>
          <w:tab w:val="left" w:pos="840"/>
        </w:tabs>
        <w:adjustRightInd w:val="0"/>
        <w:snapToGrid w:val="0"/>
        <w:spacing w:line="360" w:lineRule="auto"/>
        <w:ind w:firstLine="422" w:firstLineChars="200"/>
        <w:jc w:val="both"/>
        <w:textAlignment w:val="baseline"/>
        <w:rPr>
          <w:rFonts w:ascii="宋体" w:hAnsi="宋体" w:eastAsia="宋体" w:cs="宋体"/>
          <w:b/>
          <w:bCs/>
          <w:color w:val="auto"/>
          <w:sz w:val="21"/>
          <w:szCs w:val="21"/>
        </w:rPr>
      </w:pPr>
      <w:r>
        <w:rPr>
          <w:rFonts w:ascii="宋体" w:hAnsi="宋体" w:eastAsia="宋体" w:cs="宋体"/>
          <w:b/>
          <w:bCs/>
          <w:color w:val="auto"/>
          <w:sz w:val="21"/>
          <w:szCs w:val="21"/>
        </w:rPr>
        <w:t>5. 合同签订及生效</w:t>
      </w:r>
    </w:p>
    <w:p>
      <w:pPr>
        <w:pStyle w:val="207"/>
        <w:tabs>
          <w:tab w:val="left" w:pos="840"/>
        </w:tabs>
        <w:adjustRightInd w:val="0"/>
        <w:snapToGrid w:val="0"/>
        <w:spacing w:line="360" w:lineRule="auto"/>
        <w:ind w:firstLine="420" w:firstLineChars="200"/>
        <w:jc w:val="both"/>
        <w:textAlignment w:val="baseline"/>
        <w:rPr>
          <w:rFonts w:ascii="宋体" w:hAnsi="宋体" w:eastAsia="宋体" w:cs="宋体"/>
          <w:color w:val="auto"/>
          <w:sz w:val="21"/>
          <w:szCs w:val="21"/>
        </w:rPr>
      </w:pPr>
      <w:r>
        <w:rPr>
          <w:rFonts w:ascii="宋体" w:hAnsi="宋体" w:eastAsia="宋体" w:cs="宋体"/>
          <w:color w:val="auto"/>
          <w:sz w:val="21"/>
          <w:szCs w:val="21"/>
        </w:rPr>
        <w:t>本合同一式</w:t>
      </w:r>
      <w:r>
        <w:rPr>
          <w:rFonts w:hint="eastAsia" w:ascii="宋体" w:hAnsi="宋体" w:eastAsia="宋体" w:cs="宋体"/>
          <w:color w:val="auto"/>
          <w:sz w:val="21"/>
          <w:szCs w:val="21"/>
          <w:u w:val="single"/>
        </w:rPr>
        <w:t>七</w:t>
      </w:r>
      <w:r>
        <w:rPr>
          <w:rFonts w:ascii="宋体" w:hAnsi="宋体" w:eastAsia="宋体" w:cs="宋体"/>
          <w:color w:val="auto"/>
          <w:sz w:val="21"/>
          <w:szCs w:val="21"/>
        </w:rPr>
        <w:t>份，由甲乙双方法定代表人或被授权人签字并盖章后生效。</w:t>
      </w:r>
    </w:p>
    <w:p>
      <w:pPr>
        <w:pStyle w:val="207"/>
        <w:tabs>
          <w:tab w:val="left" w:pos="840"/>
        </w:tabs>
        <w:adjustRightInd w:val="0"/>
        <w:snapToGrid w:val="0"/>
        <w:spacing w:line="360" w:lineRule="auto"/>
        <w:ind w:firstLine="420" w:firstLineChars="200"/>
        <w:jc w:val="both"/>
        <w:textAlignment w:val="baseline"/>
        <w:rPr>
          <w:rFonts w:ascii="宋体" w:hAnsi="宋体" w:eastAsia="宋体" w:cs="宋体"/>
          <w:color w:val="auto"/>
          <w:sz w:val="21"/>
          <w:szCs w:val="21"/>
        </w:rPr>
      </w:pPr>
      <w:r>
        <w:rPr>
          <w:rFonts w:ascii="宋体" w:hAnsi="宋体" w:eastAsia="宋体" w:cs="宋体"/>
          <w:color w:val="auto"/>
          <w:sz w:val="21"/>
          <w:szCs w:val="21"/>
        </w:rPr>
        <w:t>乙方由法定代表人签订合同的，应提供法定代表人身份证复印件；乙方由被授权人签订合同的，应提供授权委托书和法定代表人及被授权人身份证复印件。</w:t>
      </w:r>
    </w:p>
    <w:p>
      <w:pPr>
        <w:tabs>
          <w:tab w:val="left" w:pos="700"/>
        </w:tabs>
        <w:topLinePunct/>
        <w:autoSpaceDE w:val="0"/>
        <w:autoSpaceDN w:val="0"/>
        <w:spacing w:line="360" w:lineRule="auto"/>
        <w:ind w:left="360"/>
        <w:rPr>
          <w:color w:val="auto"/>
          <w:szCs w:val="21"/>
        </w:rPr>
      </w:pPr>
      <w:r>
        <w:rPr>
          <w:color w:val="auto"/>
          <w:szCs w:val="21"/>
        </w:rPr>
        <w:t>甲方：</w:t>
      </w:r>
      <w:r>
        <w:rPr>
          <w:rFonts w:hint="eastAsia"/>
          <w:color w:val="auto"/>
          <w:szCs w:val="21"/>
        </w:rPr>
        <w:t xml:space="preserve">国家税务总局广西壮族自治区税务局        </w:t>
      </w:r>
      <w:r>
        <w:rPr>
          <w:color w:val="auto"/>
          <w:szCs w:val="21"/>
        </w:rPr>
        <w:t xml:space="preserve">     乙方：</w:t>
      </w:r>
    </w:p>
    <w:p>
      <w:pPr>
        <w:tabs>
          <w:tab w:val="left" w:pos="700"/>
        </w:tabs>
        <w:topLinePunct/>
        <w:autoSpaceDE w:val="0"/>
        <w:autoSpaceDN w:val="0"/>
        <w:spacing w:line="360" w:lineRule="auto"/>
        <w:ind w:left="360"/>
        <w:rPr>
          <w:color w:val="auto"/>
          <w:szCs w:val="21"/>
        </w:rPr>
      </w:pPr>
      <w:r>
        <w:rPr>
          <w:color w:val="auto"/>
          <w:szCs w:val="21"/>
        </w:rPr>
        <w:t xml:space="preserve">签字：                                 </w:t>
      </w:r>
      <w:r>
        <w:rPr>
          <w:rFonts w:hint="eastAsia"/>
          <w:color w:val="auto"/>
          <w:szCs w:val="21"/>
        </w:rPr>
        <w:t xml:space="preserve">            </w:t>
      </w:r>
      <w:r>
        <w:rPr>
          <w:color w:val="auto"/>
          <w:szCs w:val="21"/>
        </w:rPr>
        <w:t>签字：</w:t>
      </w:r>
    </w:p>
    <w:p>
      <w:pPr>
        <w:tabs>
          <w:tab w:val="left" w:pos="700"/>
        </w:tabs>
        <w:topLinePunct/>
        <w:autoSpaceDE w:val="0"/>
        <w:autoSpaceDN w:val="0"/>
        <w:spacing w:line="360" w:lineRule="auto"/>
        <w:ind w:left="360"/>
        <w:rPr>
          <w:color w:val="auto"/>
          <w:szCs w:val="21"/>
        </w:rPr>
      </w:pPr>
      <w:r>
        <w:rPr>
          <w:color w:val="auto"/>
          <w:szCs w:val="21"/>
        </w:rPr>
        <w:t xml:space="preserve">盖章：                                </w:t>
      </w:r>
      <w:r>
        <w:rPr>
          <w:rFonts w:hint="eastAsia"/>
          <w:color w:val="auto"/>
          <w:szCs w:val="21"/>
        </w:rPr>
        <w:t xml:space="preserve">            </w:t>
      </w:r>
      <w:r>
        <w:rPr>
          <w:color w:val="auto"/>
          <w:szCs w:val="21"/>
        </w:rPr>
        <w:t xml:space="preserve"> 盖章： </w:t>
      </w:r>
    </w:p>
    <w:p>
      <w:pPr>
        <w:tabs>
          <w:tab w:val="left" w:pos="700"/>
        </w:tabs>
        <w:topLinePunct/>
        <w:autoSpaceDE w:val="0"/>
        <w:autoSpaceDN w:val="0"/>
        <w:spacing w:line="360" w:lineRule="auto"/>
        <w:ind w:left="360"/>
        <w:rPr>
          <w:color w:val="auto"/>
          <w:szCs w:val="21"/>
        </w:rPr>
      </w:pPr>
      <w:r>
        <w:rPr>
          <w:color w:val="auto"/>
          <w:szCs w:val="21"/>
        </w:rPr>
        <w:t xml:space="preserve">日期：    年    月    日               </w:t>
      </w:r>
      <w:r>
        <w:rPr>
          <w:rFonts w:hint="eastAsia"/>
          <w:color w:val="auto"/>
          <w:szCs w:val="21"/>
        </w:rPr>
        <w:t xml:space="preserve">            </w:t>
      </w:r>
      <w:r>
        <w:rPr>
          <w:color w:val="auto"/>
          <w:szCs w:val="21"/>
        </w:rPr>
        <w:t>日期：     年   月   日</w:t>
      </w:r>
    </w:p>
    <w:p>
      <w:pPr>
        <w:topLinePunct/>
        <w:autoSpaceDE w:val="0"/>
        <w:autoSpaceDN w:val="0"/>
        <w:spacing w:line="360" w:lineRule="auto"/>
        <w:jc w:val="center"/>
        <w:rPr>
          <w:rFonts w:ascii="宋体" w:hAnsi="宋体" w:cs="宋体"/>
          <w:b/>
          <w:color w:val="auto"/>
          <w:sz w:val="24"/>
        </w:rPr>
      </w:pPr>
      <w:r>
        <w:rPr>
          <w:rFonts w:hint="eastAsia" w:ascii="宋体" w:hAnsi="宋体" w:cs="宋体"/>
          <w:b/>
          <w:color w:val="auto"/>
          <w:sz w:val="24"/>
        </w:rPr>
        <w:t>二   合 同 通 用 条 款</w:t>
      </w:r>
    </w:p>
    <w:p>
      <w:pPr>
        <w:topLinePunct/>
        <w:autoSpaceDE w:val="0"/>
        <w:autoSpaceDN w:val="0"/>
        <w:spacing w:line="360" w:lineRule="auto"/>
        <w:ind w:firstLine="422" w:firstLineChars="200"/>
        <w:rPr>
          <w:b/>
          <w:color w:val="auto"/>
          <w:szCs w:val="21"/>
        </w:rPr>
      </w:pPr>
      <w:r>
        <w:rPr>
          <w:b/>
          <w:color w:val="auto"/>
          <w:szCs w:val="21"/>
        </w:rPr>
        <w:t>1. 定义</w:t>
      </w:r>
    </w:p>
    <w:p>
      <w:pPr>
        <w:topLinePunct/>
        <w:autoSpaceDE w:val="0"/>
        <w:autoSpaceDN w:val="0"/>
        <w:spacing w:line="360" w:lineRule="auto"/>
        <w:ind w:firstLine="420" w:firstLineChars="200"/>
        <w:rPr>
          <w:color w:val="auto"/>
          <w:szCs w:val="21"/>
        </w:rPr>
      </w:pPr>
      <w:r>
        <w:rPr>
          <w:color w:val="auto"/>
          <w:szCs w:val="21"/>
        </w:rPr>
        <w:t>本合同下列术语应解释为：</w:t>
      </w:r>
    </w:p>
    <w:p>
      <w:pPr>
        <w:tabs>
          <w:tab w:val="left" w:pos="700"/>
        </w:tabs>
        <w:spacing w:line="360" w:lineRule="auto"/>
        <w:ind w:firstLine="420" w:firstLineChars="200"/>
        <w:rPr>
          <w:color w:val="auto"/>
          <w:szCs w:val="21"/>
        </w:rPr>
      </w:pPr>
      <w:r>
        <w:rPr>
          <w:color w:val="auto"/>
          <w:szCs w:val="21"/>
        </w:rPr>
        <w:t>1.1“甲方”是指</w:t>
      </w:r>
      <w:r>
        <w:rPr>
          <w:rFonts w:hint="eastAsia"/>
          <w:color w:val="auto"/>
          <w:szCs w:val="21"/>
        </w:rPr>
        <w:t>国家税务总局广西壮族自治区税务局</w:t>
      </w:r>
      <w:r>
        <w:rPr>
          <w:color w:val="auto"/>
          <w:szCs w:val="21"/>
        </w:rPr>
        <w:t>。</w:t>
      </w:r>
    </w:p>
    <w:p>
      <w:pPr>
        <w:tabs>
          <w:tab w:val="left" w:pos="700"/>
        </w:tabs>
        <w:spacing w:line="360" w:lineRule="auto"/>
        <w:ind w:firstLine="420" w:firstLineChars="200"/>
        <w:rPr>
          <w:color w:val="auto"/>
          <w:szCs w:val="21"/>
        </w:rPr>
      </w:pPr>
      <w:r>
        <w:rPr>
          <w:color w:val="auto"/>
          <w:szCs w:val="21"/>
        </w:rPr>
        <w:t>1.1.1“甲方采购部门”见“合同条款前附表”第5项“甲方采购部门”。</w:t>
      </w:r>
    </w:p>
    <w:p>
      <w:pPr>
        <w:tabs>
          <w:tab w:val="left" w:pos="700"/>
        </w:tabs>
        <w:spacing w:line="360" w:lineRule="auto"/>
        <w:ind w:firstLine="420" w:firstLineChars="200"/>
        <w:rPr>
          <w:color w:val="auto"/>
          <w:szCs w:val="21"/>
        </w:rPr>
      </w:pPr>
      <w:r>
        <w:rPr>
          <w:color w:val="auto"/>
          <w:szCs w:val="21"/>
        </w:rPr>
        <w:t>1.1.1“甲方采购部门”见“合同条款前附表”第5项“甲方采购部门”。</w:t>
      </w:r>
    </w:p>
    <w:p>
      <w:pPr>
        <w:tabs>
          <w:tab w:val="left" w:pos="700"/>
        </w:tabs>
        <w:spacing w:line="360" w:lineRule="auto"/>
        <w:ind w:firstLine="420" w:firstLineChars="200"/>
        <w:rPr>
          <w:color w:val="auto"/>
          <w:szCs w:val="21"/>
        </w:rPr>
      </w:pPr>
      <w:r>
        <w:rPr>
          <w:color w:val="auto"/>
          <w:szCs w:val="21"/>
        </w:rPr>
        <w:t>1.1.2“甲方需求部门”见“合同条款前附表”第5项“甲方需求部门”。</w:t>
      </w:r>
    </w:p>
    <w:p>
      <w:pPr>
        <w:tabs>
          <w:tab w:val="left" w:pos="700"/>
        </w:tabs>
        <w:spacing w:line="360" w:lineRule="auto"/>
        <w:ind w:firstLine="420" w:firstLineChars="200"/>
        <w:rPr>
          <w:color w:val="auto"/>
          <w:szCs w:val="21"/>
        </w:rPr>
      </w:pPr>
      <w:r>
        <w:rPr>
          <w:color w:val="auto"/>
          <w:szCs w:val="21"/>
        </w:rPr>
        <w:t>1.2“乙方”见“合同条款前附表”第6项“乙方名称”。</w:t>
      </w:r>
    </w:p>
    <w:p>
      <w:pPr>
        <w:tabs>
          <w:tab w:val="left" w:pos="700"/>
        </w:tabs>
        <w:spacing w:line="360" w:lineRule="auto"/>
        <w:ind w:firstLine="420" w:firstLineChars="200"/>
        <w:rPr>
          <w:color w:val="auto"/>
          <w:szCs w:val="21"/>
        </w:rPr>
      </w:pPr>
      <w:r>
        <w:rPr>
          <w:color w:val="auto"/>
          <w:szCs w:val="21"/>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color w:val="auto"/>
          <w:szCs w:val="21"/>
        </w:rPr>
      </w:pPr>
      <w:r>
        <w:rPr>
          <w:color w:val="auto"/>
          <w:szCs w:val="21"/>
        </w:rPr>
        <w:t>1.4 “天”除非特别指出，“天”均为自然天。</w:t>
      </w:r>
    </w:p>
    <w:p>
      <w:pPr>
        <w:topLinePunct/>
        <w:autoSpaceDE w:val="0"/>
        <w:autoSpaceDN w:val="0"/>
        <w:spacing w:line="360" w:lineRule="auto"/>
        <w:ind w:firstLine="422" w:firstLineChars="200"/>
        <w:rPr>
          <w:b/>
          <w:color w:val="auto"/>
          <w:szCs w:val="21"/>
        </w:rPr>
      </w:pPr>
      <w:r>
        <w:rPr>
          <w:b/>
          <w:color w:val="auto"/>
          <w:szCs w:val="21"/>
        </w:rPr>
        <w:t>2. 标准</w:t>
      </w:r>
    </w:p>
    <w:p>
      <w:pPr>
        <w:tabs>
          <w:tab w:val="left" w:pos="700"/>
        </w:tabs>
        <w:spacing w:line="360" w:lineRule="auto"/>
        <w:ind w:firstLine="420" w:firstLineChars="200"/>
        <w:rPr>
          <w:color w:val="auto"/>
          <w:szCs w:val="21"/>
        </w:rPr>
      </w:pPr>
      <w:r>
        <w:rPr>
          <w:color w:val="auto"/>
          <w:szCs w:val="21"/>
        </w:rPr>
        <w:t>2.1乙方为甲方交付的货物及服务应符合</w:t>
      </w:r>
      <w:r>
        <w:rPr>
          <w:rFonts w:hint="eastAsia"/>
          <w:color w:val="auto"/>
          <w:szCs w:val="21"/>
        </w:rPr>
        <w:t>磋商文件</w:t>
      </w:r>
      <w:r>
        <w:rPr>
          <w:color w:val="auto"/>
          <w:szCs w:val="21"/>
        </w:rPr>
        <w:t>所述的内容，如果没有提及适用标准，则应符合相应的国家标准。这些标准必须是有关机构发布的最新版本的标准。</w:t>
      </w:r>
    </w:p>
    <w:p>
      <w:pPr>
        <w:tabs>
          <w:tab w:val="left" w:pos="700"/>
        </w:tabs>
        <w:spacing w:line="360" w:lineRule="auto"/>
        <w:ind w:firstLine="420" w:firstLineChars="200"/>
        <w:rPr>
          <w:color w:val="auto"/>
          <w:szCs w:val="21"/>
        </w:rPr>
      </w:pPr>
      <w:r>
        <w:rPr>
          <w:color w:val="auto"/>
          <w:szCs w:val="21"/>
        </w:rPr>
        <w:t>2.2除非技术要求中另有规定，计量单位均采用中华人民共和国法定计量单位。</w:t>
      </w:r>
    </w:p>
    <w:p>
      <w:pPr>
        <w:tabs>
          <w:tab w:val="left" w:pos="700"/>
        </w:tabs>
        <w:spacing w:line="360" w:lineRule="auto"/>
        <w:ind w:firstLine="420" w:firstLineChars="200"/>
        <w:rPr>
          <w:color w:val="auto"/>
          <w:szCs w:val="21"/>
        </w:rPr>
      </w:pPr>
      <w:r>
        <w:rPr>
          <w:color w:val="auto"/>
          <w:szCs w:val="21"/>
        </w:rPr>
        <w:t>2.3货物还应符合国家有关安全、环保、卫生的相关规定。</w:t>
      </w:r>
    </w:p>
    <w:p>
      <w:pPr>
        <w:spacing w:line="360" w:lineRule="auto"/>
        <w:ind w:firstLine="422" w:firstLineChars="200"/>
        <w:rPr>
          <w:b/>
          <w:color w:val="auto"/>
          <w:szCs w:val="21"/>
        </w:rPr>
      </w:pPr>
      <w:r>
        <w:rPr>
          <w:b/>
          <w:color w:val="auto"/>
          <w:szCs w:val="21"/>
        </w:rPr>
        <w:t>3. 质量保证和包装要求</w:t>
      </w:r>
    </w:p>
    <w:p>
      <w:pPr>
        <w:spacing w:line="360" w:lineRule="auto"/>
        <w:ind w:firstLine="420" w:firstLineChars="200"/>
        <w:rPr>
          <w:color w:val="auto"/>
          <w:szCs w:val="21"/>
        </w:rPr>
      </w:pPr>
      <w:r>
        <w:rPr>
          <w:color w:val="auto"/>
          <w:szCs w:val="21"/>
        </w:rPr>
        <w:t>3.1乙方应保证所供货物是全新的、未使用过的，并完全符合或高于合同要求的质量、规格和技术性能的要求。</w:t>
      </w:r>
    </w:p>
    <w:p>
      <w:pPr>
        <w:spacing w:line="360" w:lineRule="auto"/>
        <w:ind w:firstLine="420" w:firstLineChars="200"/>
        <w:rPr>
          <w:color w:val="auto"/>
          <w:szCs w:val="21"/>
        </w:rPr>
      </w:pPr>
      <w:r>
        <w:rPr>
          <w:color w:val="auto"/>
          <w:szCs w:val="21"/>
        </w:rPr>
        <w:t>3.2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pPr>
        <w:spacing w:line="360" w:lineRule="auto"/>
        <w:ind w:firstLine="420" w:firstLineChars="200"/>
        <w:rPr>
          <w:color w:val="auto"/>
          <w:szCs w:val="21"/>
        </w:rPr>
      </w:pPr>
      <w:r>
        <w:rPr>
          <w:color w:val="auto"/>
          <w:szCs w:val="21"/>
        </w:rPr>
        <w:t>3.3本合同涉及货物的包装应符合《商品包装政府采购需求标准（试行）》（财办库〔2020〕123 号）要求。除合同另有规定外，乙方提供的全部货物均应按标准保护措施进行包装，这类包装应适应于远距离运输、防潮、防震、防锈和防野蛮装卸，以确保货物安全无损运抵指定现场。</w:t>
      </w:r>
    </w:p>
    <w:p>
      <w:pPr>
        <w:spacing w:line="360" w:lineRule="auto"/>
        <w:ind w:firstLine="420" w:firstLineChars="200"/>
        <w:rPr>
          <w:color w:val="auto"/>
          <w:szCs w:val="21"/>
        </w:rPr>
      </w:pPr>
      <w:r>
        <w:rPr>
          <w:color w:val="auto"/>
          <w:szCs w:val="21"/>
        </w:rPr>
        <w:t>3.4乙方应承担由于其包装或防护措施不当而引起的货物损坏和丢失的任何损失责任和费用。</w:t>
      </w:r>
    </w:p>
    <w:p>
      <w:pPr>
        <w:spacing w:line="360" w:lineRule="auto"/>
        <w:ind w:firstLine="420" w:firstLineChars="200"/>
        <w:rPr>
          <w:color w:val="auto"/>
          <w:szCs w:val="21"/>
        </w:rPr>
      </w:pPr>
      <w:r>
        <w:rPr>
          <w:color w:val="auto"/>
          <w:szCs w:val="21"/>
        </w:rPr>
        <w:t>3.5每一个包装箱内应附一份详细装箱单和质量证书。</w:t>
      </w:r>
    </w:p>
    <w:p>
      <w:pPr>
        <w:spacing w:line="360" w:lineRule="auto"/>
        <w:ind w:firstLine="420" w:firstLineChars="200"/>
        <w:rPr>
          <w:color w:val="auto"/>
          <w:szCs w:val="21"/>
        </w:rPr>
      </w:pPr>
      <w:r>
        <w:rPr>
          <w:color w:val="auto"/>
          <w:szCs w:val="21"/>
        </w:rPr>
        <w:t>3.6如果货物质量或规格与合同不符或不符合甲方要求，或证实货物是有缺陷的，包括潜在的缺陷或使用不符合要求的材料等，由此引起的全部费用由乙方承担。若以上原因导致或引起甲方损失及导致或引起第三方受到损害的，全部赔偿责任均应由乙方承担。</w:t>
      </w:r>
    </w:p>
    <w:p>
      <w:pPr>
        <w:spacing w:line="360" w:lineRule="auto"/>
        <w:ind w:firstLine="420" w:firstLineChars="200"/>
        <w:rPr>
          <w:color w:val="auto"/>
          <w:szCs w:val="21"/>
        </w:rPr>
      </w:pPr>
      <w:r>
        <w:rPr>
          <w:color w:val="auto"/>
          <w:szCs w:val="21"/>
        </w:rPr>
        <w:t>3.7在质量保证期内所发现的缺陷，甲方应尽快以书面形式通知乙方。</w:t>
      </w:r>
    </w:p>
    <w:p>
      <w:pPr>
        <w:spacing w:line="360" w:lineRule="auto"/>
        <w:ind w:firstLine="420" w:firstLineChars="200"/>
        <w:rPr>
          <w:color w:val="auto"/>
          <w:szCs w:val="21"/>
        </w:rPr>
      </w:pPr>
      <w:r>
        <w:rPr>
          <w:color w:val="auto"/>
          <w:szCs w:val="21"/>
        </w:rPr>
        <w:t>3.8乙方收到通知后应在本合同规定的响应时间内以合理的速度免费维修或更换有缺陷的货物或部件。</w:t>
      </w:r>
    </w:p>
    <w:p>
      <w:pPr>
        <w:spacing w:line="360" w:lineRule="auto"/>
        <w:ind w:firstLine="420" w:firstLineChars="200"/>
        <w:rPr>
          <w:color w:val="auto"/>
          <w:szCs w:val="21"/>
        </w:rPr>
      </w:pPr>
      <w:r>
        <w:rPr>
          <w:color w:val="auto"/>
          <w:szCs w:val="21"/>
        </w:rPr>
        <w:t>3.9乙方在约定的时间内未能弥补缺陷，甲方可采取必要的补救措施，但其风险和费用将由乙方承担，甲方根据合同规定对乙方行使的其他权利不受影响。</w:t>
      </w:r>
    </w:p>
    <w:p>
      <w:pPr>
        <w:spacing w:line="360" w:lineRule="auto"/>
        <w:ind w:firstLine="420" w:firstLineChars="200"/>
        <w:rPr>
          <w:color w:val="auto"/>
          <w:szCs w:val="21"/>
        </w:rPr>
      </w:pPr>
      <w:r>
        <w:rPr>
          <w:color w:val="auto"/>
          <w:szCs w:val="21"/>
        </w:rPr>
        <w:t>3.10本合同的质量保证期见合同条款前附表“12.质量保证期”。</w:t>
      </w:r>
    </w:p>
    <w:p>
      <w:pPr>
        <w:spacing w:line="360" w:lineRule="auto"/>
        <w:ind w:firstLine="420" w:firstLineChars="200"/>
        <w:rPr>
          <w:color w:val="auto"/>
          <w:szCs w:val="21"/>
        </w:rPr>
      </w:pPr>
      <w:r>
        <w:rPr>
          <w:color w:val="auto"/>
          <w:szCs w:val="21"/>
        </w:rPr>
        <w:t>3.11乙方保证对其出售的货物享有合法的权利。</w:t>
      </w:r>
    </w:p>
    <w:p>
      <w:pPr>
        <w:spacing w:line="360" w:lineRule="auto"/>
        <w:ind w:firstLine="420" w:firstLineChars="200"/>
        <w:rPr>
          <w:color w:val="auto"/>
          <w:szCs w:val="21"/>
        </w:rPr>
      </w:pPr>
      <w:r>
        <w:rPr>
          <w:color w:val="auto"/>
          <w:szCs w:val="21"/>
        </w:rPr>
        <w:t>3.12乙方保证在其出售的货物上不存在任何未曾向甲方透露的担保物权，如抵押权、质押权、留置权等。</w:t>
      </w:r>
    </w:p>
    <w:p>
      <w:pPr>
        <w:spacing w:line="360" w:lineRule="auto"/>
        <w:ind w:firstLine="420" w:firstLineChars="200"/>
        <w:rPr>
          <w:color w:val="auto"/>
          <w:szCs w:val="21"/>
        </w:rPr>
      </w:pPr>
      <w:r>
        <w:rPr>
          <w:color w:val="auto"/>
          <w:szCs w:val="21"/>
        </w:rPr>
        <w:t>3.13如甲方使用该货物构成上述侵权的，则由乙方承担全部责任。</w:t>
      </w:r>
    </w:p>
    <w:p>
      <w:pPr>
        <w:tabs>
          <w:tab w:val="left" w:pos="0"/>
          <w:tab w:val="left" w:pos="540"/>
        </w:tabs>
        <w:spacing w:line="360" w:lineRule="auto"/>
        <w:ind w:firstLine="422" w:firstLineChars="200"/>
        <w:rPr>
          <w:b/>
          <w:color w:val="auto"/>
          <w:szCs w:val="21"/>
        </w:rPr>
      </w:pPr>
      <w:r>
        <w:rPr>
          <w:b/>
          <w:color w:val="auto"/>
          <w:szCs w:val="21"/>
        </w:rPr>
        <w:t>4. 知识产权</w:t>
      </w:r>
    </w:p>
    <w:p>
      <w:pPr>
        <w:topLinePunct/>
        <w:autoSpaceDE w:val="0"/>
        <w:autoSpaceDN w:val="0"/>
        <w:spacing w:line="360" w:lineRule="auto"/>
        <w:ind w:firstLine="420" w:firstLineChars="200"/>
        <w:rPr>
          <w:color w:val="auto"/>
          <w:szCs w:val="21"/>
        </w:rPr>
      </w:pPr>
      <w:r>
        <w:rPr>
          <w:color w:val="auto"/>
          <w:szCs w:val="21"/>
        </w:rPr>
        <w:t>4.1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topLinePunct/>
        <w:autoSpaceDE w:val="0"/>
        <w:autoSpaceDN w:val="0"/>
        <w:spacing w:line="360" w:lineRule="auto"/>
        <w:ind w:firstLine="420" w:firstLineChars="200"/>
        <w:rPr>
          <w:color w:val="auto"/>
          <w:szCs w:val="21"/>
        </w:rPr>
      </w:pPr>
      <w:r>
        <w:rPr>
          <w:color w:val="auto"/>
          <w:szCs w:val="21"/>
        </w:rPr>
        <w:t>4.2如果甲方在使用乙方货物或货物的任何一部分过程中，第三方指控侵犯其专利权、工业设计权、使用权等知识产权，乙方将自费为甲方、各采购人答辩，并支付法院最终判决的甲方应支付第三方的一切费用。</w:t>
      </w:r>
    </w:p>
    <w:p>
      <w:pPr>
        <w:topLinePunct/>
        <w:autoSpaceDE w:val="0"/>
        <w:autoSpaceDN w:val="0"/>
        <w:spacing w:line="360" w:lineRule="auto"/>
        <w:ind w:firstLine="420" w:firstLineChars="200"/>
        <w:rPr>
          <w:color w:val="auto"/>
          <w:szCs w:val="21"/>
        </w:rPr>
      </w:pPr>
      <w:r>
        <w:rPr>
          <w:color w:val="auto"/>
          <w:szCs w:val="21"/>
        </w:rPr>
        <w:t>4.3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spacing w:line="360" w:lineRule="auto"/>
        <w:ind w:firstLine="422" w:firstLineChars="200"/>
        <w:rPr>
          <w:b/>
          <w:color w:val="auto"/>
          <w:szCs w:val="21"/>
        </w:rPr>
      </w:pPr>
      <w:r>
        <w:rPr>
          <w:b/>
          <w:color w:val="auto"/>
          <w:szCs w:val="21"/>
        </w:rPr>
        <w:t>5. 保密条款</w:t>
      </w:r>
    </w:p>
    <w:p>
      <w:pPr>
        <w:spacing w:line="360" w:lineRule="auto"/>
        <w:ind w:firstLine="420" w:firstLineChars="200"/>
        <w:rPr>
          <w:color w:val="auto"/>
          <w:szCs w:val="21"/>
        </w:rPr>
      </w:pPr>
      <w:r>
        <w:rPr>
          <w:color w:val="auto"/>
          <w:szCs w:val="21"/>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color w:val="auto"/>
          <w:szCs w:val="21"/>
        </w:rPr>
      </w:pPr>
      <w:r>
        <w:rPr>
          <w:color w:val="auto"/>
          <w:szCs w:val="21"/>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color w:val="auto"/>
          <w:szCs w:val="21"/>
        </w:rPr>
      </w:pPr>
      <w:r>
        <w:rPr>
          <w:color w:val="auto"/>
          <w:szCs w:val="21"/>
        </w:rPr>
        <w:t>（1） 应以审慎态度避免泄漏、公开或传播甲方的信息；</w:t>
      </w:r>
    </w:p>
    <w:p>
      <w:pPr>
        <w:spacing w:line="360" w:lineRule="auto"/>
        <w:ind w:firstLine="420" w:firstLineChars="200"/>
        <w:rPr>
          <w:color w:val="auto"/>
          <w:szCs w:val="21"/>
        </w:rPr>
      </w:pPr>
      <w:r>
        <w:rPr>
          <w:color w:val="auto"/>
          <w:szCs w:val="21"/>
        </w:rPr>
        <w:t>（2） 在开发过程中对数据的处理方式应事先得到甲方的许可；</w:t>
      </w:r>
    </w:p>
    <w:p>
      <w:pPr>
        <w:spacing w:line="360" w:lineRule="auto"/>
        <w:ind w:firstLine="420" w:firstLineChars="200"/>
        <w:rPr>
          <w:color w:val="auto"/>
          <w:szCs w:val="21"/>
        </w:rPr>
      </w:pPr>
      <w:r>
        <w:rPr>
          <w:color w:val="auto"/>
          <w:szCs w:val="21"/>
        </w:rPr>
        <w:t>（3） 未经甲方书面许可，不得对有关信息进行修改、补充、复制；</w:t>
      </w:r>
    </w:p>
    <w:p>
      <w:pPr>
        <w:spacing w:line="360" w:lineRule="auto"/>
        <w:ind w:firstLine="420" w:firstLineChars="200"/>
        <w:rPr>
          <w:color w:val="auto"/>
          <w:szCs w:val="21"/>
        </w:rPr>
      </w:pPr>
      <w:r>
        <w:rPr>
          <w:color w:val="auto"/>
          <w:szCs w:val="21"/>
        </w:rPr>
        <w:t>（4） 未经甲方书面许可，不得将信息以任何方式（如E-mail）携带出甲方场所；</w:t>
      </w:r>
    </w:p>
    <w:p>
      <w:pPr>
        <w:spacing w:line="360" w:lineRule="auto"/>
        <w:ind w:firstLine="420" w:firstLineChars="200"/>
        <w:rPr>
          <w:color w:val="auto"/>
          <w:szCs w:val="21"/>
        </w:rPr>
      </w:pPr>
      <w:r>
        <w:rPr>
          <w:color w:val="auto"/>
          <w:szCs w:val="21"/>
        </w:rPr>
        <w:t xml:space="preserve">（5） 未经甲方书面许可，不得将信息透露给任何其他人； </w:t>
      </w:r>
    </w:p>
    <w:p>
      <w:pPr>
        <w:spacing w:line="360" w:lineRule="auto"/>
        <w:ind w:firstLine="420" w:firstLineChars="200"/>
        <w:rPr>
          <w:color w:val="auto"/>
          <w:szCs w:val="21"/>
        </w:rPr>
      </w:pPr>
      <w:r>
        <w:rPr>
          <w:color w:val="auto"/>
          <w:szCs w:val="21"/>
        </w:rPr>
        <w:t>（6） 严禁在提交的产品中设置远程维护接口和后门程序；</w:t>
      </w:r>
    </w:p>
    <w:p>
      <w:pPr>
        <w:spacing w:line="360" w:lineRule="auto"/>
        <w:ind w:firstLine="420" w:firstLineChars="200"/>
        <w:rPr>
          <w:color w:val="auto"/>
          <w:szCs w:val="21"/>
        </w:rPr>
      </w:pPr>
      <w:r>
        <w:rPr>
          <w:color w:val="auto"/>
          <w:szCs w:val="21"/>
        </w:rPr>
        <w:t>（7） 不得进行系统软硬件设备的远程维护；</w:t>
      </w:r>
    </w:p>
    <w:p>
      <w:pPr>
        <w:spacing w:line="360" w:lineRule="auto"/>
        <w:ind w:firstLine="420" w:firstLineChars="200"/>
        <w:rPr>
          <w:color w:val="auto"/>
          <w:szCs w:val="21"/>
        </w:rPr>
      </w:pPr>
      <w:r>
        <w:rPr>
          <w:color w:val="auto"/>
          <w:szCs w:val="21"/>
        </w:rPr>
        <w:t>（8） 甲方以书面形式提出的其他保密措施。</w:t>
      </w:r>
    </w:p>
    <w:p>
      <w:pPr>
        <w:spacing w:line="360" w:lineRule="auto"/>
        <w:ind w:firstLine="420" w:firstLineChars="200"/>
        <w:rPr>
          <w:color w:val="auto"/>
          <w:szCs w:val="21"/>
        </w:rPr>
      </w:pPr>
      <w:r>
        <w:rPr>
          <w:color w:val="auto"/>
          <w:szCs w:val="21"/>
        </w:rPr>
        <w:t>5.3 保密期限不受合同有效期的限制，在合同有效期结束后，信息接受方仍应承担保密义务，直至该等信息成为公开信息。</w:t>
      </w:r>
    </w:p>
    <w:p>
      <w:pPr>
        <w:spacing w:line="360" w:lineRule="auto"/>
        <w:ind w:firstLine="420" w:firstLineChars="200"/>
        <w:rPr>
          <w:color w:val="auto"/>
          <w:szCs w:val="21"/>
        </w:rPr>
      </w:pPr>
      <w:r>
        <w:rPr>
          <w:color w:val="auto"/>
          <w:szCs w:val="21"/>
        </w:rPr>
        <w:t>5.4 甲乙双方如出现泄密行为，泄密方应承担相关的法律责任，包括但是不限于对由此给对方造成的经济损失进行赔偿。</w:t>
      </w:r>
    </w:p>
    <w:p>
      <w:pPr>
        <w:topLinePunct/>
        <w:autoSpaceDE w:val="0"/>
        <w:autoSpaceDN w:val="0"/>
        <w:spacing w:line="360" w:lineRule="auto"/>
        <w:ind w:firstLine="422" w:firstLineChars="200"/>
        <w:rPr>
          <w:b/>
          <w:color w:val="auto"/>
          <w:szCs w:val="21"/>
        </w:rPr>
      </w:pPr>
      <w:r>
        <w:rPr>
          <w:b/>
          <w:color w:val="auto"/>
          <w:szCs w:val="21"/>
        </w:rPr>
        <w:t>6. 交货和履约验收</w:t>
      </w:r>
    </w:p>
    <w:p>
      <w:pPr>
        <w:spacing w:line="360" w:lineRule="auto"/>
        <w:ind w:firstLine="420" w:firstLineChars="200"/>
        <w:rPr>
          <w:color w:val="auto"/>
          <w:szCs w:val="21"/>
        </w:rPr>
      </w:pPr>
      <w:r>
        <w:rPr>
          <w:color w:val="auto"/>
          <w:szCs w:val="21"/>
        </w:rPr>
        <w:t>6.1交货时间和地点：详见“合同条款前附表”第8项“交货时间和地点”</w:t>
      </w:r>
    </w:p>
    <w:p>
      <w:pPr>
        <w:spacing w:line="360" w:lineRule="auto"/>
        <w:ind w:firstLine="420" w:firstLineChars="200"/>
        <w:rPr>
          <w:color w:val="auto"/>
          <w:szCs w:val="21"/>
        </w:rPr>
      </w:pPr>
      <w:r>
        <w:rPr>
          <w:color w:val="auto"/>
          <w:szCs w:val="21"/>
        </w:rPr>
        <w:t>6.2甲方在收到乙方交付的货物后应当及时组织验收。货物的表面瑕疵，甲方应在验收时当面提出；对质量问题有异议的应在安装调试时进行记录；甲方对货物进行检查验收合格后，应当及时履行验收手续。</w:t>
      </w:r>
    </w:p>
    <w:p>
      <w:pPr>
        <w:spacing w:line="360" w:lineRule="auto"/>
        <w:ind w:firstLine="420" w:firstLineChars="200"/>
        <w:rPr>
          <w:color w:val="auto"/>
          <w:szCs w:val="21"/>
        </w:rPr>
      </w:pPr>
      <w:r>
        <w:rPr>
          <w:color w:val="auto"/>
          <w:szCs w:val="21"/>
        </w:rPr>
        <w:t>6.3在验收过程中发现数量不足或有质量、技术等问题，乙方应按照合同要求采取补足、更换或退货等处理措施，并承担由此发生的一切费用和损失。</w:t>
      </w:r>
    </w:p>
    <w:p>
      <w:pPr>
        <w:spacing w:line="360" w:lineRule="auto"/>
        <w:ind w:firstLine="420" w:firstLineChars="200"/>
        <w:rPr>
          <w:color w:val="auto"/>
          <w:szCs w:val="21"/>
        </w:rPr>
      </w:pPr>
      <w:r>
        <w:rPr>
          <w:color w:val="auto"/>
          <w:szCs w:val="21"/>
        </w:rPr>
        <w:t>6.4由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大型或者复杂的货物采购项目，甲方可以邀请国家认可的质量检测机构参加验收工作，并由其出具验收报告。</w:t>
      </w:r>
    </w:p>
    <w:p>
      <w:pPr>
        <w:spacing w:line="360" w:lineRule="auto"/>
        <w:ind w:firstLine="420" w:firstLineChars="200"/>
        <w:rPr>
          <w:b/>
          <w:color w:val="auto"/>
          <w:szCs w:val="21"/>
        </w:rPr>
      </w:pPr>
      <w:r>
        <w:rPr>
          <w:color w:val="auto"/>
          <w:szCs w:val="21"/>
        </w:rPr>
        <w:t>6.5具体履约验收要求详见</w:t>
      </w:r>
      <w:r>
        <w:rPr>
          <w:rFonts w:hint="eastAsia"/>
          <w:color w:val="auto"/>
          <w:szCs w:val="21"/>
        </w:rPr>
        <w:t>磋商文件</w:t>
      </w:r>
      <w:r>
        <w:rPr>
          <w:color w:val="auto"/>
          <w:szCs w:val="21"/>
        </w:rPr>
        <w:t>。</w:t>
      </w:r>
    </w:p>
    <w:p>
      <w:pPr>
        <w:tabs>
          <w:tab w:val="left" w:pos="0"/>
          <w:tab w:val="left" w:pos="540"/>
        </w:tabs>
        <w:spacing w:line="360" w:lineRule="auto"/>
        <w:ind w:firstLine="422" w:firstLineChars="200"/>
        <w:rPr>
          <w:b/>
          <w:color w:val="auto"/>
          <w:szCs w:val="21"/>
        </w:rPr>
      </w:pPr>
      <w:r>
        <w:rPr>
          <w:b/>
          <w:color w:val="auto"/>
          <w:szCs w:val="21"/>
        </w:rPr>
        <w:t>7. 履约保证金</w:t>
      </w:r>
    </w:p>
    <w:p>
      <w:pPr>
        <w:tabs>
          <w:tab w:val="left" w:pos="700"/>
        </w:tabs>
        <w:spacing w:line="360" w:lineRule="auto"/>
        <w:ind w:firstLine="420" w:firstLineChars="200"/>
        <w:rPr>
          <w:color w:val="auto"/>
          <w:szCs w:val="21"/>
        </w:rPr>
      </w:pPr>
      <w:r>
        <w:rPr>
          <w:color w:val="auto"/>
          <w:szCs w:val="21"/>
        </w:rPr>
        <w:t>7.1乙方在签署合同</w:t>
      </w:r>
      <w:r>
        <w:rPr>
          <w:rFonts w:hint="eastAsia"/>
          <w:color w:val="auto"/>
          <w:szCs w:val="21"/>
        </w:rPr>
        <w:t>前</w:t>
      </w:r>
      <w:r>
        <w:rPr>
          <w:color w:val="auto"/>
          <w:szCs w:val="21"/>
        </w:rPr>
        <w:t>，应向甲</w:t>
      </w:r>
      <w:r>
        <w:rPr>
          <w:rFonts w:ascii="宋体" w:hAnsi="宋体"/>
          <w:color w:val="auto"/>
          <w:szCs w:val="21"/>
        </w:rPr>
        <w:t>方提供履约保证金。</w:t>
      </w:r>
      <w:r>
        <w:rPr>
          <w:color w:val="auto"/>
          <w:szCs w:val="21"/>
        </w:rPr>
        <w:t>履约保证金可以银行保函或银行电汇形式提交，也可以履约担保函的形式交纳。</w:t>
      </w:r>
    </w:p>
    <w:p>
      <w:pPr>
        <w:tabs>
          <w:tab w:val="left" w:pos="700"/>
        </w:tabs>
        <w:spacing w:line="360" w:lineRule="auto"/>
        <w:ind w:firstLine="420" w:firstLineChars="200"/>
        <w:rPr>
          <w:color w:val="auto"/>
          <w:szCs w:val="21"/>
        </w:rPr>
      </w:pPr>
      <w:r>
        <w:rPr>
          <w:color w:val="auto"/>
          <w:szCs w:val="21"/>
        </w:rPr>
        <w:t>7.2履约保证金的金额应能补偿甲方因乙方不能完成其合同义务而蒙受的损失。</w:t>
      </w:r>
    </w:p>
    <w:p>
      <w:pPr>
        <w:tabs>
          <w:tab w:val="left" w:pos="700"/>
        </w:tabs>
        <w:spacing w:line="360" w:lineRule="auto"/>
        <w:ind w:firstLine="420" w:firstLineChars="200"/>
        <w:rPr>
          <w:color w:val="auto"/>
          <w:szCs w:val="21"/>
        </w:rPr>
      </w:pPr>
      <w:r>
        <w:rPr>
          <w:color w:val="auto"/>
          <w:szCs w:val="21"/>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color w:val="auto"/>
          <w:szCs w:val="21"/>
        </w:rPr>
      </w:pPr>
      <w:r>
        <w:rPr>
          <w:color w:val="auto"/>
          <w:szCs w:val="21"/>
        </w:rPr>
        <w:t>7.4乙方不履行合同、或者履行合同义务不符合约定使得合同目的不能实现，履约保证金不予退还，并应按合同约定支付违约金、赔偿金等。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color w:val="auto"/>
          <w:szCs w:val="21"/>
        </w:rPr>
      </w:pPr>
      <w:r>
        <w:rPr>
          <w:color w:val="auto"/>
          <w:szCs w:val="21"/>
        </w:rPr>
        <w:t>7.5履约保证金在合同履行期满后，凭返还申请等资料一次性返还，详见“合同条款前附表”第10项“履约保证金及返还”。</w:t>
      </w:r>
    </w:p>
    <w:p>
      <w:pPr>
        <w:tabs>
          <w:tab w:val="left" w:pos="0"/>
          <w:tab w:val="left" w:pos="540"/>
        </w:tabs>
        <w:spacing w:line="360" w:lineRule="auto"/>
        <w:ind w:firstLine="422" w:firstLineChars="200"/>
        <w:rPr>
          <w:b/>
          <w:color w:val="auto"/>
          <w:szCs w:val="21"/>
        </w:rPr>
      </w:pPr>
      <w:r>
        <w:rPr>
          <w:b/>
          <w:color w:val="auto"/>
          <w:szCs w:val="21"/>
        </w:rPr>
        <w:t>8．履约延误</w:t>
      </w:r>
    </w:p>
    <w:p>
      <w:pPr>
        <w:topLinePunct/>
        <w:autoSpaceDE w:val="0"/>
        <w:autoSpaceDN w:val="0"/>
        <w:spacing w:line="360" w:lineRule="auto"/>
        <w:ind w:firstLine="420" w:firstLineChars="200"/>
        <w:rPr>
          <w:color w:val="auto"/>
          <w:szCs w:val="21"/>
        </w:rPr>
      </w:pPr>
      <w:r>
        <w:rPr>
          <w:color w:val="auto"/>
          <w:szCs w:val="21"/>
        </w:rPr>
        <w:t>8.1 乙方应按照本合同的规定的时间交货和提供服务。</w:t>
      </w:r>
    </w:p>
    <w:p>
      <w:pPr>
        <w:topLinePunct/>
        <w:autoSpaceDE w:val="0"/>
        <w:autoSpaceDN w:val="0"/>
        <w:spacing w:line="360" w:lineRule="auto"/>
        <w:ind w:firstLine="420" w:firstLineChars="200"/>
        <w:rPr>
          <w:color w:val="auto"/>
          <w:szCs w:val="21"/>
        </w:rPr>
      </w:pPr>
      <w:r>
        <w:rPr>
          <w:color w:val="auto"/>
          <w:szCs w:val="21"/>
        </w:rPr>
        <w:t>8.2 如乙方没有按合同规定的时间交货和提供服务，甲方有权从货款或履约保证金中扣除误期赔偿费而不影响合同项下的其他补救方法。赔偿费按每日加收合同</w:t>
      </w:r>
      <w:r>
        <w:rPr>
          <w:rFonts w:hint="eastAsia"/>
          <w:color w:val="auto"/>
          <w:szCs w:val="21"/>
        </w:rPr>
        <w:t>总</w:t>
      </w:r>
      <w:r>
        <w:rPr>
          <w:color w:val="auto"/>
          <w:szCs w:val="21"/>
        </w:rPr>
        <w:t>金额的</w:t>
      </w:r>
      <w:r>
        <w:rPr>
          <w:color w:val="auto"/>
          <w:szCs w:val="21"/>
          <w:u w:val="single"/>
        </w:rPr>
        <w:t>0.5</w:t>
      </w:r>
      <w:r>
        <w:rPr>
          <w:color w:val="auto"/>
          <w:szCs w:val="21"/>
        </w:rPr>
        <w:t>%计收，直至交货或提供服务为止。但误期赔偿费的最高限额不超过合同价的</w:t>
      </w:r>
      <w:r>
        <w:rPr>
          <w:color w:val="auto"/>
          <w:szCs w:val="21"/>
          <w:u w:val="single"/>
        </w:rPr>
        <w:t>15</w:t>
      </w:r>
      <w:r>
        <w:rPr>
          <w:color w:val="auto"/>
          <w:szCs w:val="21"/>
        </w:rPr>
        <w:t>%。误期赔偿费累计达到合同</w:t>
      </w:r>
      <w:r>
        <w:rPr>
          <w:rFonts w:hint="eastAsia"/>
          <w:color w:val="auto"/>
          <w:szCs w:val="21"/>
        </w:rPr>
        <w:t>总</w:t>
      </w:r>
      <w:r>
        <w:rPr>
          <w:color w:val="auto"/>
          <w:szCs w:val="21"/>
        </w:rPr>
        <w:t>金额的</w:t>
      </w:r>
      <w:r>
        <w:rPr>
          <w:color w:val="auto"/>
          <w:szCs w:val="21"/>
          <w:u w:val="single"/>
        </w:rPr>
        <w:t>15</w:t>
      </w:r>
      <w:r>
        <w:rPr>
          <w:color w:val="auto"/>
          <w:szCs w:val="21"/>
        </w:rPr>
        <w:t>%时，甲方有权终止合同。</w:t>
      </w:r>
    </w:p>
    <w:p>
      <w:pPr>
        <w:topLinePunct/>
        <w:autoSpaceDE w:val="0"/>
        <w:autoSpaceDN w:val="0"/>
        <w:spacing w:line="360" w:lineRule="auto"/>
        <w:ind w:firstLine="420" w:firstLineChars="200"/>
        <w:rPr>
          <w:color w:val="auto"/>
          <w:szCs w:val="21"/>
        </w:rPr>
      </w:pPr>
      <w:r>
        <w:rPr>
          <w:color w:val="auto"/>
          <w:szCs w:val="21"/>
        </w:rPr>
        <w:t>8.3 在履行合同过程中，如果乙方可能遇到妨碍按时提供货物和服务的情况时，应及时以书面形式将拖延的事实，可能拖延的期限和理由通知甲方。甲方在收到乙方通知后，应尽快对情况进行评估，并确定是否酌情延长工期以及是否收取误期赔偿费。</w:t>
      </w:r>
    </w:p>
    <w:p>
      <w:pPr>
        <w:topLinePunct/>
        <w:autoSpaceDE w:val="0"/>
        <w:autoSpaceDN w:val="0"/>
        <w:spacing w:line="360" w:lineRule="auto"/>
        <w:ind w:firstLine="420" w:firstLineChars="200"/>
        <w:rPr>
          <w:color w:val="auto"/>
          <w:szCs w:val="21"/>
        </w:rPr>
      </w:pPr>
      <w:r>
        <w:rPr>
          <w:color w:val="auto"/>
          <w:szCs w:val="21"/>
        </w:rPr>
        <w:t>8.4 除不可抗力和根据合同规定延期取得甲方同意而不收取误期赔偿费之外，乙方延误工期，将按合同规定被收取误期赔偿费。</w:t>
      </w:r>
    </w:p>
    <w:p>
      <w:pPr>
        <w:topLinePunct/>
        <w:autoSpaceDE w:val="0"/>
        <w:autoSpaceDN w:val="0"/>
        <w:spacing w:line="360" w:lineRule="auto"/>
        <w:ind w:firstLine="420" w:firstLineChars="200"/>
        <w:rPr>
          <w:color w:val="auto"/>
          <w:szCs w:val="21"/>
        </w:rPr>
      </w:pPr>
      <w:r>
        <w:rPr>
          <w:color w:val="auto"/>
          <w:szCs w:val="21"/>
        </w:rPr>
        <w:t>8.5 逾期退还履约保证金的违约责任。满足履约保证金返还条件的，甲方在收到返还相关信息等合同约定资料后，进行核实。对核实结果无异议的，应当自完成核实之日起</w:t>
      </w:r>
      <w:r>
        <w:rPr>
          <w:color w:val="auto"/>
          <w:szCs w:val="21"/>
          <w:u w:val="single"/>
        </w:rPr>
        <w:t>30</w:t>
      </w:r>
      <w:r>
        <w:rPr>
          <w:color w:val="auto"/>
          <w:szCs w:val="21"/>
        </w:rPr>
        <w:t>日内返还履约保证金。无特殊原因逾期退还履约保证金，乙方可要求支付逾期银行同期活期存款利息。特殊原因逾期返还的，双方协商解决。</w:t>
      </w:r>
    </w:p>
    <w:p>
      <w:pPr>
        <w:topLinePunct/>
        <w:autoSpaceDE w:val="0"/>
        <w:autoSpaceDN w:val="0"/>
        <w:spacing w:line="360" w:lineRule="auto"/>
        <w:ind w:firstLine="422" w:firstLineChars="200"/>
        <w:rPr>
          <w:b/>
          <w:color w:val="auto"/>
          <w:szCs w:val="21"/>
        </w:rPr>
      </w:pPr>
      <w:r>
        <w:rPr>
          <w:b/>
          <w:color w:val="auto"/>
          <w:szCs w:val="21"/>
        </w:rPr>
        <w:t>9. 违约责任</w:t>
      </w:r>
    </w:p>
    <w:p>
      <w:pPr>
        <w:topLinePunct/>
        <w:autoSpaceDE w:val="0"/>
        <w:autoSpaceDN w:val="0"/>
        <w:spacing w:line="360" w:lineRule="auto"/>
        <w:ind w:firstLine="420" w:firstLineChars="200"/>
        <w:rPr>
          <w:color w:val="auto"/>
          <w:szCs w:val="21"/>
        </w:rPr>
      </w:pPr>
      <w:r>
        <w:rPr>
          <w:color w:val="auto"/>
          <w:szCs w:val="21"/>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color w:val="auto"/>
          <w:szCs w:val="21"/>
        </w:rPr>
      </w:pPr>
      <w:r>
        <w:rPr>
          <w:color w:val="auto"/>
          <w:szCs w:val="21"/>
        </w:rPr>
        <w:t>9.2 乙方没有按照时限要求提供货物和服务，且在延长的期限内没有采取补救措施，甲方有权自行采取其他方式进行补救，所发生的一切费用从乙方的合同款项中扣除。</w:t>
      </w:r>
    </w:p>
    <w:p>
      <w:pPr>
        <w:topLinePunct/>
        <w:autoSpaceDE w:val="0"/>
        <w:autoSpaceDN w:val="0"/>
        <w:spacing w:line="360" w:lineRule="auto"/>
        <w:ind w:firstLine="420" w:firstLineChars="200"/>
        <w:rPr>
          <w:color w:val="auto"/>
          <w:szCs w:val="21"/>
        </w:rPr>
      </w:pPr>
      <w:r>
        <w:rPr>
          <w:color w:val="auto"/>
          <w:szCs w:val="21"/>
        </w:rPr>
        <w:t>9.3 甲方有权根据合同或有关部门出具的检验证书向乙方提出索赔。</w:t>
      </w:r>
    </w:p>
    <w:p>
      <w:pPr>
        <w:topLinePunct/>
        <w:autoSpaceDE w:val="0"/>
        <w:autoSpaceDN w:val="0"/>
        <w:spacing w:line="360" w:lineRule="auto"/>
        <w:ind w:firstLine="420" w:firstLineChars="200"/>
        <w:rPr>
          <w:color w:val="auto"/>
          <w:szCs w:val="21"/>
        </w:rPr>
      </w:pPr>
      <w:r>
        <w:rPr>
          <w:color w:val="auto"/>
          <w:szCs w:val="21"/>
        </w:rPr>
        <w:t>9.4 如果乙方对差异负有责任而甲方提出索赔，乙方同意按照下列方式解决索赔事宜：</w:t>
      </w:r>
    </w:p>
    <w:p>
      <w:pPr>
        <w:topLinePunct/>
        <w:autoSpaceDE w:val="0"/>
        <w:autoSpaceDN w:val="0"/>
        <w:spacing w:line="360" w:lineRule="auto"/>
        <w:ind w:firstLine="420" w:firstLineChars="200"/>
        <w:rPr>
          <w:color w:val="auto"/>
          <w:szCs w:val="21"/>
        </w:rPr>
      </w:pPr>
      <w:r>
        <w:rPr>
          <w:color w:val="auto"/>
          <w:szCs w:val="21"/>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topLinePunct/>
        <w:autoSpaceDE w:val="0"/>
        <w:autoSpaceDN w:val="0"/>
        <w:spacing w:line="360" w:lineRule="auto"/>
        <w:ind w:firstLine="420" w:firstLineChars="200"/>
        <w:rPr>
          <w:color w:val="auto"/>
          <w:szCs w:val="21"/>
        </w:rPr>
      </w:pPr>
      <w:r>
        <w:rPr>
          <w:color w:val="auto"/>
          <w:szCs w:val="21"/>
        </w:rPr>
        <w:t>9.5 乙方利用在本项目为税务机关提供信息化货物和服务的便利，向纳税人缴费人搭车收费或变相收费的，或有其他失信行为的，纳入国家税务总局失信名单。</w:t>
      </w:r>
    </w:p>
    <w:p>
      <w:pPr>
        <w:topLinePunct/>
        <w:autoSpaceDE w:val="0"/>
        <w:autoSpaceDN w:val="0"/>
        <w:spacing w:line="360" w:lineRule="auto"/>
        <w:ind w:firstLine="420" w:firstLineChars="200"/>
        <w:rPr>
          <w:color w:val="auto"/>
          <w:szCs w:val="21"/>
        </w:rPr>
      </w:pPr>
      <w:r>
        <w:rPr>
          <w:color w:val="auto"/>
          <w:szCs w:val="21"/>
        </w:rPr>
        <w:t>对于影响恶劣的严重违法失信行为，推送财政部纳入政府采购严重违法失信行为记录名单。</w:t>
      </w:r>
    </w:p>
    <w:p>
      <w:pPr>
        <w:topLinePunct/>
        <w:autoSpaceDE w:val="0"/>
        <w:autoSpaceDN w:val="0"/>
        <w:spacing w:line="360" w:lineRule="auto"/>
        <w:ind w:firstLine="420" w:firstLineChars="200"/>
        <w:rPr>
          <w:color w:val="auto"/>
          <w:szCs w:val="21"/>
        </w:rPr>
      </w:pPr>
      <w:r>
        <w:rPr>
          <w:color w:val="auto"/>
          <w:szCs w:val="21"/>
        </w:rPr>
        <w:t>9.6 如果乙方在本项目实施过程中发生违反网络安全规定行为造成不良后果的，自甲方做出认定之日起三年内，税务系统各单位可以拒绝乙方参与税务系统政府采购活动。</w:t>
      </w:r>
    </w:p>
    <w:p>
      <w:pPr>
        <w:topLinePunct/>
        <w:autoSpaceDE w:val="0"/>
        <w:autoSpaceDN w:val="0"/>
        <w:spacing w:line="360" w:lineRule="auto"/>
        <w:ind w:firstLine="420" w:firstLineChars="200"/>
        <w:rPr>
          <w:color w:val="auto"/>
          <w:szCs w:val="21"/>
        </w:rPr>
      </w:pPr>
      <w:r>
        <w:rPr>
          <w:color w:val="auto"/>
          <w:szCs w:val="21"/>
        </w:rPr>
        <w:t>不良后果指造成数据失窃或丢失、敏感信息泄露、主要业务系统瘫痪等网络安全事件。</w:t>
      </w:r>
    </w:p>
    <w:p>
      <w:pPr>
        <w:spacing w:line="360" w:lineRule="auto"/>
        <w:ind w:firstLine="441" w:firstLineChars="210"/>
        <w:rPr>
          <w:color w:val="auto"/>
          <w:szCs w:val="21"/>
        </w:rPr>
      </w:pPr>
      <w:r>
        <w:rPr>
          <w:color w:val="auto"/>
          <w:szCs w:val="21"/>
        </w:rPr>
        <w:t>9.7 信息化服务商聘用离职税务人员的风险控制</w:t>
      </w:r>
    </w:p>
    <w:p>
      <w:pPr>
        <w:spacing w:line="360" w:lineRule="auto"/>
        <w:ind w:firstLine="441" w:firstLineChars="210"/>
        <w:rPr>
          <w:color w:val="auto"/>
          <w:szCs w:val="21"/>
        </w:rPr>
      </w:pPr>
      <w:r>
        <w:rPr>
          <w:color w:val="auto"/>
          <w:szCs w:val="21"/>
        </w:rPr>
        <w:t>9.7.1 信息化服务商是指为税务总局、各省（自治区、直辖市和计划单列市）税务局提供信息化项目承建、运维、咨询、监理服务或参加相关采购活动的单位或个人。</w:t>
      </w:r>
    </w:p>
    <w:p>
      <w:pPr>
        <w:spacing w:line="360" w:lineRule="auto"/>
        <w:ind w:firstLine="441" w:firstLineChars="210"/>
        <w:rPr>
          <w:color w:val="auto"/>
          <w:szCs w:val="21"/>
        </w:rPr>
      </w:pPr>
      <w:r>
        <w:rPr>
          <w:color w:val="auto"/>
          <w:szCs w:val="21"/>
        </w:rPr>
        <w:t>9.7.2乙方应建立防止违法违规聘用离职税务人员的风险控制制度。如乙方未建立上述风险控制制度，甲方有权要求乙方限期纠正。</w:t>
      </w:r>
    </w:p>
    <w:p>
      <w:pPr>
        <w:spacing w:line="360" w:lineRule="auto"/>
        <w:ind w:firstLine="441" w:firstLineChars="210"/>
        <w:rPr>
          <w:color w:val="auto"/>
          <w:szCs w:val="21"/>
        </w:rPr>
      </w:pPr>
      <w:r>
        <w:rPr>
          <w:color w:val="auto"/>
          <w:szCs w:val="21"/>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pPr>
        <w:spacing w:line="360" w:lineRule="auto"/>
        <w:ind w:firstLine="441" w:firstLineChars="210"/>
        <w:rPr>
          <w:color w:val="auto"/>
          <w:szCs w:val="21"/>
        </w:rPr>
      </w:pPr>
      <w:r>
        <w:rPr>
          <w:color w:val="auto"/>
          <w:szCs w:val="21"/>
        </w:rPr>
        <w:t>9.7.3.1要求乙方限期改正并从应付款项中扣除合同总金额的百分之一（1%）作为违约金；</w:t>
      </w:r>
    </w:p>
    <w:p>
      <w:pPr>
        <w:spacing w:line="360" w:lineRule="auto"/>
        <w:ind w:firstLine="441" w:firstLineChars="210"/>
        <w:rPr>
          <w:color w:val="auto"/>
          <w:szCs w:val="21"/>
        </w:rPr>
      </w:pPr>
      <w:r>
        <w:rPr>
          <w:color w:val="auto"/>
          <w:szCs w:val="21"/>
        </w:rPr>
        <w:t>9.7.3.2自甲方通报之日起三年内，所聘税务人员原单位及下属单位可以拒绝乙方参与信息化项目政府采购活动。</w:t>
      </w:r>
    </w:p>
    <w:p>
      <w:pPr>
        <w:spacing w:line="360" w:lineRule="auto"/>
        <w:ind w:firstLine="441" w:firstLineChars="210"/>
        <w:rPr>
          <w:color w:val="auto"/>
          <w:szCs w:val="21"/>
        </w:rPr>
      </w:pPr>
      <w:r>
        <w:rPr>
          <w:color w:val="auto"/>
          <w:szCs w:val="21"/>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pPr>
        <w:spacing w:line="360" w:lineRule="auto"/>
        <w:ind w:firstLine="441" w:firstLineChars="210"/>
        <w:rPr>
          <w:color w:val="auto"/>
          <w:szCs w:val="21"/>
        </w:rPr>
      </w:pPr>
      <w:r>
        <w:rPr>
          <w:color w:val="auto"/>
          <w:szCs w:val="21"/>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pPr>
        <w:spacing w:line="360" w:lineRule="auto"/>
        <w:ind w:firstLine="441" w:firstLineChars="210"/>
        <w:rPr>
          <w:color w:val="auto"/>
          <w:szCs w:val="21"/>
        </w:rPr>
      </w:pPr>
      <w:r>
        <w:rPr>
          <w:color w:val="auto"/>
          <w:szCs w:val="21"/>
        </w:rPr>
        <w:t>9.10 对于本协议未约定的、</w:t>
      </w:r>
      <w:r>
        <w:rPr>
          <w:rFonts w:hint="eastAsia"/>
          <w:color w:val="auto"/>
          <w:szCs w:val="21"/>
        </w:rPr>
        <w:t>磋商文件</w:t>
      </w:r>
      <w:r>
        <w:rPr>
          <w:color w:val="auto"/>
          <w:szCs w:val="21"/>
        </w:rPr>
        <w:t>（技术部分）中约定的违约处理条款，按</w:t>
      </w:r>
      <w:r>
        <w:rPr>
          <w:rFonts w:hint="eastAsia"/>
          <w:color w:val="auto"/>
          <w:szCs w:val="21"/>
        </w:rPr>
        <w:t>磋商文件</w:t>
      </w:r>
      <w:r>
        <w:rPr>
          <w:color w:val="auto"/>
          <w:szCs w:val="21"/>
        </w:rPr>
        <w:t>（技术部分）相关约定执行；对本协议与</w:t>
      </w:r>
      <w:r>
        <w:rPr>
          <w:rFonts w:hint="eastAsia"/>
          <w:color w:val="auto"/>
          <w:szCs w:val="21"/>
        </w:rPr>
        <w:t>磋商文件</w:t>
      </w:r>
      <w:r>
        <w:rPr>
          <w:color w:val="auto"/>
          <w:szCs w:val="21"/>
        </w:rPr>
        <w:t>（技术部分）约定不同的违约处理条款，以本协议约定为准。</w:t>
      </w:r>
    </w:p>
    <w:p>
      <w:pPr>
        <w:spacing w:line="360" w:lineRule="auto"/>
        <w:ind w:firstLine="422" w:firstLineChars="200"/>
        <w:rPr>
          <w:b/>
          <w:color w:val="auto"/>
          <w:szCs w:val="21"/>
        </w:rPr>
      </w:pPr>
      <w:r>
        <w:rPr>
          <w:b/>
          <w:color w:val="auto"/>
          <w:szCs w:val="21"/>
        </w:rPr>
        <w:t>10. 不可抗力</w:t>
      </w:r>
    </w:p>
    <w:p>
      <w:pPr>
        <w:spacing w:line="360" w:lineRule="auto"/>
        <w:ind w:firstLine="420" w:firstLineChars="200"/>
        <w:rPr>
          <w:color w:val="auto"/>
          <w:szCs w:val="21"/>
        </w:rPr>
      </w:pPr>
      <w:r>
        <w:rPr>
          <w:color w:val="auto"/>
          <w:szCs w:val="21"/>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color w:val="auto"/>
          <w:szCs w:val="21"/>
        </w:rPr>
      </w:pPr>
      <w:r>
        <w:rPr>
          <w:color w:val="auto"/>
          <w:szCs w:val="21"/>
        </w:rPr>
        <w:t>10.2 如果乙方因不可抗力而导致合同实施延误或不能履行合同义务，不应承担误期赔偿或终止合同的责任。</w:t>
      </w:r>
    </w:p>
    <w:p>
      <w:pPr>
        <w:spacing w:line="360" w:lineRule="auto"/>
        <w:ind w:firstLine="420" w:firstLineChars="200"/>
        <w:rPr>
          <w:color w:val="auto"/>
          <w:szCs w:val="21"/>
        </w:rPr>
      </w:pPr>
      <w:r>
        <w:rPr>
          <w:color w:val="auto"/>
          <w:szCs w:val="21"/>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color w:val="auto"/>
          <w:szCs w:val="21"/>
        </w:rPr>
      </w:pPr>
      <w:r>
        <w:rPr>
          <w:color w:val="auto"/>
          <w:szCs w:val="21"/>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b/>
          <w:color w:val="auto"/>
          <w:szCs w:val="21"/>
        </w:rPr>
      </w:pPr>
      <w:r>
        <w:rPr>
          <w:b/>
          <w:color w:val="auto"/>
          <w:szCs w:val="21"/>
        </w:rPr>
        <w:t>11. 争端的解决</w:t>
      </w:r>
    </w:p>
    <w:p>
      <w:pPr>
        <w:spacing w:line="360" w:lineRule="auto"/>
        <w:ind w:firstLine="420" w:firstLineChars="200"/>
        <w:rPr>
          <w:color w:val="auto"/>
          <w:szCs w:val="21"/>
        </w:rPr>
      </w:pPr>
      <w:r>
        <w:rPr>
          <w:color w:val="auto"/>
          <w:szCs w:val="21"/>
        </w:rPr>
        <w:t>11.1 甲乙双方应首先通过友好协商解决在执行本合同中所发生的或与本合同有关的一切争端。如协商开始</w:t>
      </w:r>
      <w:r>
        <w:rPr>
          <w:color w:val="auto"/>
          <w:szCs w:val="21"/>
          <w:u w:val="single"/>
        </w:rPr>
        <w:t>30</w:t>
      </w:r>
      <w:r>
        <w:rPr>
          <w:color w:val="auto"/>
          <w:szCs w:val="21"/>
        </w:rPr>
        <w:t>天内仍不能解决，可以</w:t>
      </w:r>
      <w:r>
        <w:rPr>
          <w:rFonts w:hint="eastAsia"/>
          <w:color w:val="auto"/>
          <w:szCs w:val="21"/>
        </w:rPr>
        <w:t>按《合同前附表》规定</w:t>
      </w:r>
      <w:r>
        <w:rPr>
          <w:color w:val="auto"/>
          <w:szCs w:val="21"/>
        </w:rPr>
        <w:t>的方式提起仲裁或诉讼。</w:t>
      </w:r>
    </w:p>
    <w:p>
      <w:pPr>
        <w:spacing w:line="360" w:lineRule="auto"/>
        <w:ind w:left="239" w:leftChars="114" w:firstLine="210" w:firstLineChars="100"/>
        <w:rPr>
          <w:color w:val="auto"/>
          <w:szCs w:val="21"/>
        </w:rPr>
      </w:pPr>
      <w:r>
        <w:rPr>
          <w:color w:val="auto"/>
          <w:szCs w:val="21"/>
        </w:rPr>
        <w:t>11.2仲裁应向甲方所在地或</w:t>
      </w:r>
      <w:r>
        <w:rPr>
          <w:color w:val="auto"/>
          <w:szCs w:val="21"/>
          <w:u w:val="single"/>
        </w:rPr>
        <w:t xml:space="preserve">   </w:t>
      </w:r>
      <w:r>
        <w:rPr>
          <w:rFonts w:hint="eastAsia"/>
          <w:color w:val="auto"/>
          <w:szCs w:val="21"/>
          <w:u w:val="single"/>
        </w:rPr>
        <w:t>/</w:t>
      </w:r>
      <w:r>
        <w:rPr>
          <w:color w:val="auto"/>
          <w:szCs w:val="21"/>
          <w:u w:val="single"/>
        </w:rPr>
        <w:t xml:space="preserve">    </w:t>
      </w:r>
      <w:r>
        <w:rPr>
          <w:color w:val="auto"/>
          <w:szCs w:val="21"/>
        </w:rPr>
        <w:t>仲裁委员会申请仲裁。</w:t>
      </w:r>
    </w:p>
    <w:p>
      <w:pPr>
        <w:spacing w:line="360" w:lineRule="auto"/>
        <w:ind w:firstLine="420" w:firstLineChars="200"/>
        <w:rPr>
          <w:color w:val="auto"/>
          <w:szCs w:val="21"/>
        </w:rPr>
      </w:pPr>
      <w:r>
        <w:rPr>
          <w:color w:val="auto"/>
          <w:szCs w:val="21"/>
        </w:rPr>
        <w:t>11.2.</w:t>
      </w:r>
      <w:r>
        <w:rPr>
          <w:rFonts w:hint="eastAsia"/>
          <w:color w:val="auto"/>
          <w:szCs w:val="21"/>
        </w:rPr>
        <w:t>1</w:t>
      </w:r>
      <w:r>
        <w:rPr>
          <w:color w:val="auto"/>
          <w:szCs w:val="21"/>
        </w:rPr>
        <w:t xml:space="preserve"> 仲裁裁决应为最终裁决，对双方均具有约束力。</w:t>
      </w:r>
    </w:p>
    <w:p>
      <w:pPr>
        <w:spacing w:line="360" w:lineRule="auto"/>
        <w:ind w:firstLine="420" w:firstLineChars="200"/>
        <w:rPr>
          <w:color w:val="auto"/>
          <w:szCs w:val="21"/>
        </w:rPr>
      </w:pPr>
      <w:r>
        <w:rPr>
          <w:color w:val="auto"/>
          <w:szCs w:val="21"/>
        </w:rPr>
        <w:t>11.2.</w:t>
      </w:r>
      <w:r>
        <w:rPr>
          <w:rFonts w:hint="eastAsia"/>
          <w:color w:val="auto"/>
          <w:szCs w:val="21"/>
        </w:rPr>
        <w:t>2</w:t>
      </w:r>
      <w:r>
        <w:rPr>
          <w:color w:val="auto"/>
          <w:szCs w:val="21"/>
        </w:rPr>
        <w:t xml:space="preserve"> 仲裁费除仲裁机关另有裁决外应由败诉方负担。</w:t>
      </w:r>
    </w:p>
    <w:p>
      <w:pPr>
        <w:spacing w:line="360" w:lineRule="auto"/>
        <w:ind w:firstLine="420" w:firstLineChars="200"/>
        <w:rPr>
          <w:color w:val="auto"/>
          <w:szCs w:val="21"/>
        </w:rPr>
      </w:pPr>
      <w:r>
        <w:rPr>
          <w:color w:val="auto"/>
          <w:szCs w:val="21"/>
        </w:rPr>
        <w:t>11.2.</w:t>
      </w:r>
      <w:r>
        <w:rPr>
          <w:rFonts w:hint="eastAsia"/>
          <w:color w:val="auto"/>
          <w:szCs w:val="21"/>
        </w:rPr>
        <w:t>3</w:t>
      </w:r>
      <w:r>
        <w:rPr>
          <w:color w:val="auto"/>
          <w:szCs w:val="21"/>
        </w:rPr>
        <w:t>在仲裁期间，除正在进行仲裁部分外，本合同的其它部分应继续执行。</w:t>
      </w:r>
    </w:p>
    <w:p>
      <w:pPr>
        <w:spacing w:line="360" w:lineRule="auto"/>
        <w:ind w:firstLine="420" w:firstLineChars="200"/>
        <w:rPr>
          <w:color w:val="auto"/>
          <w:szCs w:val="21"/>
        </w:rPr>
      </w:pPr>
      <w:r>
        <w:rPr>
          <w:color w:val="auto"/>
          <w:szCs w:val="21"/>
        </w:rPr>
        <w:t>11.3诉讼应向甲方所在地或</w:t>
      </w:r>
      <w:r>
        <w:rPr>
          <w:rFonts w:hint="eastAsia" w:ascii="宋体" w:hAnsi="宋体" w:cs="宋体"/>
          <w:color w:val="auto"/>
          <w:szCs w:val="21"/>
          <w:u w:val="single"/>
        </w:rPr>
        <w:t>项目所在地有管辖权的</w:t>
      </w:r>
      <w:r>
        <w:rPr>
          <w:color w:val="auto"/>
          <w:szCs w:val="21"/>
        </w:rPr>
        <w:t>人民法院提起诉讼。</w:t>
      </w:r>
    </w:p>
    <w:p>
      <w:pPr>
        <w:spacing w:line="360" w:lineRule="auto"/>
        <w:ind w:firstLine="420" w:firstLineChars="200"/>
        <w:rPr>
          <w:color w:val="auto"/>
          <w:szCs w:val="21"/>
        </w:rPr>
      </w:pPr>
      <w:r>
        <w:rPr>
          <w:color w:val="auto"/>
          <w:szCs w:val="21"/>
        </w:rPr>
        <w:t>11.3.</w:t>
      </w:r>
      <w:r>
        <w:rPr>
          <w:rFonts w:hint="eastAsia"/>
          <w:color w:val="auto"/>
          <w:szCs w:val="21"/>
        </w:rPr>
        <w:t>1</w:t>
      </w:r>
      <w:r>
        <w:rPr>
          <w:color w:val="auto"/>
          <w:szCs w:val="21"/>
        </w:rPr>
        <w:t>诉讼费除人民法院另有判决外，应由败诉方负担。</w:t>
      </w:r>
    </w:p>
    <w:p>
      <w:pPr>
        <w:spacing w:line="360" w:lineRule="auto"/>
        <w:ind w:firstLine="420" w:firstLineChars="200"/>
        <w:rPr>
          <w:color w:val="auto"/>
          <w:szCs w:val="21"/>
        </w:rPr>
      </w:pPr>
      <w:r>
        <w:rPr>
          <w:color w:val="auto"/>
          <w:szCs w:val="21"/>
        </w:rPr>
        <w:t>11.3.</w:t>
      </w:r>
      <w:r>
        <w:rPr>
          <w:rFonts w:hint="eastAsia"/>
          <w:color w:val="auto"/>
          <w:szCs w:val="21"/>
        </w:rPr>
        <w:t>2</w:t>
      </w:r>
      <w:r>
        <w:rPr>
          <w:color w:val="auto"/>
          <w:szCs w:val="21"/>
        </w:rPr>
        <w:t>在诉讼期间，除正在进行诉讼部分外，本合同的其它部分应继续执行。</w:t>
      </w:r>
    </w:p>
    <w:p>
      <w:pPr>
        <w:spacing w:line="360" w:lineRule="auto"/>
        <w:ind w:firstLine="422" w:firstLineChars="200"/>
        <w:rPr>
          <w:b/>
          <w:color w:val="auto"/>
          <w:szCs w:val="21"/>
        </w:rPr>
      </w:pPr>
      <w:r>
        <w:rPr>
          <w:b/>
          <w:color w:val="auto"/>
          <w:szCs w:val="21"/>
        </w:rPr>
        <w:t>12. 违约终止合同</w:t>
      </w:r>
    </w:p>
    <w:p>
      <w:pPr>
        <w:topLinePunct/>
        <w:autoSpaceDE w:val="0"/>
        <w:autoSpaceDN w:val="0"/>
        <w:spacing w:line="360" w:lineRule="auto"/>
        <w:ind w:firstLine="420" w:firstLineChars="200"/>
        <w:rPr>
          <w:color w:val="auto"/>
          <w:szCs w:val="21"/>
        </w:rPr>
      </w:pPr>
      <w:r>
        <w:rPr>
          <w:color w:val="auto"/>
          <w:szCs w:val="21"/>
        </w:rPr>
        <w:t>12.1 若出现如下情况，在甲方对乙方违约行为而采取的任何补救措施不受影响的情况下，甲方可向乙方发出书面通知书，提出终止部分或全部合同。</w:t>
      </w:r>
    </w:p>
    <w:p>
      <w:pPr>
        <w:topLinePunct/>
        <w:autoSpaceDE w:val="0"/>
        <w:autoSpaceDN w:val="0"/>
        <w:spacing w:line="360" w:lineRule="auto"/>
        <w:ind w:firstLine="420" w:firstLineChars="200"/>
        <w:rPr>
          <w:color w:val="auto"/>
          <w:szCs w:val="21"/>
        </w:rPr>
      </w:pPr>
      <w:r>
        <w:rPr>
          <w:color w:val="auto"/>
          <w:szCs w:val="21"/>
        </w:rPr>
        <w:t>12.1.1 乙方不履行合同业务或者履行合同义务不符合合同约定；</w:t>
      </w:r>
    </w:p>
    <w:p>
      <w:pPr>
        <w:topLinePunct/>
        <w:autoSpaceDE w:val="0"/>
        <w:autoSpaceDN w:val="0"/>
        <w:spacing w:line="360" w:lineRule="auto"/>
        <w:ind w:firstLine="420" w:firstLineChars="200"/>
        <w:rPr>
          <w:color w:val="auto"/>
          <w:szCs w:val="21"/>
        </w:rPr>
      </w:pPr>
      <w:r>
        <w:rPr>
          <w:color w:val="auto"/>
          <w:szCs w:val="21"/>
        </w:rPr>
        <w:t>12.1.2 如果乙方未能在合同规定的期限或甲方同意延长的期限内提供货物和服务；</w:t>
      </w:r>
    </w:p>
    <w:p>
      <w:pPr>
        <w:topLinePunct/>
        <w:autoSpaceDE w:val="0"/>
        <w:autoSpaceDN w:val="0"/>
        <w:spacing w:line="360" w:lineRule="auto"/>
        <w:ind w:firstLine="420" w:firstLineChars="200"/>
        <w:rPr>
          <w:color w:val="auto"/>
          <w:szCs w:val="21"/>
        </w:rPr>
      </w:pPr>
      <w:r>
        <w:rPr>
          <w:color w:val="auto"/>
          <w:szCs w:val="21"/>
        </w:rPr>
        <w:t>12.1.3 因乙方人员自身技术能力、经验不足等问题造成甲方发生重大紧急故障，带来重大影响和损失的；</w:t>
      </w:r>
    </w:p>
    <w:p>
      <w:pPr>
        <w:topLinePunct/>
        <w:autoSpaceDE w:val="0"/>
        <w:autoSpaceDN w:val="0"/>
        <w:spacing w:line="360" w:lineRule="auto"/>
        <w:ind w:firstLine="420" w:firstLineChars="200"/>
        <w:rPr>
          <w:color w:val="auto"/>
          <w:szCs w:val="21"/>
        </w:rPr>
      </w:pPr>
      <w:r>
        <w:rPr>
          <w:color w:val="auto"/>
          <w:szCs w:val="21"/>
        </w:rPr>
        <w:t>12.1.4 在合同质保期内，乙方对重大紧急故障没有及时响应，或不能在规定时间内解决处理故障、恢复正常运行的；</w:t>
      </w:r>
    </w:p>
    <w:p>
      <w:pPr>
        <w:topLinePunct/>
        <w:autoSpaceDE w:val="0"/>
        <w:autoSpaceDN w:val="0"/>
        <w:spacing w:line="360" w:lineRule="auto"/>
        <w:ind w:firstLine="420" w:firstLineChars="200"/>
        <w:rPr>
          <w:color w:val="auto"/>
          <w:szCs w:val="21"/>
        </w:rPr>
      </w:pPr>
      <w:r>
        <w:rPr>
          <w:color w:val="auto"/>
          <w:szCs w:val="21"/>
        </w:rPr>
        <w:t>12.1.5 不能满足本项目技术需求的管理要求和规范，且经多次整改无明显改进的；</w:t>
      </w:r>
    </w:p>
    <w:p>
      <w:pPr>
        <w:topLinePunct/>
        <w:autoSpaceDE w:val="0"/>
        <w:autoSpaceDN w:val="0"/>
        <w:spacing w:line="360" w:lineRule="auto"/>
        <w:ind w:firstLine="420" w:firstLineChars="200"/>
        <w:rPr>
          <w:color w:val="auto"/>
          <w:szCs w:val="21"/>
        </w:rPr>
      </w:pPr>
      <w:r>
        <w:rPr>
          <w:color w:val="auto"/>
          <w:szCs w:val="21"/>
        </w:rPr>
        <w:t>12.1.6 在合同履行期限内，设备调优、巡检、故障解决等运行维护支持服务过程中，出现5次经甲乙双方确认的违约情形的；</w:t>
      </w:r>
    </w:p>
    <w:p>
      <w:pPr>
        <w:spacing w:line="360" w:lineRule="auto"/>
        <w:ind w:firstLine="441" w:firstLineChars="210"/>
        <w:rPr>
          <w:color w:val="auto"/>
          <w:szCs w:val="21"/>
        </w:rPr>
      </w:pPr>
      <w:r>
        <w:rPr>
          <w:color w:val="auto"/>
          <w:szCs w:val="21"/>
        </w:rPr>
        <w:t>12.1.7 乙方利用本项目为税务机关提供信息化货物和服务的便利，向纳税人缴费人搭车收费或变相收费的，或有其他失信行为的；</w:t>
      </w:r>
    </w:p>
    <w:p>
      <w:pPr>
        <w:spacing w:line="360" w:lineRule="auto"/>
        <w:ind w:firstLine="441" w:firstLineChars="210"/>
        <w:rPr>
          <w:color w:val="auto"/>
          <w:szCs w:val="21"/>
        </w:rPr>
      </w:pPr>
      <w:r>
        <w:rPr>
          <w:color w:val="auto"/>
          <w:szCs w:val="21"/>
        </w:rPr>
        <w:t>12.1.8 乙方在本项目实施过程中发生违反网络安全规定行为造成不良后果的。</w:t>
      </w:r>
    </w:p>
    <w:p>
      <w:pPr>
        <w:spacing w:line="360" w:lineRule="auto"/>
        <w:ind w:firstLine="441" w:firstLineChars="210"/>
        <w:rPr>
          <w:color w:val="auto"/>
          <w:szCs w:val="21"/>
        </w:rPr>
      </w:pPr>
      <w:r>
        <w:rPr>
          <w:color w:val="auto"/>
          <w:szCs w:val="21"/>
        </w:rPr>
        <w:t>12.2 如果甲方根据上述第12.1条的规定，终止了全部或部分合同，甲方可以适当的条件和方法购买乙方未能提供的货物和服务，乙方应对甲方购买类似货物和服务所超出的费用负责。同时，乙方应继续执行合同中未终止的部分。</w:t>
      </w:r>
    </w:p>
    <w:p>
      <w:pPr>
        <w:spacing w:line="360" w:lineRule="auto"/>
        <w:ind w:firstLine="422" w:firstLineChars="200"/>
        <w:rPr>
          <w:b/>
          <w:color w:val="auto"/>
          <w:szCs w:val="21"/>
        </w:rPr>
      </w:pPr>
      <w:r>
        <w:rPr>
          <w:b/>
          <w:color w:val="auto"/>
          <w:szCs w:val="21"/>
        </w:rPr>
        <w:t>13. 破产终止合同</w:t>
      </w:r>
    </w:p>
    <w:p>
      <w:pPr>
        <w:spacing w:line="360" w:lineRule="auto"/>
        <w:ind w:firstLine="420" w:firstLineChars="200"/>
        <w:rPr>
          <w:color w:val="auto"/>
          <w:szCs w:val="21"/>
        </w:rPr>
      </w:pPr>
      <w:r>
        <w:rPr>
          <w:color w:val="auto"/>
          <w:szCs w:val="21"/>
        </w:rPr>
        <w:t>13.1 如果乙方破产或无清偿能力，甲方可在任何时候以书面形式通知乙方终止合同而不给乙方补偿。</w:t>
      </w:r>
    </w:p>
    <w:p>
      <w:pPr>
        <w:spacing w:line="360" w:lineRule="auto"/>
        <w:ind w:firstLine="420" w:firstLineChars="200"/>
        <w:rPr>
          <w:color w:val="auto"/>
          <w:szCs w:val="21"/>
        </w:rPr>
      </w:pPr>
      <w:r>
        <w:rPr>
          <w:color w:val="auto"/>
          <w:szCs w:val="21"/>
        </w:rPr>
        <w:t>13.2该终止合同将不损害或影响甲方已经采取或将要采取的任何行动或补救措施的权力。</w:t>
      </w:r>
    </w:p>
    <w:p>
      <w:pPr>
        <w:topLinePunct/>
        <w:autoSpaceDE w:val="0"/>
        <w:autoSpaceDN w:val="0"/>
        <w:spacing w:line="360" w:lineRule="auto"/>
        <w:ind w:firstLine="422" w:firstLineChars="200"/>
        <w:rPr>
          <w:b/>
          <w:color w:val="auto"/>
          <w:szCs w:val="21"/>
        </w:rPr>
      </w:pPr>
      <w:r>
        <w:rPr>
          <w:b/>
          <w:color w:val="auto"/>
          <w:szCs w:val="21"/>
        </w:rPr>
        <w:t>14. 其他情况的终止合同</w:t>
      </w:r>
    </w:p>
    <w:p>
      <w:pPr>
        <w:topLinePunct/>
        <w:autoSpaceDE w:val="0"/>
        <w:autoSpaceDN w:val="0"/>
        <w:spacing w:line="360" w:lineRule="auto"/>
        <w:ind w:firstLine="420" w:firstLineChars="200"/>
        <w:rPr>
          <w:color w:val="auto"/>
          <w:szCs w:val="21"/>
        </w:rPr>
      </w:pPr>
      <w:r>
        <w:rPr>
          <w:color w:val="auto"/>
          <w:szCs w:val="21"/>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color w:val="auto"/>
          <w:szCs w:val="21"/>
        </w:rPr>
      </w:pPr>
      <w:r>
        <w:rPr>
          <w:color w:val="auto"/>
          <w:szCs w:val="21"/>
        </w:rPr>
        <w:t>14.2 在合同履行期限内，由于甲方工作计划调整，推广使用新应用系统导致本项目相关服务或货物停止的，甲方可以提出终止合同而不给予乙方任何补偿。</w:t>
      </w:r>
    </w:p>
    <w:p>
      <w:pPr>
        <w:tabs>
          <w:tab w:val="left" w:pos="700"/>
        </w:tabs>
        <w:spacing w:line="360" w:lineRule="auto"/>
        <w:ind w:firstLine="422" w:firstLineChars="200"/>
        <w:rPr>
          <w:b/>
          <w:color w:val="auto"/>
          <w:szCs w:val="21"/>
        </w:rPr>
      </w:pPr>
      <w:r>
        <w:rPr>
          <w:b/>
          <w:color w:val="auto"/>
          <w:szCs w:val="21"/>
        </w:rPr>
        <w:t>15. 合同修改或变更</w:t>
      </w:r>
    </w:p>
    <w:p>
      <w:pPr>
        <w:spacing w:line="360" w:lineRule="auto"/>
        <w:ind w:firstLine="482"/>
        <w:rPr>
          <w:color w:val="auto"/>
          <w:szCs w:val="21"/>
        </w:rPr>
      </w:pPr>
      <w:r>
        <w:rPr>
          <w:color w:val="auto"/>
          <w:szCs w:val="21"/>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b/>
          <w:color w:val="auto"/>
          <w:szCs w:val="21"/>
        </w:rPr>
      </w:pPr>
      <w:r>
        <w:rPr>
          <w:color w:val="auto"/>
          <w:szCs w:val="21"/>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color w:val="auto"/>
          <w:szCs w:val="21"/>
        </w:rPr>
      </w:pPr>
      <w:r>
        <w:rPr>
          <w:color w:val="auto"/>
          <w:szCs w:val="21"/>
        </w:rPr>
        <w:t>15.3 由于采购人项目统一规划等原因导致本项目合同停止履行部分内容，甲方将启动合同变更程序，与乙方协商变更相关合同条款。</w:t>
      </w:r>
    </w:p>
    <w:p>
      <w:pPr>
        <w:spacing w:line="360" w:lineRule="auto"/>
        <w:ind w:firstLine="422" w:firstLineChars="200"/>
        <w:rPr>
          <w:b/>
          <w:color w:val="auto"/>
          <w:szCs w:val="21"/>
        </w:rPr>
      </w:pPr>
      <w:r>
        <w:rPr>
          <w:b/>
          <w:color w:val="auto"/>
          <w:szCs w:val="21"/>
        </w:rPr>
        <w:t>16. 转让和分包</w:t>
      </w:r>
    </w:p>
    <w:p>
      <w:pPr>
        <w:spacing w:line="360" w:lineRule="auto"/>
        <w:ind w:firstLine="420" w:firstLineChars="200"/>
        <w:rPr>
          <w:color w:val="auto"/>
          <w:szCs w:val="21"/>
        </w:rPr>
      </w:pPr>
      <w:r>
        <w:rPr>
          <w:color w:val="auto"/>
          <w:szCs w:val="21"/>
        </w:rPr>
        <w:t>16.1 除甲方事先书面同意外，乙方不得部分转让或全部转让其应履行的合同义务。</w:t>
      </w:r>
    </w:p>
    <w:p>
      <w:pPr>
        <w:spacing w:line="360" w:lineRule="auto"/>
        <w:ind w:firstLine="420" w:firstLineChars="200"/>
        <w:rPr>
          <w:color w:val="auto"/>
          <w:szCs w:val="21"/>
        </w:rPr>
      </w:pPr>
      <w:r>
        <w:rPr>
          <w:color w:val="auto"/>
          <w:szCs w:val="21"/>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b/>
          <w:color w:val="auto"/>
          <w:szCs w:val="21"/>
        </w:rPr>
      </w:pPr>
      <w:r>
        <w:rPr>
          <w:b/>
          <w:color w:val="auto"/>
          <w:szCs w:val="21"/>
        </w:rPr>
        <w:t>17. 合同语言</w:t>
      </w:r>
    </w:p>
    <w:p>
      <w:pPr>
        <w:topLinePunct/>
        <w:autoSpaceDE w:val="0"/>
        <w:autoSpaceDN w:val="0"/>
        <w:spacing w:line="360" w:lineRule="auto"/>
        <w:ind w:firstLine="420" w:firstLineChars="200"/>
        <w:rPr>
          <w:color w:val="auto"/>
          <w:szCs w:val="21"/>
        </w:rPr>
      </w:pPr>
      <w:r>
        <w:rPr>
          <w:color w:val="auto"/>
          <w:szCs w:val="21"/>
        </w:rPr>
        <w:t>17.1 本合同语言为中文。</w:t>
      </w:r>
    </w:p>
    <w:p>
      <w:pPr>
        <w:spacing w:line="360" w:lineRule="auto"/>
        <w:ind w:firstLine="420" w:firstLineChars="200"/>
        <w:rPr>
          <w:color w:val="auto"/>
          <w:szCs w:val="21"/>
        </w:rPr>
      </w:pPr>
      <w:r>
        <w:rPr>
          <w:color w:val="auto"/>
          <w:szCs w:val="21"/>
        </w:rPr>
        <w:t>17.2 双方交换的与合同有关的信件和其他文件应用合同语言书写。</w:t>
      </w:r>
    </w:p>
    <w:p>
      <w:pPr>
        <w:spacing w:line="360" w:lineRule="auto"/>
        <w:ind w:firstLine="422" w:firstLineChars="200"/>
        <w:rPr>
          <w:b/>
          <w:color w:val="auto"/>
          <w:szCs w:val="21"/>
        </w:rPr>
      </w:pPr>
      <w:r>
        <w:rPr>
          <w:b/>
          <w:color w:val="auto"/>
          <w:szCs w:val="21"/>
        </w:rPr>
        <w:t>18. 适用法律</w:t>
      </w:r>
    </w:p>
    <w:p>
      <w:pPr>
        <w:spacing w:line="360" w:lineRule="auto"/>
        <w:ind w:firstLine="420" w:firstLineChars="200"/>
        <w:rPr>
          <w:color w:val="auto"/>
          <w:szCs w:val="21"/>
        </w:rPr>
      </w:pPr>
      <w:r>
        <w:rPr>
          <w:color w:val="auto"/>
          <w:szCs w:val="21"/>
        </w:rPr>
        <w:t>18.1 本合同按照中华人民共和国现行法律进行解释。</w:t>
      </w:r>
    </w:p>
    <w:p>
      <w:pPr>
        <w:spacing w:line="360" w:lineRule="auto"/>
        <w:ind w:firstLine="420" w:firstLineChars="200"/>
        <w:rPr>
          <w:color w:val="auto"/>
          <w:szCs w:val="21"/>
        </w:rPr>
      </w:pPr>
      <w:r>
        <w:rPr>
          <w:color w:val="auto"/>
          <w:szCs w:val="21"/>
        </w:rPr>
        <w:t>18.2 本合同的履行、违约责任和解决争议的方法等适用《中华人民共和国民法典（合同编）》。</w:t>
      </w:r>
    </w:p>
    <w:p>
      <w:pPr>
        <w:topLinePunct/>
        <w:autoSpaceDE w:val="0"/>
        <w:autoSpaceDN w:val="0"/>
        <w:spacing w:line="360" w:lineRule="auto"/>
        <w:ind w:firstLine="422" w:firstLineChars="200"/>
        <w:rPr>
          <w:b/>
          <w:color w:val="auto"/>
          <w:szCs w:val="21"/>
        </w:rPr>
      </w:pPr>
      <w:r>
        <w:rPr>
          <w:b/>
          <w:color w:val="auto"/>
          <w:szCs w:val="21"/>
        </w:rPr>
        <w:t>19. 税费</w:t>
      </w:r>
    </w:p>
    <w:p>
      <w:pPr>
        <w:topLinePunct/>
        <w:autoSpaceDE w:val="0"/>
        <w:autoSpaceDN w:val="0"/>
        <w:spacing w:line="360" w:lineRule="auto"/>
        <w:ind w:firstLine="420" w:firstLineChars="200"/>
        <w:rPr>
          <w:color w:val="auto"/>
          <w:szCs w:val="21"/>
        </w:rPr>
      </w:pPr>
      <w:r>
        <w:rPr>
          <w:color w:val="auto"/>
          <w:szCs w:val="21"/>
        </w:rPr>
        <w:t>19.1 合同服务的所有税费均已包含于合同价中，甲方不再另行支付。</w:t>
      </w:r>
    </w:p>
    <w:p>
      <w:pPr>
        <w:tabs>
          <w:tab w:val="left" w:pos="700"/>
        </w:tabs>
        <w:spacing w:line="360" w:lineRule="auto"/>
        <w:ind w:firstLine="422" w:firstLineChars="200"/>
        <w:rPr>
          <w:b/>
          <w:color w:val="auto"/>
          <w:szCs w:val="21"/>
        </w:rPr>
      </w:pPr>
      <w:r>
        <w:rPr>
          <w:b/>
          <w:color w:val="auto"/>
          <w:szCs w:val="21"/>
        </w:rPr>
        <w:t>20. 合同生效</w:t>
      </w:r>
    </w:p>
    <w:p>
      <w:pPr>
        <w:spacing w:line="360" w:lineRule="auto"/>
        <w:ind w:firstLine="420" w:firstLineChars="200"/>
        <w:rPr>
          <w:color w:val="auto"/>
          <w:szCs w:val="21"/>
        </w:rPr>
      </w:pPr>
      <w:r>
        <w:rPr>
          <w:color w:val="auto"/>
          <w:szCs w:val="21"/>
        </w:rPr>
        <w:t>20.1 本合同一式</w:t>
      </w:r>
      <w:r>
        <w:rPr>
          <w:color w:val="auto"/>
          <w:szCs w:val="21"/>
          <w:u w:val="single"/>
        </w:rPr>
        <w:t xml:space="preserve"> </w:t>
      </w:r>
      <w:r>
        <w:rPr>
          <w:rFonts w:hint="eastAsia"/>
          <w:color w:val="auto"/>
          <w:szCs w:val="21"/>
          <w:u w:val="single"/>
        </w:rPr>
        <w:t>七</w:t>
      </w:r>
      <w:r>
        <w:rPr>
          <w:color w:val="auto"/>
          <w:szCs w:val="21"/>
          <w:u w:val="single"/>
        </w:rPr>
        <w:t xml:space="preserve"> </w:t>
      </w:r>
      <w:r>
        <w:rPr>
          <w:color w:val="auto"/>
          <w:szCs w:val="21"/>
        </w:rPr>
        <w:t>份，由甲乙双方法定代表人或被授权人签字并盖章后生效。</w:t>
      </w:r>
    </w:p>
    <w:p>
      <w:pPr>
        <w:topLinePunct/>
        <w:autoSpaceDE w:val="0"/>
        <w:autoSpaceDN w:val="0"/>
        <w:spacing w:line="460" w:lineRule="exact"/>
        <w:jc w:val="center"/>
        <w:rPr>
          <w:rFonts w:ascii="宋体" w:hAnsi="宋体" w:cs="宋体"/>
          <w:b/>
          <w:color w:val="auto"/>
          <w:sz w:val="24"/>
        </w:rPr>
      </w:pPr>
    </w:p>
    <w:p>
      <w:pPr>
        <w:topLinePunct/>
        <w:autoSpaceDE w:val="0"/>
        <w:autoSpaceDN w:val="0"/>
        <w:spacing w:line="460" w:lineRule="exact"/>
        <w:jc w:val="center"/>
        <w:rPr>
          <w:rFonts w:ascii="宋体" w:hAnsi="宋体" w:cs="宋体"/>
          <w:b/>
          <w:color w:val="auto"/>
          <w:sz w:val="24"/>
        </w:rPr>
      </w:pPr>
    </w:p>
    <w:p>
      <w:pPr>
        <w:topLinePunct/>
        <w:autoSpaceDE w:val="0"/>
        <w:autoSpaceDN w:val="0"/>
        <w:spacing w:line="460" w:lineRule="exact"/>
        <w:jc w:val="center"/>
        <w:rPr>
          <w:rFonts w:ascii="宋体" w:hAnsi="宋体" w:cs="宋体"/>
          <w:b/>
          <w:color w:val="auto"/>
          <w:sz w:val="24"/>
        </w:rPr>
      </w:pPr>
    </w:p>
    <w:p>
      <w:pPr>
        <w:pStyle w:val="57"/>
        <w:rPr>
          <w:color w:val="auto"/>
        </w:rPr>
      </w:pPr>
    </w:p>
    <w:p>
      <w:pPr>
        <w:pStyle w:val="58"/>
        <w:rPr>
          <w:rFonts w:ascii="宋体" w:hAnsi="宋体" w:cs="宋体"/>
          <w:b/>
          <w:color w:val="auto"/>
          <w:sz w:val="24"/>
        </w:rPr>
      </w:pPr>
    </w:p>
    <w:p>
      <w:pPr>
        <w:topLinePunct/>
        <w:autoSpaceDE w:val="0"/>
        <w:autoSpaceDN w:val="0"/>
        <w:spacing w:line="360" w:lineRule="auto"/>
        <w:jc w:val="center"/>
        <w:rPr>
          <w:rFonts w:ascii="宋体" w:hAnsi="宋体" w:cs="宋体"/>
          <w:b/>
          <w:color w:val="auto"/>
          <w:sz w:val="24"/>
        </w:rPr>
      </w:pPr>
      <w:r>
        <w:rPr>
          <w:rFonts w:hint="eastAsia" w:ascii="宋体" w:hAnsi="宋体" w:cs="宋体"/>
          <w:b/>
          <w:color w:val="auto"/>
          <w:sz w:val="24"/>
        </w:rPr>
        <w:t>三   磋商文件及响应文件（另附）</w:t>
      </w:r>
    </w:p>
    <w:p>
      <w:pPr>
        <w:spacing w:line="360" w:lineRule="auto"/>
        <w:jc w:val="center"/>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四   报价表（总报价表和分项报价表，另附）</w:t>
      </w:r>
    </w:p>
    <w:p>
      <w:pPr>
        <w:spacing w:line="360" w:lineRule="auto"/>
        <w:jc w:val="center"/>
        <w:rPr>
          <w:rFonts w:ascii="宋体" w:hAnsi="宋体" w:cs="宋体"/>
          <w:color w:val="auto"/>
        </w:rPr>
      </w:pPr>
    </w:p>
    <w:p>
      <w:pPr>
        <w:rPr>
          <w:color w:val="auto"/>
        </w:rPr>
      </w:pPr>
    </w:p>
    <w:p>
      <w:pPr>
        <w:pStyle w:val="57"/>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17"/>
        <w:rPr>
          <w:color w:val="auto"/>
        </w:rPr>
      </w:pPr>
    </w:p>
    <w:p>
      <w:pPr>
        <w:rPr>
          <w:color w:val="auto"/>
        </w:rPr>
      </w:pPr>
    </w:p>
    <w:p>
      <w:pPr>
        <w:pStyle w:val="17"/>
        <w:rPr>
          <w:color w:val="auto"/>
        </w:rPr>
      </w:pPr>
    </w:p>
    <w:p>
      <w:pPr>
        <w:spacing w:line="400" w:lineRule="exact"/>
        <w:jc w:val="center"/>
        <w:outlineLvl w:val="0"/>
        <w:rPr>
          <w:rFonts w:asciiTheme="minorEastAsia" w:hAnsiTheme="minorEastAsia" w:eastAsiaTheme="minorEastAsia" w:cstheme="minorEastAsia"/>
          <w:b/>
          <w:color w:val="auto"/>
          <w:sz w:val="28"/>
          <w:szCs w:val="28"/>
        </w:rPr>
      </w:pPr>
      <w:bookmarkStart w:id="65" w:name="_Toc3075"/>
      <w:r>
        <w:rPr>
          <w:rFonts w:hint="eastAsia" w:asciiTheme="minorEastAsia" w:hAnsiTheme="minorEastAsia" w:eastAsiaTheme="minorEastAsia" w:cstheme="minorEastAsia"/>
          <w:b/>
          <w:color w:val="auto"/>
          <w:sz w:val="28"/>
          <w:szCs w:val="28"/>
        </w:rPr>
        <w:t>第五章 响应文件组成</w:t>
      </w:r>
      <w:bookmarkEnd w:id="65"/>
    </w:p>
    <w:p>
      <w:pPr>
        <w:pStyle w:val="22"/>
        <w:spacing w:line="380" w:lineRule="exact"/>
        <w:jc w:val="center"/>
        <w:rPr>
          <w:rFonts w:asciiTheme="minorEastAsia" w:hAnsiTheme="minorEastAsia" w:eastAsiaTheme="minorEastAsia" w:cstheme="minorEastAsia"/>
          <w:b/>
          <w:color w:val="auto"/>
          <w:sz w:val="32"/>
          <w:szCs w:val="32"/>
        </w:rPr>
      </w:pPr>
    </w:p>
    <w:p>
      <w:pPr>
        <w:pStyle w:val="22"/>
        <w:spacing w:line="380" w:lineRule="exact"/>
        <w:jc w:val="center"/>
        <w:rPr>
          <w:rFonts w:asciiTheme="minorEastAsia" w:hAnsiTheme="minorEastAsia" w:eastAsiaTheme="minorEastAsia" w:cstheme="minorEastAsia"/>
          <w:b/>
          <w:color w:val="auto"/>
          <w:sz w:val="32"/>
          <w:szCs w:val="32"/>
        </w:rPr>
      </w:pPr>
    </w:p>
    <w:p>
      <w:pPr>
        <w:pStyle w:val="22"/>
        <w:spacing w:line="380" w:lineRule="exact"/>
        <w:jc w:val="center"/>
        <w:rPr>
          <w:rFonts w:asciiTheme="minorEastAsia" w:hAnsiTheme="minorEastAsia" w:eastAsiaTheme="minorEastAsia" w:cstheme="minorEastAsia"/>
          <w:b/>
          <w:color w:val="auto"/>
          <w:sz w:val="32"/>
          <w:szCs w:val="32"/>
        </w:rPr>
      </w:pPr>
    </w:p>
    <w:p>
      <w:pPr>
        <w:spacing w:line="400" w:lineRule="exact"/>
        <w:ind w:left="421" w:leftChars="172" w:hanging="60" w:hangingChars="25"/>
        <w:rPr>
          <w:rFonts w:asciiTheme="minorEastAsia" w:hAnsiTheme="minorEastAsia" w:eastAsiaTheme="minorEastAsia" w:cstheme="minorEastAsia"/>
          <w:b/>
          <w:color w:val="auto"/>
          <w:sz w:val="24"/>
          <w:szCs w:val="28"/>
        </w:rPr>
      </w:pPr>
      <w:r>
        <w:rPr>
          <w:rFonts w:hint="eastAsia" w:asciiTheme="minorEastAsia" w:hAnsiTheme="minorEastAsia" w:eastAsiaTheme="minorEastAsia" w:cstheme="minorEastAsia"/>
          <w:b/>
          <w:color w:val="auto"/>
          <w:sz w:val="24"/>
          <w:szCs w:val="28"/>
        </w:rPr>
        <w:t>响应文件的</w:t>
      </w:r>
      <w:r>
        <w:rPr>
          <w:rFonts w:hint="eastAsia" w:asciiTheme="minorEastAsia" w:hAnsiTheme="minorEastAsia" w:eastAsiaTheme="minorEastAsia" w:cstheme="minorEastAsia"/>
          <w:b/>
          <w:color w:val="auto"/>
          <w:sz w:val="32"/>
          <w:szCs w:val="28"/>
        </w:rPr>
        <w:t>外层包装封套</w:t>
      </w:r>
      <w:r>
        <w:rPr>
          <w:rFonts w:hint="eastAsia" w:asciiTheme="minorEastAsia" w:hAnsiTheme="minorEastAsia" w:eastAsiaTheme="minorEastAsia" w:cstheme="minorEastAsia"/>
          <w:b/>
          <w:color w:val="auto"/>
          <w:sz w:val="24"/>
          <w:szCs w:val="28"/>
        </w:rPr>
        <w:t>格式：</w:t>
      </w:r>
    </w:p>
    <w:p>
      <w:pPr>
        <w:spacing w:line="400" w:lineRule="exact"/>
        <w:ind w:left="441" w:leftChars="172" w:hanging="80" w:hangingChars="25"/>
        <w:rPr>
          <w:rFonts w:asciiTheme="minorEastAsia" w:hAnsiTheme="minorEastAsia" w:eastAsiaTheme="minorEastAsia" w:cstheme="minorEastAsia"/>
          <w:b/>
          <w:color w:val="auto"/>
          <w:sz w:val="32"/>
          <w:szCs w:val="28"/>
        </w:rPr>
      </w:pPr>
    </w:p>
    <w:p>
      <w:pPr>
        <w:spacing w:line="400" w:lineRule="exact"/>
        <w:ind w:left="441" w:leftChars="172" w:hanging="80" w:hangingChars="25"/>
        <w:rPr>
          <w:rFonts w:asciiTheme="minorEastAsia" w:hAnsiTheme="minorEastAsia" w:eastAsiaTheme="minorEastAsia" w:cstheme="minorEastAsia"/>
          <w:b/>
          <w:color w:val="auto"/>
          <w:sz w:val="32"/>
          <w:szCs w:val="28"/>
        </w:rPr>
      </w:pPr>
    </w:p>
    <w:p>
      <w:pPr>
        <w:spacing w:line="400" w:lineRule="exact"/>
        <w:ind w:left="441" w:leftChars="172" w:hanging="80" w:hangingChars="25"/>
        <w:rPr>
          <w:rFonts w:asciiTheme="minorEastAsia" w:hAnsiTheme="minorEastAsia" w:eastAsiaTheme="minorEastAsia" w:cstheme="minorEastAsia"/>
          <w:b/>
          <w:color w:val="auto"/>
          <w:sz w:val="32"/>
          <w:szCs w:val="28"/>
        </w:rPr>
      </w:pPr>
    </w:p>
    <w:p>
      <w:pPr>
        <w:spacing w:line="360" w:lineRule="auto"/>
        <w:ind w:left="413" w:leftChars="172" w:hanging="52" w:hangingChars="25"/>
        <w:jc w:val="left"/>
        <w:rPr>
          <w:rFonts w:asciiTheme="minorEastAsia" w:hAnsiTheme="minorEastAsia" w:eastAsiaTheme="minorEastAsia" w:cstheme="minorEastAsia"/>
          <w:color w:val="auto"/>
          <w:szCs w:val="21"/>
        </w:rPr>
      </w:pPr>
    </w:p>
    <w:p>
      <w:pPr>
        <w:spacing w:line="720" w:lineRule="auto"/>
        <w:jc w:val="center"/>
        <w:rPr>
          <w:rFonts w:asciiTheme="minorEastAsia" w:hAnsiTheme="minorEastAsia" w:eastAsiaTheme="minorEastAsia" w:cstheme="minorEastAsia"/>
          <w:color w:val="auto"/>
          <w:sz w:val="32"/>
          <w:szCs w:val="21"/>
        </w:rPr>
      </w:pPr>
      <w:r>
        <w:rPr>
          <w:rFonts w:hint="eastAsia" w:asciiTheme="minorEastAsia" w:hAnsiTheme="minorEastAsia" w:eastAsiaTheme="minorEastAsia" w:cstheme="minorEastAsia"/>
          <w:color w:val="auto"/>
          <w:sz w:val="32"/>
          <w:szCs w:val="21"/>
        </w:rPr>
        <w:t>___________________(项目名称)响应文件</w:t>
      </w:r>
    </w:p>
    <w:p>
      <w:pPr>
        <w:spacing w:line="720" w:lineRule="auto"/>
        <w:jc w:val="center"/>
        <w:rPr>
          <w:rFonts w:asciiTheme="minorEastAsia" w:hAnsiTheme="minorEastAsia" w:eastAsiaTheme="minorEastAsia" w:cstheme="minorEastAsia"/>
          <w:color w:val="auto"/>
          <w:sz w:val="32"/>
          <w:szCs w:val="21"/>
        </w:rPr>
      </w:pPr>
      <w:r>
        <w:rPr>
          <w:rFonts w:hint="eastAsia" w:asciiTheme="minorEastAsia" w:hAnsiTheme="minorEastAsia" w:eastAsiaTheme="minorEastAsia" w:cstheme="minorEastAsia"/>
          <w:color w:val="auto"/>
          <w:sz w:val="32"/>
          <w:szCs w:val="21"/>
        </w:rPr>
        <w:t>项目编号：____________________</w:t>
      </w:r>
    </w:p>
    <w:p>
      <w:pPr>
        <w:spacing w:line="720" w:lineRule="auto"/>
        <w:jc w:val="center"/>
        <w:rPr>
          <w:rFonts w:asciiTheme="minorEastAsia" w:hAnsiTheme="minorEastAsia" w:eastAsiaTheme="minorEastAsia" w:cstheme="minorEastAsia"/>
          <w:color w:val="auto"/>
          <w:sz w:val="32"/>
          <w:szCs w:val="21"/>
        </w:rPr>
      </w:pPr>
      <w:r>
        <w:rPr>
          <w:rFonts w:hint="eastAsia" w:asciiTheme="minorEastAsia" w:hAnsiTheme="minorEastAsia" w:eastAsiaTheme="minorEastAsia" w:cstheme="minorEastAsia"/>
          <w:color w:val="auto"/>
          <w:sz w:val="32"/>
          <w:szCs w:val="21"/>
        </w:rPr>
        <w:t>在______年____月____日____时____分之前不得启封</w:t>
      </w:r>
    </w:p>
    <w:p>
      <w:pPr>
        <w:spacing w:line="720" w:lineRule="auto"/>
        <w:jc w:val="center"/>
        <w:rPr>
          <w:rFonts w:asciiTheme="minorEastAsia" w:hAnsiTheme="minorEastAsia" w:eastAsiaTheme="minorEastAsia" w:cstheme="minorEastAsia"/>
          <w:color w:val="auto"/>
          <w:sz w:val="32"/>
          <w:szCs w:val="21"/>
        </w:rPr>
      </w:pPr>
      <w:r>
        <w:rPr>
          <w:rFonts w:hint="eastAsia" w:asciiTheme="minorEastAsia" w:hAnsiTheme="minorEastAsia" w:eastAsiaTheme="minorEastAsia" w:cstheme="minorEastAsia"/>
          <w:color w:val="auto"/>
          <w:sz w:val="32"/>
          <w:szCs w:val="21"/>
        </w:rPr>
        <w:t>供应商名称：____________________</w:t>
      </w:r>
    </w:p>
    <w:p>
      <w:pPr>
        <w:spacing w:line="720" w:lineRule="auto"/>
        <w:ind w:left="461" w:leftChars="172" w:hanging="100" w:hangingChars="25"/>
        <w:jc w:val="center"/>
        <w:rPr>
          <w:rFonts w:asciiTheme="minorEastAsia" w:hAnsiTheme="minorEastAsia" w:eastAsiaTheme="minorEastAsia" w:cstheme="minorEastAsia"/>
          <w:b/>
          <w:color w:val="auto"/>
          <w:sz w:val="40"/>
          <w:szCs w:val="21"/>
        </w:rPr>
      </w:pPr>
      <w:r>
        <w:rPr>
          <w:rFonts w:hint="eastAsia" w:asciiTheme="minorEastAsia" w:hAnsiTheme="minorEastAsia" w:eastAsiaTheme="minorEastAsia" w:cstheme="minorEastAsia"/>
          <w:b/>
          <w:color w:val="auto"/>
          <w:sz w:val="40"/>
          <w:szCs w:val="21"/>
        </w:rPr>
        <w:t>（加盖公章）</w:t>
      </w:r>
    </w:p>
    <w:p>
      <w:pPr>
        <w:pStyle w:val="22"/>
        <w:spacing w:line="480" w:lineRule="auto"/>
        <w:jc w:val="center"/>
        <w:rPr>
          <w:rFonts w:asciiTheme="minorEastAsia" w:hAnsiTheme="minorEastAsia" w:eastAsiaTheme="minorEastAsia" w:cstheme="minorEastAsia"/>
          <w:color w:val="auto"/>
          <w:sz w:val="24"/>
          <w:szCs w:val="21"/>
        </w:rPr>
      </w:pPr>
    </w:p>
    <w:p>
      <w:pPr>
        <w:pStyle w:val="22"/>
        <w:spacing w:line="380" w:lineRule="exact"/>
        <w:jc w:val="center"/>
        <w:rPr>
          <w:rFonts w:asciiTheme="minorEastAsia" w:hAnsiTheme="minorEastAsia" w:eastAsiaTheme="minorEastAsia" w:cstheme="minorEastAsia"/>
          <w:b/>
          <w:color w:val="auto"/>
          <w:sz w:val="32"/>
          <w:szCs w:val="32"/>
        </w:rPr>
      </w:pPr>
    </w:p>
    <w:p>
      <w:pPr>
        <w:pStyle w:val="22"/>
        <w:spacing w:line="380" w:lineRule="exact"/>
        <w:jc w:val="center"/>
        <w:rPr>
          <w:rFonts w:asciiTheme="minorEastAsia" w:hAnsiTheme="minorEastAsia" w:eastAsiaTheme="minorEastAsia" w:cstheme="minorEastAsia"/>
          <w:b/>
          <w:color w:val="auto"/>
          <w:sz w:val="32"/>
          <w:szCs w:val="32"/>
        </w:rPr>
      </w:pPr>
    </w:p>
    <w:p>
      <w:pPr>
        <w:spacing w:line="400" w:lineRule="exact"/>
        <w:ind w:left="441" w:leftChars="172" w:hanging="80" w:hangingChars="25"/>
        <w:jc w:val="center"/>
        <w:rPr>
          <w:rFonts w:asciiTheme="minorEastAsia" w:hAnsiTheme="minorEastAsia" w:eastAsiaTheme="minorEastAsia" w:cstheme="minorEastAsia"/>
          <w:b/>
          <w:color w:val="auto"/>
          <w:sz w:val="32"/>
          <w:szCs w:val="28"/>
        </w:rPr>
      </w:pPr>
      <w:r>
        <w:rPr>
          <w:rFonts w:hint="eastAsia" w:asciiTheme="minorEastAsia" w:hAnsiTheme="minorEastAsia" w:eastAsiaTheme="minorEastAsia" w:cstheme="minorEastAsia"/>
          <w:b/>
          <w:color w:val="auto"/>
          <w:sz w:val="32"/>
          <w:szCs w:val="28"/>
        </w:rPr>
        <w:br w:type="page"/>
      </w:r>
    </w:p>
    <w:p>
      <w:pPr>
        <w:spacing w:line="400" w:lineRule="exact"/>
        <w:ind w:left="421" w:leftChars="172" w:hanging="60" w:hangingChars="25"/>
        <w:rPr>
          <w:rFonts w:asciiTheme="minorEastAsia" w:hAnsiTheme="minorEastAsia" w:eastAsiaTheme="minorEastAsia" w:cstheme="minorEastAsia"/>
          <w:b/>
          <w:color w:val="auto"/>
          <w:sz w:val="24"/>
          <w:szCs w:val="28"/>
        </w:rPr>
      </w:pPr>
    </w:p>
    <w:p>
      <w:pPr>
        <w:spacing w:line="400" w:lineRule="exact"/>
        <w:ind w:left="421" w:leftChars="172" w:hanging="60" w:hangingChars="25"/>
        <w:rPr>
          <w:rFonts w:asciiTheme="minorEastAsia" w:hAnsiTheme="minorEastAsia" w:eastAsiaTheme="minorEastAsia" w:cstheme="minorEastAsia"/>
          <w:b/>
          <w:color w:val="auto"/>
          <w:sz w:val="24"/>
          <w:szCs w:val="28"/>
        </w:rPr>
      </w:pPr>
      <w:r>
        <w:rPr>
          <w:rFonts w:hint="eastAsia" w:asciiTheme="minorEastAsia" w:hAnsiTheme="minorEastAsia" w:eastAsiaTheme="minorEastAsia" w:cstheme="minorEastAsia"/>
          <w:b/>
          <w:color w:val="auto"/>
          <w:sz w:val="24"/>
          <w:szCs w:val="28"/>
        </w:rPr>
        <w:t>响应文件的封面格式：</w:t>
      </w:r>
    </w:p>
    <w:p>
      <w:pPr>
        <w:spacing w:line="400" w:lineRule="exact"/>
        <w:ind w:left="441" w:leftChars="172" w:hanging="80" w:hangingChars="25"/>
        <w:jc w:val="center"/>
        <w:rPr>
          <w:rFonts w:asciiTheme="minorEastAsia" w:hAnsiTheme="minorEastAsia" w:eastAsiaTheme="minorEastAsia" w:cstheme="minorEastAsia"/>
          <w:b/>
          <w:color w:val="auto"/>
          <w:sz w:val="32"/>
          <w:szCs w:val="28"/>
        </w:rPr>
      </w:pPr>
    </w:p>
    <w:p>
      <w:pPr>
        <w:spacing w:line="400" w:lineRule="exact"/>
        <w:ind w:left="441" w:leftChars="172" w:hanging="80" w:hangingChars="25"/>
        <w:jc w:val="center"/>
        <w:rPr>
          <w:rFonts w:asciiTheme="minorEastAsia" w:hAnsiTheme="minorEastAsia" w:eastAsiaTheme="minorEastAsia" w:cstheme="minorEastAsia"/>
          <w:b/>
          <w:color w:val="auto"/>
          <w:sz w:val="32"/>
          <w:szCs w:val="28"/>
        </w:rPr>
      </w:pPr>
    </w:p>
    <w:p>
      <w:pPr>
        <w:spacing w:line="400" w:lineRule="exact"/>
        <w:ind w:left="441" w:leftChars="172" w:hanging="80" w:hangingChars="25"/>
        <w:jc w:val="center"/>
        <w:rPr>
          <w:rFonts w:asciiTheme="minorEastAsia" w:hAnsiTheme="minorEastAsia" w:eastAsiaTheme="minorEastAsia" w:cstheme="minorEastAsia"/>
          <w:b/>
          <w:color w:val="auto"/>
          <w:sz w:val="32"/>
          <w:szCs w:val="28"/>
        </w:rPr>
      </w:pPr>
      <w:r>
        <w:rPr>
          <w:rFonts w:hint="eastAsia" w:asciiTheme="minorEastAsia" w:hAnsiTheme="minorEastAsia" w:eastAsiaTheme="minorEastAsia" w:cstheme="minorEastAsia"/>
          <w:b/>
          <w:color w:val="auto"/>
          <w:sz w:val="32"/>
          <w:szCs w:val="28"/>
        </w:rPr>
        <w:t xml:space="preserve">                                     正本/副本</w:t>
      </w:r>
    </w:p>
    <w:p>
      <w:pPr>
        <w:spacing w:line="400" w:lineRule="exact"/>
        <w:ind w:left="441" w:leftChars="172" w:hanging="80" w:hangingChars="25"/>
        <w:jc w:val="center"/>
        <w:rPr>
          <w:rFonts w:asciiTheme="minorEastAsia" w:hAnsiTheme="minorEastAsia" w:eastAsiaTheme="minorEastAsia" w:cstheme="minorEastAsia"/>
          <w:b/>
          <w:color w:val="auto"/>
          <w:sz w:val="32"/>
          <w:szCs w:val="28"/>
        </w:rPr>
      </w:pPr>
    </w:p>
    <w:p>
      <w:pPr>
        <w:spacing w:line="400" w:lineRule="exact"/>
        <w:ind w:left="441" w:leftChars="172" w:hanging="80" w:hangingChars="25"/>
        <w:jc w:val="center"/>
        <w:rPr>
          <w:rFonts w:asciiTheme="minorEastAsia" w:hAnsiTheme="minorEastAsia" w:eastAsiaTheme="minorEastAsia" w:cstheme="minorEastAsia"/>
          <w:b/>
          <w:color w:val="auto"/>
          <w:sz w:val="32"/>
          <w:szCs w:val="28"/>
        </w:rPr>
      </w:pPr>
    </w:p>
    <w:p>
      <w:pPr>
        <w:spacing w:line="400" w:lineRule="exact"/>
        <w:ind w:left="451" w:leftChars="172" w:hanging="90" w:hangingChars="25"/>
        <w:jc w:val="center"/>
        <w:rPr>
          <w:rFonts w:asciiTheme="minorEastAsia" w:hAnsiTheme="minorEastAsia" w:eastAsiaTheme="minorEastAsia" w:cstheme="minorEastAsia"/>
          <w:b/>
          <w:color w:val="auto"/>
          <w:sz w:val="36"/>
          <w:szCs w:val="28"/>
        </w:rPr>
      </w:pPr>
      <w:r>
        <w:rPr>
          <w:rFonts w:hint="eastAsia" w:asciiTheme="minorEastAsia" w:hAnsiTheme="minorEastAsia" w:eastAsiaTheme="minorEastAsia" w:cstheme="minorEastAsia"/>
          <w:b/>
          <w:color w:val="auto"/>
          <w:sz w:val="36"/>
          <w:szCs w:val="28"/>
        </w:rPr>
        <w:t>响应文件</w:t>
      </w:r>
    </w:p>
    <w:p>
      <w:pPr>
        <w:spacing w:line="360" w:lineRule="auto"/>
        <w:ind w:left="413" w:leftChars="172" w:hanging="52" w:hangingChars="25"/>
        <w:jc w:val="left"/>
        <w:rPr>
          <w:rFonts w:asciiTheme="minorEastAsia" w:hAnsiTheme="minorEastAsia" w:eastAsiaTheme="minorEastAsia" w:cstheme="minorEastAsia"/>
          <w:color w:val="auto"/>
          <w:szCs w:val="21"/>
        </w:rPr>
      </w:pPr>
    </w:p>
    <w:p>
      <w:pPr>
        <w:spacing w:line="360" w:lineRule="auto"/>
        <w:ind w:left="413" w:leftChars="172" w:hanging="52" w:hangingChars="25"/>
        <w:jc w:val="left"/>
        <w:rPr>
          <w:rFonts w:asciiTheme="minorEastAsia" w:hAnsiTheme="minorEastAsia" w:eastAsiaTheme="minorEastAsia" w:cstheme="minorEastAsia"/>
          <w:color w:val="auto"/>
          <w:szCs w:val="21"/>
        </w:rPr>
      </w:pPr>
    </w:p>
    <w:p>
      <w:pPr>
        <w:spacing w:line="360" w:lineRule="auto"/>
        <w:ind w:left="413" w:leftChars="172" w:hanging="52" w:hangingChars="25"/>
        <w:jc w:val="left"/>
        <w:rPr>
          <w:rFonts w:asciiTheme="minorEastAsia" w:hAnsiTheme="minorEastAsia" w:eastAsiaTheme="minorEastAsia" w:cstheme="minorEastAsia"/>
          <w:color w:val="auto"/>
          <w:szCs w:val="21"/>
        </w:rPr>
      </w:pPr>
    </w:p>
    <w:p>
      <w:pPr>
        <w:spacing w:line="480" w:lineRule="auto"/>
        <w:ind w:left="421" w:leftChars="172" w:hanging="60" w:hangingChars="25"/>
        <w:jc w:val="left"/>
        <w:rPr>
          <w:rFonts w:asciiTheme="minorEastAsia" w:hAnsiTheme="minorEastAsia" w:eastAsiaTheme="minorEastAsia" w:cstheme="minorEastAsia"/>
          <w:color w:val="auto"/>
          <w:sz w:val="24"/>
          <w:szCs w:val="21"/>
        </w:rPr>
      </w:pPr>
      <w:r>
        <w:rPr>
          <w:rFonts w:hint="eastAsia" w:asciiTheme="minorEastAsia" w:hAnsiTheme="minorEastAsia" w:eastAsiaTheme="minorEastAsia" w:cstheme="minorEastAsia"/>
          <w:color w:val="auto"/>
          <w:sz w:val="24"/>
          <w:szCs w:val="21"/>
        </w:rPr>
        <w:t>项目编号：</w:t>
      </w:r>
    </w:p>
    <w:p>
      <w:pPr>
        <w:spacing w:line="480" w:lineRule="auto"/>
        <w:ind w:left="421" w:leftChars="172" w:hanging="60" w:hangingChars="25"/>
        <w:jc w:val="left"/>
        <w:rPr>
          <w:rFonts w:asciiTheme="minorEastAsia" w:hAnsiTheme="minorEastAsia" w:eastAsiaTheme="minorEastAsia" w:cstheme="minorEastAsia"/>
          <w:color w:val="auto"/>
          <w:sz w:val="24"/>
          <w:szCs w:val="21"/>
        </w:rPr>
      </w:pPr>
      <w:r>
        <w:rPr>
          <w:rFonts w:hint="eastAsia" w:asciiTheme="minorEastAsia" w:hAnsiTheme="minorEastAsia" w:eastAsiaTheme="minorEastAsia" w:cstheme="minorEastAsia"/>
          <w:color w:val="auto"/>
          <w:sz w:val="24"/>
          <w:szCs w:val="21"/>
        </w:rPr>
        <w:t>项目名称：</w:t>
      </w:r>
    </w:p>
    <w:p>
      <w:pPr>
        <w:spacing w:line="480" w:lineRule="auto"/>
        <w:ind w:left="421" w:leftChars="172" w:hanging="60" w:hangingChars="25"/>
        <w:jc w:val="left"/>
        <w:rPr>
          <w:rFonts w:asciiTheme="minorEastAsia" w:hAnsiTheme="minorEastAsia" w:eastAsiaTheme="minorEastAsia" w:cstheme="minorEastAsia"/>
          <w:color w:val="auto"/>
          <w:sz w:val="24"/>
          <w:szCs w:val="21"/>
        </w:rPr>
      </w:pPr>
      <w:r>
        <w:rPr>
          <w:rFonts w:hint="eastAsia" w:asciiTheme="minorEastAsia" w:hAnsiTheme="minorEastAsia" w:eastAsiaTheme="minorEastAsia" w:cstheme="minorEastAsia"/>
          <w:color w:val="auto"/>
          <w:sz w:val="24"/>
          <w:szCs w:val="21"/>
        </w:rPr>
        <w:t>供应商名称：</w:t>
      </w:r>
    </w:p>
    <w:p>
      <w:pPr>
        <w:spacing w:line="480" w:lineRule="auto"/>
        <w:ind w:left="421" w:leftChars="172" w:hanging="60" w:hangingChars="25"/>
        <w:jc w:val="left"/>
        <w:rPr>
          <w:rFonts w:asciiTheme="minorEastAsia" w:hAnsiTheme="minorEastAsia" w:eastAsiaTheme="minorEastAsia" w:cstheme="minorEastAsia"/>
          <w:color w:val="auto"/>
          <w:sz w:val="24"/>
          <w:szCs w:val="21"/>
        </w:rPr>
      </w:pPr>
      <w:r>
        <w:rPr>
          <w:rFonts w:hint="eastAsia" w:asciiTheme="minorEastAsia" w:hAnsiTheme="minorEastAsia" w:eastAsiaTheme="minorEastAsia" w:cstheme="minorEastAsia"/>
          <w:color w:val="auto"/>
          <w:sz w:val="24"/>
          <w:szCs w:val="21"/>
        </w:rPr>
        <w:t>供应商地址：</w:t>
      </w:r>
    </w:p>
    <w:p>
      <w:pPr>
        <w:spacing w:line="480" w:lineRule="auto"/>
        <w:ind w:left="421" w:leftChars="172" w:hanging="60" w:hangingChars="25"/>
        <w:jc w:val="left"/>
        <w:rPr>
          <w:rFonts w:asciiTheme="minorEastAsia" w:hAnsiTheme="minorEastAsia" w:eastAsiaTheme="minorEastAsia" w:cstheme="minorEastAsia"/>
          <w:color w:val="auto"/>
          <w:sz w:val="24"/>
          <w:szCs w:val="21"/>
        </w:rPr>
      </w:pPr>
    </w:p>
    <w:p>
      <w:pPr>
        <w:spacing w:line="480" w:lineRule="auto"/>
        <w:ind w:left="421" w:leftChars="172" w:hanging="60" w:hangingChars="25"/>
        <w:jc w:val="center"/>
        <w:rPr>
          <w:rFonts w:asciiTheme="minorEastAsia" w:hAnsiTheme="minorEastAsia" w:eastAsiaTheme="minorEastAsia" w:cstheme="minorEastAsia"/>
          <w:b/>
          <w:color w:val="auto"/>
          <w:sz w:val="24"/>
          <w:szCs w:val="21"/>
        </w:rPr>
      </w:pPr>
      <w:r>
        <w:rPr>
          <w:rFonts w:hint="eastAsia" w:asciiTheme="minorEastAsia" w:hAnsiTheme="minorEastAsia" w:eastAsiaTheme="minorEastAsia" w:cstheme="minorEastAsia"/>
          <w:b/>
          <w:color w:val="auto"/>
          <w:sz w:val="24"/>
          <w:szCs w:val="21"/>
        </w:rPr>
        <w:t>（加盖公章）</w:t>
      </w:r>
    </w:p>
    <w:p>
      <w:pPr>
        <w:pStyle w:val="22"/>
        <w:spacing w:line="480" w:lineRule="auto"/>
        <w:ind w:firstLine="4320" w:firstLineChars="1800"/>
        <w:rPr>
          <w:rFonts w:asciiTheme="minorEastAsia" w:hAnsiTheme="minorEastAsia" w:eastAsiaTheme="minorEastAsia" w:cstheme="minorEastAsia"/>
          <w:color w:val="auto"/>
          <w:sz w:val="24"/>
          <w:szCs w:val="21"/>
        </w:rPr>
      </w:pPr>
      <w:r>
        <w:rPr>
          <w:rFonts w:hint="eastAsia" w:asciiTheme="minorEastAsia" w:hAnsiTheme="minorEastAsia" w:eastAsiaTheme="minorEastAsia" w:cstheme="minorEastAsia"/>
          <w:color w:val="auto"/>
          <w:sz w:val="24"/>
          <w:szCs w:val="21"/>
        </w:rPr>
        <w:t>年   月    日</w:t>
      </w:r>
    </w:p>
    <w:p>
      <w:pPr>
        <w:pStyle w:val="22"/>
        <w:spacing w:line="480" w:lineRule="auto"/>
        <w:jc w:val="center"/>
        <w:rPr>
          <w:rFonts w:asciiTheme="minorEastAsia" w:hAnsiTheme="minorEastAsia" w:eastAsiaTheme="minorEastAsia" w:cstheme="minorEastAsia"/>
          <w:color w:val="auto"/>
          <w:sz w:val="24"/>
          <w:szCs w:val="21"/>
        </w:rPr>
      </w:pPr>
    </w:p>
    <w:p>
      <w:pPr>
        <w:pStyle w:val="22"/>
        <w:spacing w:line="380" w:lineRule="exact"/>
        <w:jc w:val="center"/>
        <w:rPr>
          <w:rFonts w:asciiTheme="minorEastAsia" w:hAnsiTheme="minorEastAsia" w:eastAsiaTheme="minorEastAsia" w:cstheme="minorEastAsia"/>
          <w:color w:val="auto"/>
          <w:szCs w:val="21"/>
        </w:rPr>
      </w:pPr>
    </w:p>
    <w:p>
      <w:pPr>
        <w:pStyle w:val="22"/>
        <w:ind w:firstLine="562" w:firstLineChars="200"/>
        <w:jc w:val="cente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r>
        <w:rPr>
          <w:rFonts w:hint="eastAsia" w:asciiTheme="minorEastAsia" w:hAnsiTheme="minorEastAsia" w:eastAsiaTheme="minorEastAsia" w:cstheme="minorEastAsia"/>
          <w:b/>
          <w:color w:val="auto"/>
          <w:sz w:val="28"/>
          <w:szCs w:val="28"/>
        </w:rPr>
        <w:t>第一部分　商务部分</w:t>
      </w:r>
    </w:p>
    <w:p>
      <w:pPr>
        <w:spacing w:line="360" w:lineRule="auto"/>
        <w:ind w:firstLine="480" w:firstLineChars="200"/>
        <w:jc w:val="center"/>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lang w:eastAsia="zh-CN"/>
        </w:rPr>
        <w:t>目录自拟</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一、磋商响应声明函</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二、报价一览表及分项价格表</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三、商务条款偏离表</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四、磋商保证金缴纳证明</w:t>
      </w:r>
    </w:p>
    <w:p>
      <w:pPr>
        <w:spacing w:line="360" w:lineRule="auto"/>
        <w:ind w:firstLine="480" w:firstLineChars="200"/>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color w:val="auto"/>
          <w:kern w:val="0"/>
          <w:sz w:val="24"/>
        </w:rPr>
        <w:t>五、供应商符合资格条件的证明文件</w:t>
      </w:r>
      <w:r>
        <w:rPr>
          <w:rFonts w:hint="eastAsia" w:asciiTheme="minorEastAsia" w:hAnsiTheme="minorEastAsia" w:eastAsiaTheme="minorEastAsia" w:cstheme="minorEastAsia"/>
          <w:b/>
          <w:color w:val="auto"/>
          <w:kern w:val="0"/>
          <w:sz w:val="24"/>
        </w:rPr>
        <w:t>：</w:t>
      </w:r>
    </w:p>
    <w:p>
      <w:pPr>
        <w:widowControl/>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 xml:space="preserve">①供应商基本情况表； </w:t>
      </w:r>
    </w:p>
    <w:p>
      <w:pPr>
        <w:widowControl/>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 xml:space="preserve">②供应商有效的新版“营业执照”或《事业单位法人证书》或其他依法成立组织的证明文件； </w:t>
      </w:r>
    </w:p>
    <w:p>
      <w:pPr>
        <w:widowControl/>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 xml:space="preserve">③财务报告； </w:t>
      </w:r>
    </w:p>
    <w:p>
      <w:pPr>
        <w:widowControl/>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 xml:space="preserve">④依法缴纳税收； </w:t>
      </w:r>
    </w:p>
    <w:p>
      <w:pPr>
        <w:widowControl/>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 xml:space="preserve">⑤社会保障资金； </w:t>
      </w:r>
    </w:p>
    <w:p>
      <w:pPr>
        <w:widowControl/>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⑥具备履行合同所必需的设备和专业技术能力的证明材料；</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⑦供应商参加采购活动前三年内在经营活动中没有重大违法记录的书面声明</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kern w:val="0"/>
          <w:sz w:val="24"/>
        </w:rPr>
        <w:t xml:space="preserve"> </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六、磋商须知前附表要求供应商须提供的其他资料。</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七、中小企业声明函</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八、监狱企业证明文件</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九、残疾人福利性单位声明函</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十、供应商认为需提供的其他资料</w:t>
      </w:r>
    </w:p>
    <w:p>
      <w:pPr>
        <w:spacing w:line="360" w:lineRule="auto"/>
        <w:ind w:left="3993" w:leftChars="228" w:hanging="3514" w:hangingChars="1250"/>
        <w:jc w:val="center"/>
        <w:rPr>
          <w:rFonts w:hint="eastAsia" w:asciiTheme="minorEastAsia" w:hAnsiTheme="minorEastAsia" w:eastAsiaTheme="minorEastAsia" w:cstheme="minorEastAsia"/>
          <w:b/>
          <w:color w:val="auto"/>
          <w:kern w:val="0"/>
          <w:sz w:val="28"/>
          <w:szCs w:val="28"/>
        </w:rPr>
      </w:pPr>
    </w:p>
    <w:p>
      <w:pPr>
        <w:spacing w:line="360" w:lineRule="auto"/>
        <w:ind w:left="3993" w:leftChars="228" w:hanging="3514" w:hangingChars="1250"/>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8"/>
          <w:szCs w:val="28"/>
        </w:rPr>
        <w:t>第二部分　技术部分</w:t>
      </w:r>
    </w:p>
    <w:p>
      <w:pPr>
        <w:spacing w:line="360" w:lineRule="auto"/>
        <w:ind w:firstLine="480" w:firstLineChars="200"/>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rPr>
        <w:t>一、货物说明一览表</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二、服务方案、实施方案及技术方案</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三</w:t>
      </w:r>
      <w:r>
        <w:rPr>
          <w:rFonts w:hint="eastAsia" w:asciiTheme="minorEastAsia" w:hAnsiTheme="minorEastAsia" w:eastAsiaTheme="minorEastAsia" w:cstheme="minorEastAsia"/>
          <w:color w:val="auto"/>
          <w:kern w:val="0"/>
          <w:sz w:val="24"/>
        </w:rPr>
        <w:t>、技术响应与偏离表</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四</w:t>
      </w:r>
      <w:r>
        <w:rPr>
          <w:rFonts w:hint="eastAsia" w:asciiTheme="minorEastAsia" w:hAnsiTheme="minorEastAsia" w:eastAsiaTheme="minorEastAsia" w:cstheme="minorEastAsia"/>
          <w:color w:val="auto"/>
          <w:kern w:val="0"/>
          <w:sz w:val="24"/>
        </w:rPr>
        <w:t>、售后服务承诺</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五</w:t>
      </w:r>
      <w:r>
        <w:rPr>
          <w:rFonts w:hint="eastAsia" w:asciiTheme="minorEastAsia" w:hAnsiTheme="minorEastAsia" w:eastAsiaTheme="minorEastAsia" w:cstheme="minorEastAsia"/>
          <w:color w:val="auto"/>
          <w:kern w:val="0"/>
          <w:sz w:val="24"/>
        </w:rPr>
        <w:t>、用于本项目人员简历表</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六</w:t>
      </w:r>
      <w:r>
        <w:rPr>
          <w:rFonts w:hint="eastAsia" w:asciiTheme="minorEastAsia" w:hAnsiTheme="minorEastAsia" w:eastAsiaTheme="minorEastAsia" w:cstheme="minorEastAsia"/>
          <w:color w:val="auto"/>
          <w:kern w:val="0"/>
          <w:sz w:val="24"/>
        </w:rPr>
        <w:t>、磋商标的物符合磋商文件要求的相关证明文件</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七</w:t>
      </w:r>
      <w:r>
        <w:rPr>
          <w:rFonts w:hint="eastAsia" w:asciiTheme="minorEastAsia" w:hAnsiTheme="minorEastAsia" w:eastAsiaTheme="minorEastAsia" w:cstheme="minorEastAsia"/>
          <w:color w:val="auto"/>
          <w:kern w:val="0"/>
          <w:sz w:val="24"/>
        </w:rPr>
        <w:t>、其他资料</w:t>
      </w:r>
    </w:p>
    <w:p>
      <w:pPr>
        <w:spacing w:line="360" w:lineRule="auto"/>
        <w:ind w:firstLine="480" w:firstLineChars="200"/>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szCs w:val="28"/>
        </w:rPr>
        <w:br w:type="page"/>
      </w:r>
      <w:r>
        <w:rPr>
          <w:rFonts w:hint="eastAsia" w:asciiTheme="minorEastAsia" w:hAnsiTheme="minorEastAsia" w:eastAsiaTheme="minorEastAsia" w:cstheme="minorEastAsia"/>
          <w:b/>
          <w:color w:val="auto"/>
          <w:kern w:val="0"/>
          <w:sz w:val="32"/>
          <w:szCs w:val="32"/>
        </w:rPr>
        <w:t>第一部分　商务部分</w:t>
      </w:r>
    </w:p>
    <w:p>
      <w:pPr>
        <w:ind w:firstLine="482" w:firstLineChars="200"/>
        <w:rPr>
          <w:rFonts w:asciiTheme="minorEastAsia" w:hAnsiTheme="minorEastAsia" w:eastAsiaTheme="minorEastAsia" w:cstheme="minorEastAsia"/>
          <w:b/>
          <w:color w:val="auto"/>
          <w:kern w:val="0"/>
          <w:sz w:val="24"/>
          <w:szCs w:val="28"/>
        </w:rPr>
      </w:pPr>
      <w:r>
        <w:rPr>
          <w:rFonts w:hint="eastAsia" w:asciiTheme="minorEastAsia" w:hAnsiTheme="minorEastAsia" w:eastAsiaTheme="minorEastAsia" w:cstheme="minorEastAsia"/>
          <w:b/>
          <w:color w:val="auto"/>
          <w:kern w:val="0"/>
          <w:sz w:val="24"/>
          <w:szCs w:val="28"/>
        </w:rPr>
        <w:t>一、磋商响应声明函</w:t>
      </w:r>
    </w:p>
    <w:p>
      <w:pPr>
        <w:keepNext/>
        <w:keepLines/>
        <w:spacing w:before="240" w:after="64" w:line="319" w:lineRule="auto"/>
        <w:jc w:val="center"/>
        <w:outlineLvl w:val="5"/>
        <w:rPr>
          <w:rFonts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rPr>
        <w:t>磋商响应声明函</w:t>
      </w:r>
    </w:p>
    <w:p>
      <w:pPr>
        <w:spacing w:line="360" w:lineRule="auto"/>
        <w:rPr>
          <w:rFonts w:asciiTheme="minorEastAsia" w:hAnsiTheme="minorEastAsia" w:eastAsiaTheme="minorEastAsia" w:cstheme="minorEastAsia"/>
          <w:color w:val="auto"/>
          <w:kern w:val="0"/>
          <w:sz w:val="24"/>
          <w:szCs w:val="28"/>
        </w:rPr>
      </w:pPr>
    </w:p>
    <w:p>
      <w:pPr>
        <w:spacing w:line="360" w:lineRule="auto"/>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致____________(采购人或采购代理机构)：</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我方已仔细研究了____________(项目名称)的磋商文件(项目编号：____________)的全部内容，知悉参加磋商的风险，我方承诺接受磋商文件的全部条款且无任何异议。</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一、我方同意在磋商响应有效期内遵守本响应文件中的承诺，且在此期限期满之前均具有法律约束力。</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二、我方提交纸质响应文件正本______份和副本______份，电子响应文件______份，并保证响应文件提供的数据和材料是真实、准确的。</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三、我方愿意向贵方提供任何与本项采购有关的数据、情况和技术资料。若贵方需要，我方愿意提供我方作出的一切承诺的证明材料。</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四、我方愿意按磋商文件规定和磋商小组要求重新提交响应文件和最后报价。</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五、我方保证在获得成交资格后，按照磋商文件确定的事项签订采购合同，履行双方所签订的合同，并承担合同规定的责任和义务。</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附件1－1：法定代表人（负责人）身份证明复印件(法定代表人参加磋商)</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附件1－2：法定代表人（负责人）授权书(授权代表参加磋商)</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附件1－3：授权委托书(自然人提供)</w:t>
      </w:r>
    </w:p>
    <w:p>
      <w:pPr>
        <w:spacing w:line="360" w:lineRule="auto"/>
        <w:ind w:firstLine="420" w:firstLineChars="200"/>
        <w:rPr>
          <w:rFonts w:asciiTheme="minorEastAsia" w:hAnsiTheme="minorEastAsia" w:eastAsiaTheme="minorEastAsia" w:cstheme="minorEastAsia"/>
          <w:color w:val="auto"/>
          <w:kern w:val="0"/>
          <w:sz w:val="21"/>
          <w:szCs w:val="21"/>
        </w:rPr>
      </w:pP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供应商名称(公章)：____________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法定代表人或授权代表(签字或盖章)：____________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日期：______年____月____日</w:t>
      </w:r>
    </w:p>
    <w:p>
      <w:pPr>
        <w:ind w:firstLine="420" w:firstLineChars="200"/>
        <w:rPr>
          <w:rFonts w:asciiTheme="minorEastAsia" w:hAnsiTheme="minorEastAsia" w:eastAsiaTheme="minorEastAsia" w:cstheme="minorEastAsia"/>
          <w:color w:val="auto"/>
          <w:kern w:val="0"/>
          <w:sz w:val="21"/>
          <w:szCs w:val="21"/>
        </w:rPr>
      </w:pPr>
    </w:p>
    <w:p>
      <w:pPr>
        <w:ind w:firstLine="420" w:firstLineChars="200"/>
        <w:rPr>
          <w:rFonts w:asciiTheme="minorEastAsia" w:hAnsiTheme="minorEastAsia" w:eastAsiaTheme="minorEastAsia" w:cstheme="minorEastAsia"/>
          <w:color w:val="auto"/>
          <w:kern w:val="0"/>
          <w:sz w:val="21"/>
          <w:szCs w:val="21"/>
        </w:rPr>
      </w:pPr>
    </w:p>
    <w:p>
      <w:pPr>
        <w:spacing w:line="400" w:lineRule="exact"/>
        <w:ind w:firstLine="420" w:firstLineChars="200"/>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kern w:val="0"/>
          <w:sz w:val="21"/>
          <w:szCs w:val="21"/>
        </w:rPr>
        <w:t>注：供应商代表是法定代表人的，应提供法定代表人身份证复印件；供应商代表不是法定代表人的，除提供供应商代表身份证复印件外，还应当提供法定代表人身份证复印件和授权委托书。</w:t>
      </w:r>
      <w:r>
        <w:rPr>
          <w:rFonts w:hint="eastAsia" w:asciiTheme="minorEastAsia" w:hAnsiTheme="minorEastAsia" w:eastAsiaTheme="minorEastAsia" w:cstheme="minorEastAsia"/>
          <w:color w:val="auto"/>
          <w:kern w:val="0"/>
          <w:sz w:val="21"/>
          <w:szCs w:val="21"/>
        </w:rPr>
        <w:br w:type="page"/>
      </w:r>
      <w:r>
        <w:rPr>
          <w:rFonts w:hint="eastAsia" w:asciiTheme="minorEastAsia" w:hAnsiTheme="minorEastAsia" w:eastAsiaTheme="minorEastAsia" w:cstheme="minorEastAsia"/>
          <w:color w:val="auto"/>
          <w:kern w:val="0"/>
          <w:sz w:val="24"/>
          <w:szCs w:val="28"/>
        </w:rPr>
        <w:t>　附件1－1　法定代表人（负责人）身份证明复印件(法定代表人参加磋商)</w:t>
      </w:r>
    </w:p>
    <w:p>
      <w:pPr>
        <w:ind w:firstLine="480" w:firstLineChars="200"/>
        <w:rPr>
          <w:rFonts w:asciiTheme="minorEastAsia" w:hAnsiTheme="minorEastAsia" w:eastAsiaTheme="minorEastAsia" w:cstheme="minorEastAsia"/>
          <w:color w:val="auto"/>
          <w:kern w:val="0"/>
          <w:sz w:val="24"/>
          <w:szCs w:val="28"/>
        </w:rPr>
      </w:pPr>
    </w:p>
    <w:tbl>
      <w:tblPr>
        <w:tblStyle w:val="46"/>
        <w:tblW w:w="55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03" w:hRule="atLeast"/>
          <w:jc w:val="center"/>
        </w:trPr>
        <w:tc>
          <w:tcPr>
            <w:tcW w:w="5574" w:type="dxa"/>
            <w:tcBorders>
              <w:top w:val="single" w:color="auto" w:sz="4" w:space="0"/>
              <w:bottom w:val="single" w:color="auto" w:sz="4" w:space="0"/>
            </w:tcBorders>
            <w:vAlign w:val="center"/>
          </w:tcPr>
          <w:p>
            <w:pPr>
              <w:jc w:val="center"/>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kern w:val="0"/>
                <w:sz w:val="21"/>
                <w:szCs w:val="21"/>
              </w:rPr>
              <w:t>法定代表人（负责人）</w:t>
            </w:r>
            <w:r>
              <w:rPr>
                <w:rFonts w:hint="eastAsia" w:asciiTheme="minorEastAsia" w:hAnsiTheme="minorEastAsia" w:eastAsiaTheme="minorEastAsia" w:cstheme="minorEastAsia"/>
                <w:color w:val="auto"/>
                <w:sz w:val="21"/>
                <w:szCs w:val="21"/>
              </w:rPr>
              <w:t>有效的身份证正反面复印件</w:t>
            </w:r>
          </w:p>
          <w:p>
            <w:pPr>
              <w:jc w:val="center"/>
              <w:rPr>
                <w:rFonts w:asciiTheme="minorEastAsia" w:hAnsiTheme="minorEastAsia" w:eastAsiaTheme="minorEastAsia" w:cstheme="minorEastAsia"/>
                <w:color w:val="auto"/>
                <w:kern w:val="0"/>
                <w:sz w:val="24"/>
                <w:szCs w:val="28"/>
              </w:rPr>
            </w:pPr>
          </w:p>
        </w:tc>
      </w:tr>
    </w:tbl>
    <w:p>
      <w:pPr>
        <w:ind w:firstLine="480" w:firstLineChars="200"/>
        <w:rPr>
          <w:rFonts w:asciiTheme="minorEastAsia" w:hAnsiTheme="minorEastAsia" w:eastAsiaTheme="minorEastAsia" w:cstheme="minorEastAsia"/>
          <w:color w:val="auto"/>
          <w:kern w:val="0"/>
          <w:sz w:val="24"/>
          <w:szCs w:val="28"/>
        </w:rPr>
      </w:pPr>
    </w:p>
    <w:p>
      <w:pPr>
        <w:spacing w:line="520" w:lineRule="exact"/>
        <w:ind w:firstLine="480" w:firstLineChars="200"/>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kern w:val="0"/>
          <w:sz w:val="24"/>
          <w:szCs w:val="28"/>
        </w:rPr>
        <w:t>附件1－2    法定代表人（负责人）授权书(授权代表参加磋商)</w:t>
      </w:r>
    </w:p>
    <w:p>
      <w:pPr>
        <w:pStyle w:val="7"/>
        <w:spacing w:before="0" w:after="0" w:line="520" w:lineRule="exact"/>
        <w:rPr>
          <w:color w:val="auto"/>
        </w:rPr>
      </w:pPr>
    </w:p>
    <w:p>
      <w:pPr>
        <w:ind w:firstLine="482" w:firstLineChars="200"/>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法定代表人（负责人）授权委托书(格式一)(适用于授权代表参加磋商）</w:t>
      </w:r>
    </w:p>
    <w:p>
      <w:pPr>
        <w:ind w:firstLine="480" w:firstLineChars="200"/>
        <w:rPr>
          <w:rFonts w:asciiTheme="minorEastAsia" w:hAnsiTheme="minorEastAsia" w:eastAsiaTheme="minorEastAsia" w:cstheme="minorEastAsia"/>
          <w:color w:val="auto"/>
          <w:kern w:val="0"/>
          <w:sz w:val="24"/>
          <w:szCs w:val="28"/>
        </w:rPr>
      </w:pPr>
    </w:p>
    <w:p>
      <w:pPr>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致：____________(采购人或采购代理机构)</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____________(供应商名称)的法定代表人（负责人）(姓名、职务)授权____________(磋商代表姓名、职务)为本公司的磋商代表，就____________(项目名称)磋商及相关事务代表本公司处理与之有关的一切事务。</w:t>
      </w:r>
    </w:p>
    <w:p>
      <w:pPr>
        <w:spacing w:line="360" w:lineRule="auto"/>
        <w:ind w:firstLine="420" w:firstLineChars="200"/>
        <w:rPr>
          <w:rFonts w:asciiTheme="minorEastAsia" w:hAnsiTheme="minorEastAsia" w:eastAsiaTheme="minorEastAsia" w:cstheme="minorEastAsia"/>
          <w:color w:val="auto"/>
          <w:kern w:val="0"/>
          <w:sz w:val="21"/>
          <w:szCs w:val="21"/>
        </w:rPr>
      </w:pP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委托期限：____________________。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代理人无转委托权。</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本授权书于______年____月____日签字生效，特此声明。</w:t>
      </w:r>
    </w:p>
    <w:p>
      <w:pPr>
        <w:ind w:firstLine="420" w:firstLineChars="200"/>
        <w:rPr>
          <w:rFonts w:asciiTheme="minorEastAsia" w:hAnsiTheme="minorEastAsia" w:eastAsiaTheme="minorEastAsia" w:cstheme="minorEastAsia"/>
          <w:color w:val="auto"/>
          <w:kern w:val="0"/>
          <w:sz w:val="21"/>
          <w:szCs w:val="21"/>
        </w:rPr>
      </w:pPr>
    </w:p>
    <w:tbl>
      <w:tblPr>
        <w:tblStyle w:val="46"/>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授权代表有效的身份证正反面复印件</w:t>
            </w:r>
          </w:p>
        </w:tc>
      </w:tr>
    </w:tbl>
    <w:p>
      <w:pPr>
        <w:ind w:firstLine="480" w:firstLineChars="200"/>
        <w:rPr>
          <w:rFonts w:asciiTheme="minorEastAsia" w:hAnsiTheme="minorEastAsia" w:eastAsiaTheme="minorEastAsia" w:cstheme="minorEastAsia"/>
          <w:color w:val="auto"/>
          <w:kern w:val="0"/>
          <w:sz w:val="24"/>
        </w:rPr>
      </w:pP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供应商名称(公章)：____________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法定代表人(签字或盖章)：____________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授权代表(签字或签章)：____________</w:t>
      </w:r>
    </w:p>
    <w:p>
      <w:pPr>
        <w:spacing w:line="360" w:lineRule="auto"/>
        <w:ind w:firstLine="420" w:firstLineChars="20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______年____月____日</w:t>
      </w:r>
    </w:p>
    <w:p>
      <w:pPr>
        <w:pStyle w:val="22"/>
        <w:ind w:firstLine="480" w:firstLineChars="200"/>
        <w:rPr>
          <w:rFonts w:hAnsi="宋体" w:cs="宋体"/>
          <w:color w:val="auto"/>
          <w:sz w:val="24"/>
          <w:szCs w:val="24"/>
        </w:rPr>
      </w:pPr>
      <w:r>
        <w:rPr>
          <w:rFonts w:hint="eastAsia" w:asciiTheme="minorEastAsia" w:hAnsiTheme="minorEastAsia" w:eastAsiaTheme="minorEastAsia" w:cstheme="minorEastAsia"/>
          <w:color w:val="auto"/>
          <w:sz w:val="24"/>
          <w:szCs w:val="28"/>
        </w:rPr>
        <w:br w:type="page"/>
      </w:r>
      <w:r>
        <w:rPr>
          <w:rFonts w:hint="eastAsia" w:hAnsi="宋体" w:cs="宋体"/>
          <w:color w:val="auto"/>
          <w:sz w:val="24"/>
          <w:szCs w:val="24"/>
        </w:rPr>
        <w:t>附件1－3</w:t>
      </w:r>
    </w:p>
    <w:p>
      <w:pPr>
        <w:pStyle w:val="22"/>
        <w:jc w:val="center"/>
        <w:rPr>
          <w:rFonts w:hAnsi="宋体" w:cs="宋体"/>
          <w:color w:val="auto"/>
          <w:sz w:val="24"/>
          <w:szCs w:val="24"/>
        </w:rPr>
      </w:pPr>
      <w:r>
        <w:rPr>
          <w:rFonts w:hint="eastAsia" w:hAnsi="宋体" w:cs="宋体"/>
          <w:b/>
          <w:bCs/>
          <w:color w:val="auto"/>
          <w:sz w:val="24"/>
          <w:szCs w:val="24"/>
        </w:rPr>
        <w:t>授权委托书(格式二)(适用于供应商为自然人参加磋商)</w:t>
      </w:r>
    </w:p>
    <w:p>
      <w:pPr>
        <w:pStyle w:val="22"/>
        <w:rPr>
          <w:rFonts w:hAnsi="宋体" w:cs="宋体"/>
          <w:color w:val="auto"/>
          <w:sz w:val="24"/>
          <w:szCs w:val="24"/>
        </w:rPr>
      </w:pPr>
    </w:p>
    <w:p>
      <w:pPr>
        <w:pStyle w:val="22"/>
        <w:spacing w:line="360" w:lineRule="auto"/>
        <w:rPr>
          <w:rFonts w:hAnsi="宋体" w:cs="宋体"/>
          <w:color w:val="auto"/>
          <w:sz w:val="21"/>
          <w:szCs w:val="21"/>
        </w:rPr>
      </w:pPr>
      <w:r>
        <w:rPr>
          <w:rFonts w:hint="eastAsia" w:hAnsi="宋体" w:cs="宋体"/>
          <w:color w:val="auto"/>
          <w:sz w:val="21"/>
          <w:szCs w:val="21"/>
        </w:rPr>
        <w:t>致：____________(采购人或采购代理机构)</w:t>
      </w:r>
    </w:p>
    <w:p>
      <w:pPr>
        <w:pStyle w:val="22"/>
        <w:spacing w:line="360" w:lineRule="auto"/>
        <w:ind w:firstLine="420" w:firstLineChars="200"/>
        <w:rPr>
          <w:rFonts w:hAnsi="宋体" w:cs="宋体"/>
          <w:color w:val="auto"/>
          <w:sz w:val="21"/>
          <w:szCs w:val="21"/>
        </w:rPr>
      </w:pPr>
      <w:r>
        <w:rPr>
          <w:rFonts w:hint="eastAsia" w:hAnsi="宋体" w:cs="宋体"/>
          <w:color w:val="auto"/>
          <w:sz w:val="21"/>
          <w:szCs w:val="21"/>
        </w:rPr>
        <w:t>我________(姓名)系自然人，现授权委托____________(姓名)以本人名义参加____________(项目名称)的磋商活动，并代表本人全权办理针对上述项目的磋商、签约等具体事务和签署相关文件。</w:t>
      </w:r>
    </w:p>
    <w:p>
      <w:pPr>
        <w:pStyle w:val="22"/>
        <w:spacing w:line="360" w:lineRule="auto"/>
        <w:ind w:firstLine="420" w:firstLineChars="200"/>
        <w:rPr>
          <w:rFonts w:hAnsi="宋体" w:cs="宋体"/>
          <w:color w:val="auto"/>
          <w:sz w:val="21"/>
          <w:szCs w:val="21"/>
        </w:rPr>
      </w:pPr>
      <w:r>
        <w:rPr>
          <w:rFonts w:hint="eastAsia" w:hAnsi="宋体" w:cs="宋体"/>
          <w:color w:val="auto"/>
          <w:sz w:val="21"/>
          <w:szCs w:val="21"/>
        </w:rPr>
        <w:t>本人对被授权人的签字事项负全部责任。</w:t>
      </w:r>
    </w:p>
    <w:p>
      <w:pPr>
        <w:pStyle w:val="22"/>
        <w:spacing w:line="360" w:lineRule="auto"/>
        <w:ind w:firstLine="420" w:firstLineChars="200"/>
        <w:rPr>
          <w:rFonts w:hAnsi="宋体" w:cs="宋体"/>
          <w:color w:val="auto"/>
          <w:sz w:val="21"/>
          <w:szCs w:val="21"/>
        </w:rPr>
      </w:pPr>
      <w:r>
        <w:rPr>
          <w:rFonts w:hint="eastAsia" w:hAnsi="宋体" w:cs="宋体"/>
          <w:color w:val="auto"/>
          <w:sz w:val="21"/>
          <w:szCs w:val="21"/>
        </w:rPr>
        <w:t>授权委托代理期限：从　　年　月　日起至　 年　 月　日止。</w:t>
      </w:r>
    </w:p>
    <w:p>
      <w:pPr>
        <w:pStyle w:val="22"/>
        <w:spacing w:line="360" w:lineRule="auto"/>
        <w:ind w:firstLine="420" w:firstLineChars="200"/>
        <w:rPr>
          <w:rFonts w:hAnsi="宋体" w:cs="宋体"/>
          <w:color w:val="auto"/>
          <w:sz w:val="21"/>
          <w:szCs w:val="21"/>
        </w:rPr>
      </w:pPr>
      <w:r>
        <w:rPr>
          <w:rFonts w:hint="eastAsia" w:hAnsi="宋体" w:cs="宋体"/>
          <w:color w:val="auto"/>
          <w:sz w:val="21"/>
          <w:szCs w:val="21"/>
        </w:rPr>
        <w:t>代理人无转委托权，特此委托。</w:t>
      </w:r>
    </w:p>
    <w:p>
      <w:pPr>
        <w:pStyle w:val="22"/>
        <w:spacing w:line="360" w:lineRule="auto"/>
        <w:ind w:firstLine="420" w:firstLineChars="200"/>
        <w:rPr>
          <w:rFonts w:hAnsi="宋体" w:cs="宋体"/>
          <w:color w:val="auto"/>
          <w:sz w:val="21"/>
          <w:szCs w:val="21"/>
        </w:rPr>
      </w:pPr>
      <w:r>
        <w:rPr>
          <w:rFonts w:hint="eastAsia" w:hAnsi="宋体" w:cs="宋体"/>
          <w:color w:val="auto"/>
          <w:sz w:val="21"/>
          <w:szCs w:val="21"/>
        </w:rPr>
        <w:t>我已在下面签字，以资证明。</w:t>
      </w:r>
    </w:p>
    <w:p>
      <w:pPr>
        <w:rPr>
          <w:color w:val="auto"/>
          <w:sz w:val="21"/>
          <w:szCs w:val="21"/>
        </w:rPr>
      </w:pPr>
    </w:p>
    <w:p>
      <w:pPr>
        <w:rPr>
          <w:rFonts w:ascii="宋体" w:hAnsi="宋体" w:cs="宋体"/>
          <w:color w:val="auto"/>
          <w:sz w:val="21"/>
          <w:szCs w:val="21"/>
        </w:rPr>
      </w:pPr>
    </w:p>
    <w:tbl>
      <w:tblPr>
        <w:tblStyle w:val="46"/>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3" w:hRule="atLeast"/>
          <w:jc w:val="center"/>
        </w:trPr>
        <w:tc>
          <w:tcPr>
            <w:tcW w:w="5223" w:type="dxa"/>
            <w:tcBorders>
              <w:top w:val="single" w:color="auto" w:sz="4" w:space="0"/>
              <w:left w:val="single" w:color="auto" w:sz="4" w:space="0"/>
              <w:bottom w:val="single" w:color="auto" w:sz="4" w:space="0"/>
              <w:right w:val="single" w:color="auto" w:sz="4" w:space="0"/>
            </w:tcBorders>
            <w:vAlign w:val="center"/>
          </w:tcPr>
          <w:p>
            <w:pPr>
              <w:pStyle w:val="22"/>
              <w:jc w:val="center"/>
              <w:rPr>
                <w:rFonts w:hAnsi="宋体"/>
                <w:color w:val="auto"/>
                <w:sz w:val="21"/>
                <w:szCs w:val="21"/>
              </w:rPr>
            </w:pPr>
            <w:r>
              <w:rPr>
                <w:rFonts w:hint="eastAsia" w:hAnsi="宋体"/>
                <w:color w:val="auto"/>
                <w:sz w:val="21"/>
                <w:szCs w:val="21"/>
              </w:rPr>
              <w:t>自然人有效的身份证正反面复印件</w:t>
            </w:r>
          </w:p>
        </w:tc>
      </w:tr>
    </w:tbl>
    <w:p>
      <w:pPr>
        <w:pStyle w:val="7"/>
        <w:rPr>
          <w:color w:val="auto"/>
          <w:sz w:val="21"/>
          <w:szCs w:val="21"/>
        </w:rPr>
      </w:pPr>
    </w:p>
    <w:p>
      <w:pPr>
        <w:pStyle w:val="22"/>
        <w:ind w:firstLine="420" w:firstLineChars="200"/>
        <w:rPr>
          <w:rFonts w:hAnsi="宋体" w:cs="宋体"/>
          <w:color w:val="auto"/>
          <w:sz w:val="21"/>
          <w:szCs w:val="21"/>
        </w:rPr>
      </w:pPr>
    </w:p>
    <w:p>
      <w:pPr>
        <w:pStyle w:val="22"/>
        <w:ind w:firstLine="420" w:firstLineChars="200"/>
        <w:rPr>
          <w:rFonts w:hAnsi="宋体" w:cs="宋体"/>
          <w:color w:val="auto"/>
          <w:sz w:val="21"/>
          <w:szCs w:val="21"/>
        </w:rPr>
      </w:pPr>
      <w:r>
        <w:rPr>
          <w:rFonts w:hint="eastAsia" w:hAnsi="宋体" w:cs="宋体"/>
          <w:color w:val="auto"/>
          <w:sz w:val="21"/>
          <w:szCs w:val="21"/>
        </w:rPr>
        <w:t xml:space="preserve">自然人签字并在签名处加盖食指指印：　　　　             </w:t>
      </w:r>
    </w:p>
    <w:p>
      <w:pPr>
        <w:pStyle w:val="22"/>
        <w:ind w:firstLine="420" w:firstLineChars="200"/>
        <w:rPr>
          <w:rFonts w:hAnsi="宋体" w:cs="宋体"/>
          <w:color w:val="auto"/>
          <w:sz w:val="21"/>
          <w:szCs w:val="21"/>
        </w:rPr>
      </w:pPr>
      <w:r>
        <w:rPr>
          <w:rFonts w:hint="eastAsia" w:hAnsi="宋体" w:cs="宋体"/>
          <w:color w:val="auto"/>
          <w:sz w:val="21"/>
          <w:szCs w:val="21"/>
        </w:rPr>
        <w:t>______年____月____日</w:t>
      </w:r>
    </w:p>
    <w:p>
      <w:pPr>
        <w:rPr>
          <w:rFonts w:ascii="宋体" w:hAnsi="宋体" w:cs="宋体"/>
          <w:color w:val="auto"/>
          <w:kern w:val="0"/>
          <w:sz w:val="24"/>
        </w:rPr>
      </w:pPr>
      <w:r>
        <w:rPr>
          <w:rFonts w:hint="eastAsia" w:ascii="宋体" w:hAnsi="宋体" w:cs="宋体"/>
          <w:color w:val="auto"/>
          <w:kern w:val="0"/>
          <w:sz w:val="24"/>
        </w:rPr>
        <w:br w:type="page"/>
      </w:r>
    </w:p>
    <w:p>
      <w:pPr>
        <w:ind w:firstLine="482" w:firstLineChars="200"/>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二、报价一览表及分项价格表</w:t>
      </w:r>
    </w:p>
    <w:p>
      <w:pPr>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附件2－1</w:t>
      </w:r>
    </w:p>
    <w:p>
      <w:pPr>
        <w:spacing w:line="360" w:lineRule="auto"/>
        <w:ind w:firstLine="480" w:firstLineChars="200"/>
        <w:rPr>
          <w:rFonts w:asciiTheme="minorEastAsia" w:hAnsiTheme="minorEastAsia" w:eastAsiaTheme="minorEastAsia" w:cstheme="minorEastAsia"/>
          <w:color w:val="auto"/>
          <w:kern w:val="0"/>
          <w:sz w:val="24"/>
        </w:rPr>
      </w:pPr>
    </w:p>
    <w:p>
      <w:pPr>
        <w:spacing w:line="360" w:lineRule="auto"/>
        <w:ind w:firstLine="480" w:firstLineChars="200"/>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报价一览表</w:t>
      </w:r>
    </w:p>
    <w:p>
      <w:pPr>
        <w:spacing w:line="360" w:lineRule="auto"/>
        <w:ind w:firstLine="480" w:firstLineChars="200"/>
        <w:jc w:val="center"/>
        <w:rPr>
          <w:rFonts w:asciiTheme="minorEastAsia" w:hAnsiTheme="minorEastAsia" w:eastAsiaTheme="minorEastAsia" w:cstheme="minorEastAsia"/>
          <w:color w:val="auto"/>
          <w:kern w:val="0"/>
          <w:sz w:val="24"/>
        </w:rPr>
      </w:pPr>
    </w:p>
    <w:tbl>
      <w:tblPr>
        <w:tblStyle w:val="4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931"/>
        <w:gridCol w:w="2737"/>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931"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项目名称</w:t>
            </w:r>
          </w:p>
        </w:tc>
        <w:tc>
          <w:tcPr>
            <w:tcW w:w="2737"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236"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项目编号</w:t>
            </w:r>
          </w:p>
        </w:tc>
        <w:tc>
          <w:tcPr>
            <w:tcW w:w="1724" w:type="dxa"/>
            <w:vAlign w:val="center"/>
          </w:tcPr>
          <w:p>
            <w:pPr>
              <w:spacing w:line="360" w:lineRule="auto"/>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931"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包号（如有）</w:t>
            </w:r>
          </w:p>
        </w:tc>
        <w:tc>
          <w:tcPr>
            <w:tcW w:w="5697" w:type="dxa"/>
            <w:gridSpan w:val="3"/>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931"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总报价人民币</w:t>
            </w:r>
          </w:p>
        </w:tc>
        <w:tc>
          <w:tcPr>
            <w:tcW w:w="5697" w:type="dxa"/>
            <w:gridSpan w:val="3"/>
            <w:vAlign w:val="center"/>
          </w:tcPr>
          <w:p>
            <w:pPr>
              <w:pStyle w:val="22"/>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大写：人民币______元</w:t>
            </w:r>
          </w:p>
          <w:p>
            <w:pPr>
              <w:pStyle w:val="22"/>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931" w:type="dxa"/>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供货期限</w:t>
            </w:r>
          </w:p>
        </w:tc>
        <w:tc>
          <w:tcPr>
            <w:tcW w:w="5697" w:type="dxa"/>
            <w:gridSpan w:val="3"/>
            <w:vAlign w:val="center"/>
          </w:tcPr>
          <w:p>
            <w:pPr>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合同签订后</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个月内完成本项目要求的通信许可等软件产品安装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931" w:type="dxa"/>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技术支持及质量保证期</w:t>
            </w:r>
          </w:p>
        </w:tc>
        <w:tc>
          <w:tcPr>
            <w:tcW w:w="5697" w:type="dxa"/>
            <w:gridSpan w:val="3"/>
            <w:vAlign w:val="center"/>
          </w:tcPr>
          <w:p>
            <w:pPr>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产品安装调试通过后______月。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931"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5697" w:type="dxa"/>
            <w:gridSpan w:val="3"/>
            <w:vAlign w:val="center"/>
          </w:tcPr>
          <w:p>
            <w:pPr>
              <w:spacing w:line="360" w:lineRule="auto"/>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931"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备注</w:t>
            </w:r>
          </w:p>
        </w:tc>
        <w:tc>
          <w:tcPr>
            <w:tcW w:w="5697" w:type="dxa"/>
            <w:gridSpan w:val="3"/>
            <w:vAlign w:val="center"/>
          </w:tcPr>
          <w:p>
            <w:pPr>
              <w:spacing w:line="360" w:lineRule="auto"/>
              <w:jc w:val="center"/>
              <w:rPr>
                <w:rFonts w:asciiTheme="minorEastAsia" w:hAnsiTheme="minorEastAsia" w:eastAsiaTheme="minorEastAsia" w:cstheme="minorEastAsia"/>
                <w:color w:val="auto"/>
                <w:kern w:val="0"/>
                <w:sz w:val="21"/>
                <w:szCs w:val="21"/>
              </w:rPr>
            </w:pPr>
          </w:p>
        </w:tc>
      </w:tr>
    </w:tbl>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1.所有价格均用人民币表示，单位为元，精确到小数点后两位数。</w:t>
      </w:r>
    </w:p>
    <w:p>
      <w:pPr>
        <w:pStyle w:val="22"/>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2.此表的总报价是所有需采购</w:t>
      </w:r>
      <w:r>
        <w:rPr>
          <w:rFonts w:hint="eastAsia" w:asciiTheme="minorEastAsia" w:hAnsiTheme="minorEastAsia" w:eastAsiaTheme="minorEastAsia" w:cstheme="minorEastAsia"/>
          <w:color w:val="auto"/>
          <w:sz w:val="21"/>
          <w:szCs w:val="21"/>
          <w:lang w:val="en-US" w:eastAsia="zh-CN"/>
        </w:rPr>
        <w:t>人</w:t>
      </w:r>
      <w:r>
        <w:rPr>
          <w:rFonts w:hint="eastAsia" w:asciiTheme="minorEastAsia" w:hAnsiTheme="minorEastAsia" w:eastAsiaTheme="minorEastAsia" w:cstheme="minorEastAsia"/>
          <w:color w:val="auto"/>
          <w:sz w:val="21"/>
          <w:szCs w:val="21"/>
        </w:rPr>
        <w:t>支付的本次采购标的金额总数，即响应总价。响应总价须包含完成用户需求要求所有内容的全部费用。</w:t>
      </w:r>
    </w:p>
    <w:p>
      <w:pPr>
        <w:spacing w:line="360" w:lineRule="auto"/>
        <w:ind w:firstLine="480" w:firstLineChars="200"/>
        <w:rPr>
          <w:rFonts w:asciiTheme="minorEastAsia" w:hAnsiTheme="minorEastAsia" w:eastAsiaTheme="minorEastAsia" w:cstheme="minorEastAsia"/>
          <w:color w:val="auto"/>
          <w:kern w:val="0"/>
          <w:sz w:val="24"/>
          <w:szCs w:val="28"/>
        </w:rPr>
      </w:pP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供应商名称(公章)：____________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法定代表人或其授权代表(签字或盖章)：____________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日期：______年____月____日</w:t>
      </w:r>
    </w:p>
    <w:p>
      <w:pPr>
        <w:spacing w:line="360" w:lineRule="auto"/>
        <w:ind w:firstLine="420" w:firstLineChars="200"/>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kern w:val="0"/>
          <w:sz w:val="21"/>
          <w:szCs w:val="21"/>
        </w:rPr>
        <w:br w:type="page"/>
      </w:r>
      <w:r>
        <w:rPr>
          <w:rFonts w:hint="eastAsia" w:asciiTheme="minorEastAsia" w:hAnsiTheme="minorEastAsia" w:eastAsiaTheme="minorEastAsia" w:cstheme="minorEastAsia"/>
          <w:color w:val="auto"/>
          <w:kern w:val="0"/>
          <w:sz w:val="24"/>
          <w:szCs w:val="28"/>
        </w:rPr>
        <w:t>　　附件2－2</w:t>
      </w:r>
    </w:p>
    <w:p>
      <w:pPr>
        <w:spacing w:line="360" w:lineRule="auto"/>
        <w:ind w:firstLine="602" w:firstLineChars="200"/>
        <w:jc w:val="center"/>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b/>
          <w:bCs/>
          <w:color w:val="auto"/>
          <w:kern w:val="0"/>
          <w:sz w:val="30"/>
          <w:szCs w:val="30"/>
        </w:rPr>
        <w:t>分项价格表</w:t>
      </w:r>
    </w:p>
    <w:p>
      <w:pPr>
        <w:spacing w:line="360" w:lineRule="auto"/>
        <w:ind w:firstLine="48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4"/>
          <w:szCs w:val="28"/>
        </w:rPr>
        <w:t>　</w:t>
      </w:r>
      <w:r>
        <w:rPr>
          <w:rFonts w:hint="eastAsia" w:asciiTheme="minorEastAsia" w:hAnsiTheme="minorEastAsia" w:eastAsiaTheme="minorEastAsia" w:cstheme="minorEastAsia"/>
          <w:color w:val="auto"/>
          <w:kern w:val="0"/>
          <w:sz w:val="21"/>
          <w:szCs w:val="21"/>
        </w:rPr>
        <w:t>项目名称：</w:t>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项目编号：　</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包号：无</w:t>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金额单位：元</w:t>
      </w:r>
    </w:p>
    <w:tbl>
      <w:tblPr>
        <w:tblStyle w:val="46"/>
        <w:tblW w:w="89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417"/>
        <w:gridCol w:w="759"/>
        <w:gridCol w:w="964"/>
        <w:gridCol w:w="520"/>
        <w:gridCol w:w="1221"/>
        <w:gridCol w:w="461"/>
        <w:gridCol w:w="531"/>
        <w:gridCol w:w="714"/>
        <w:gridCol w:w="1137"/>
        <w:gridCol w:w="311"/>
        <w:gridCol w:w="1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zCs w:val="21"/>
              </w:rPr>
              <w:t>序号</w:t>
            </w:r>
          </w:p>
        </w:tc>
        <w:tc>
          <w:tcPr>
            <w:tcW w:w="2660" w:type="dxa"/>
            <w:gridSpan w:val="4"/>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标的的名称</w:t>
            </w:r>
          </w:p>
        </w:tc>
        <w:tc>
          <w:tcPr>
            <w:tcW w:w="1221" w:type="dxa"/>
            <w:tcBorders>
              <w:top w:val="single" w:color="auto" w:sz="4" w:space="0"/>
              <w:left w:val="single" w:color="auto" w:sz="4" w:space="0"/>
              <w:bottom w:val="single" w:color="auto" w:sz="4" w:space="0"/>
              <w:right w:val="single" w:color="auto" w:sz="4" w:space="0"/>
            </w:tcBorders>
            <w:vAlign w:val="center"/>
          </w:tcPr>
          <w:p>
            <w:pPr>
              <w:pStyle w:val="206"/>
              <w:spacing w:line="400" w:lineRule="exact"/>
              <w:rPr>
                <w:rFonts w:asciiTheme="minorEastAsia" w:hAnsiTheme="minorEastAsia" w:eastAsiaTheme="minorEastAsia" w:cstheme="minorEastAsia"/>
                <w:b w:val="0"/>
                <w:color w:val="auto"/>
                <w:sz w:val="21"/>
                <w:szCs w:val="21"/>
              </w:rPr>
            </w:pPr>
            <w:r>
              <w:rPr>
                <w:rFonts w:hint="eastAsia" w:asciiTheme="minorEastAsia" w:hAnsiTheme="minorEastAsia" w:eastAsiaTheme="minorEastAsia" w:cstheme="minorEastAsia"/>
                <w:b w:val="0"/>
                <w:color w:val="auto"/>
                <w:sz w:val="21"/>
                <w:szCs w:val="21"/>
              </w:rPr>
              <w:t>数量</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w:t>
            </w:r>
          </w:p>
        </w:tc>
        <w:tc>
          <w:tcPr>
            <w:tcW w:w="1851"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pacing w:val="20"/>
                <w:szCs w:val="21"/>
              </w:rPr>
              <w:t>1</w:t>
            </w:r>
          </w:p>
        </w:tc>
        <w:tc>
          <w:tcPr>
            <w:tcW w:w="2660"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pacing w:val="20"/>
                <w:szCs w:val="21"/>
              </w:rPr>
              <w:t>通信平台扩容</w:t>
            </w:r>
          </w:p>
        </w:tc>
        <w:tc>
          <w:tcPr>
            <w:tcW w:w="12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pacing w:val="20"/>
                <w:szCs w:val="21"/>
              </w:rPr>
              <w:t>120</w:t>
            </w:r>
          </w:p>
        </w:tc>
        <w:tc>
          <w:tcPr>
            <w:tcW w:w="9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pacing w:val="20"/>
                <w:szCs w:val="21"/>
              </w:rPr>
              <w:t>路</w:t>
            </w:r>
          </w:p>
        </w:tc>
        <w:tc>
          <w:tcPr>
            <w:tcW w:w="1851"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p>
        </w:tc>
        <w:tc>
          <w:tcPr>
            <w:tcW w:w="1551"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9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pacing w:val="20"/>
                <w:szCs w:val="21"/>
              </w:rPr>
              <w:t>2</w:t>
            </w:r>
          </w:p>
        </w:tc>
        <w:tc>
          <w:tcPr>
            <w:tcW w:w="1176" w:type="dxa"/>
            <w:gridSpan w:val="2"/>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rPr>
            </w:pPr>
            <w:r>
              <w:rPr>
                <w:rFonts w:hint="eastAsia" w:ascii="宋体" w:hAnsi="宋体" w:cs="宋体"/>
                <w:color w:val="auto"/>
                <w:szCs w:val="21"/>
              </w:rPr>
              <w:t>集成开发</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20"/>
                <w:szCs w:val="21"/>
              </w:rPr>
            </w:pPr>
            <w:r>
              <w:rPr>
                <w:rFonts w:hint="eastAsia" w:ascii="宋体" w:hAnsi="宋体" w:cs="宋体"/>
                <w:color w:val="auto"/>
                <w:szCs w:val="21"/>
              </w:rPr>
              <w:t>IVR流程重构</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szCs w:val="21"/>
              </w:rPr>
            </w:pPr>
            <w:r>
              <w:rPr>
                <w:rFonts w:hint="eastAsia" w:ascii="宋体" w:hAnsi="宋体" w:cs="宋体"/>
                <w:color w:val="auto"/>
                <w:szCs w:val="21"/>
              </w:rPr>
              <w:t>1</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szCs w:val="21"/>
              </w:rPr>
            </w:pPr>
            <w:r>
              <w:rPr>
                <w:rFonts w:hint="eastAsia" w:ascii="宋体" w:hAnsi="宋体" w:cs="宋体"/>
                <w:color w:val="auto"/>
                <w:szCs w:val="21"/>
              </w:rPr>
              <w:t>套</w:t>
            </w:r>
          </w:p>
        </w:tc>
        <w:tc>
          <w:tcPr>
            <w:tcW w:w="1851"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color w:val="auto"/>
                <w:spacing w:val="20"/>
                <w:szCs w:val="21"/>
              </w:rPr>
            </w:pPr>
          </w:p>
        </w:tc>
        <w:tc>
          <w:tcPr>
            <w:tcW w:w="1551"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pacing w:val="20"/>
                <w:szCs w:val="21"/>
              </w:rPr>
              <w:t>3</w:t>
            </w:r>
          </w:p>
        </w:tc>
        <w:tc>
          <w:tcPr>
            <w:tcW w:w="1176" w:type="dxa"/>
            <w:gridSpan w:val="2"/>
            <w:vMerge w:val="continue"/>
            <w:tcBorders>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color w:val="auto"/>
                <w:spacing w:val="20"/>
                <w:szCs w:val="21"/>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20"/>
                <w:szCs w:val="21"/>
              </w:rPr>
            </w:pPr>
            <w:r>
              <w:rPr>
                <w:rFonts w:hint="eastAsia" w:ascii="宋体" w:hAnsi="宋体" w:cs="宋体"/>
                <w:color w:val="auto"/>
                <w:szCs w:val="21"/>
              </w:rPr>
              <w:t>智能系统与通信平台集成</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szCs w:val="21"/>
              </w:rPr>
            </w:pPr>
            <w:r>
              <w:rPr>
                <w:rFonts w:hint="eastAsia" w:ascii="宋体" w:hAnsi="宋体" w:cs="宋体"/>
                <w:color w:val="auto"/>
                <w:szCs w:val="21"/>
              </w:rPr>
              <w:t>1</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szCs w:val="21"/>
              </w:rPr>
            </w:pPr>
            <w:r>
              <w:rPr>
                <w:rFonts w:hint="eastAsia" w:ascii="宋体" w:hAnsi="宋体" w:cs="宋体"/>
                <w:color w:val="auto"/>
                <w:szCs w:val="21"/>
              </w:rPr>
              <w:t>套</w:t>
            </w:r>
          </w:p>
        </w:tc>
        <w:tc>
          <w:tcPr>
            <w:tcW w:w="1851"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color w:val="auto"/>
                <w:spacing w:val="20"/>
                <w:szCs w:val="21"/>
              </w:rPr>
            </w:pPr>
          </w:p>
        </w:tc>
        <w:tc>
          <w:tcPr>
            <w:tcW w:w="1551"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72"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pacing w:val="20"/>
                <w:szCs w:val="21"/>
              </w:rPr>
              <w:t>货物的标准附件、备品备件、专用工具</w:t>
            </w:r>
          </w:p>
        </w:tc>
        <w:tc>
          <w:tcPr>
            <w:tcW w:w="7099" w:type="dxa"/>
            <w:gridSpan w:val="9"/>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pacing w:val="20"/>
                <w:szCs w:val="21"/>
              </w:rPr>
              <w:t>辅材</w:t>
            </w:r>
          </w:p>
        </w:tc>
        <w:tc>
          <w:tcPr>
            <w:tcW w:w="7099" w:type="dxa"/>
            <w:gridSpan w:val="9"/>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872"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zCs w:val="21"/>
              </w:rPr>
              <w:t>货物费合计</w:t>
            </w:r>
          </w:p>
        </w:tc>
        <w:tc>
          <w:tcPr>
            <w:tcW w:w="7099" w:type="dxa"/>
            <w:gridSpan w:val="9"/>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cs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13" w:type="dxa"/>
            <w:gridSpan w:val="2"/>
            <w:vMerge w:val="restart"/>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运输、装卸费</w:t>
            </w:r>
          </w:p>
        </w:tc>
        <w:tc>
          <w:tcPr>
            <w:tcW w:w="1723"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运输费</w:t>
            </w:r>
          </w:p>
        </w:tc>
        <w:tc>
          <w:tcPr>
            <w:tcW w:w="2202" w:type="dxa"/>
            <w:gridSpan w:val="3"/>
            <w:vAlign w:val="center"/>
          </w:tcPr>
          <w:p>
            <w:pPr>
              <w:pStyle w:val="22"/>
              <w:jc w:val="center"/>
              <w:rPr>
                <w:rFonts w:asciiTheme="minorEastAsia" w:hAnsiTheme="minorEastAsia" w:eastAsiaTheme="minorEastAsia" w:cstheme="minorEastAsia"/>
                <w:color w:val="auto"/>
                <w:sz w:val="21"/>
                <w:szCs w:val="21"/>
              </w:rPr>
            </w:pPr>
          </w:p>
        </w:tc>
        <w:tc>
          <w:tcPr>
            <w:tcW w:w="1245" w:type="dxa"/>
            <w:gridSpan w:val="2"/>
            <w:vMerge w:val="restart"/>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调试费</w:t>
            </w:r>
          </w:p>
        </w:tc>
        <w:tc>
          <w:tcPr>
            <w:tcW w:w="1448"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调试费</w:t>
            </w:r>
          </w:p>
        </w:tc>
        <w:tc>
          <w:tcPr>
            <w:tcW w:w="1240" w:type="dxa"/>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723"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装卸费</w:t>
            </w:r>
          </w:p>
        </w:tc>
        <w:tc>
          <w:tcPr>
            <w:tcW w:w="2202" w:type="dxa"/>
            <w:gridSpan w:val="3"/>
            <w:vAlign w:val="center"/>
          </w:tcPr>
          <w:p>
            <w:pPr>
              <w:pStyle w:val="22"/>
              <w:jc w:val="center"/>
              <w:rPr>
                <w:rFonts w:asciiTheme="minorEastAsia" w:hAnsiTheme="minorEastAsia" w:eastAsiaTheme="minorEastAsia" w:cstheme="minorEastAsia"/>
                <w:color w:val="auto"/>
                <w:sz w:val="21"/>
                <w:szCs w:val="21"/>
              </w:rPr>
            </w:pPr>
          </w:p>
        </w:tc>
        <w:tc>
          <w:tcPr>
            <w:tcW w:w="1245"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448"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240" w:type="dxa"/>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723"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2202" w:type="dxa"/>
            <w:gridSpan w:val="3"/>
            <w:vAlign w:val="center"/>
          </w:tcPr>
          <w:p>
            <w:pPr>
              <w:pStyle w:val="22"/>
              <w:jc w:val="center"/>
              <w:rPr>
                <w:rFonts w:asciiTheme="minorEastAsia" w:hAnsiTheme="minorEastAsia" w:eastAsiaTheme="minorEastAsia" w:cstheme="minorEastAsia"/>
                <w:color w:val="auto"/>
                <w:sz w:val="21"/>
                <w:szCs w:val="21"/>
              </w:rPr>
            </w:pPr>
          </w:p>
        </w:tc>
        <w:tc>
          <w:tcPr>
            <w:tcW w:w="1245"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448"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240" w:type="dxa"/>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723"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小计</w:t>
            </w:r>
          </w:p>
        </w:tc>
        <w:tc>
          <w:tcPr>
            <w:tcW w:w="2202" w:type="dxa"/>
            <w:gridSpan w:val="3"/>
            <w:vAlign w:val="center"/>
          </w:tcPr>
          <w:p>
            <w:pPr>
              <w:pStyle w:val="22"/>
              <w:jc w:val="center"/>
              <w:rPr>
                <w:rFonts w:asciiTheme="minorEastAsia" w:hAnsiTheme="minorEastAsia" w:eastAsiaTheme="minorEastAsia" w:cstheme="minorEastAsia"/>
                <w:color w:val="auto"/>
                <w:sz w:val="21"/>
                <w:szCs w:val="21"/>
              </w:rPr>
            </w:pPr>
          </w:p>
        </w:tc>
        <w:tc>
          <w:tcPr>
            <w:tcW w:w="1245"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448"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小计</w:t>
            </w:r>
          </w:p>
        </w:tc>
        <w:tc>
          <w:tcPr>
            <w:tcW w:w="1240" w:type="dxa"/>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restart"/>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w:t>
            </w:r>
          </w:p>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费用</w:t>
            </w:r>
          </w:p>
        </w:tc>
        <w:tc>
          <w:tcPr>
            <w:tcW w:w="1723"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代理费</w:t>
            </w:r>
          </w:p>
        </w:tc>
        <w:tc>
          <w:tcPr>
            <w:tcW w:w="2202" w:type="dxa"/>
            <w:gridSpan w:val="3"/>
            <w:vAlign w:val="center"/>
          </w:tcPr>
          <w:p>
            <w:pPr>
              <w:pStyle w:val="22"/>
              <w:jc w:val="center"/>
              <w:rPr>
                <w:rFonts w:asciiTheme="minorEastAsia" w:hAnsiTheme="minorEastAsia" w:eastAsiaTheme="minorEastAsia" w:cstheme="minorEastAsia"/>
                <w:color w:val="auto"/>
                <w:sz w:val="21"/>
                <w:szCs w:val="21"/>
              </w:rPr>
            </w:pPr>
          </w:p>
        </w:tc>
        <w:tc>
          <w:tcPr>
            <w:tcW w:w="1245" w:type="dxa"/>
            <w:gridSpan w:val="2"/>
            <w:vMerge w:val="restart"/>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售后服务费</w:t>
            </w:r>
          </w:p>
        </w:tc>
        <w:tc>
          <w:tcPr>
            <w:tcW w:w="1448"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培训费</w:t>
            </w:r>
          </w:p>
        </w:tc>
        <w:tc>
          <w:tcPr>
            <w:tcW w:w="1240" w:type="dxa"/>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3"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723"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2202" w:type="dxa"/>
            <w:gridSpan w:val="3"/>
            <w:vAlign w:val="center"/>
          </w:tcPr>
          <w:p>
            <w:pPr>
              <w:pStyle w:val="22"/>
              <w:jc w:val="center"/>
              <w:rPr>
                <w:rFonts w:asciiTheme="minorEastAsia" w:hAnsiTheme="minorEastAsia" w:eastAsiaTheme="minorEastAsia" w:cstheme="minorEastAsia"/>
                <w:color w:val="auto"/>
                <w:sz w:val="21"/>
                <w:szCs w:val="21"/>
              </w:rPr>
            </w:pPr>
          </w:p>
        </w:tc>
        <w:tc>
          <w:tcPr>
            <w:tcW w:w="1245"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448" w:type="dxa"/>
            <w:gridSpan w:val="2"/>
            <w:vAlign w:val="center"/>
          </w:tcPr>
          <w:p>
            <w:pPr>
              <w:pStyle w:val="22"/>
              <w:jc w:val="center"/>
              <w:rPr>
                <w:color w:val="auto"/>
              </w:rPr>
            </w:pPr>
            <w:r>
              <w:rPr>
                <w:rFonts w:hint="eastAsia" w:asciiTheme="minorEastAsia" w:hAnsiTheme="minorEastAsia" w:eastAsiaTheme="minorEastAsia" w:cstheme="minorEastAsia"/>
                <w:color w:val="auto"/>
                <w:sz w:val="21"/>
                <w:szCs w:val="21"/>
              </w:rPr>
              <w:t>技术支持费</w:t>
            </w:r>
          </w:p>
        </w:tc>
        <w:tc>
          <w:tcPr>
            <w:tcW w:w="1240" w:type="dxa"/>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723"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2202" w:type="dxa"/>
            <w:gridSpan w:val="3"/>
            <w:vAlign w:val="center"/>
          </w:tcPr>
          <w:p>
            <w:pPr>
              <w:pStyle w:val="22"/>
              <w:jc w:val="center"/>
              <w:rPr>
                <w:rFonts w:asciiTheme="minorEastAsia" w:hAnsiTheme="minorEastAsia" w:eastAsiaTheme="minorEastAsia" w:cstheme="minorEastAsia"/>
                <w:color w:val="auto"/>
                <w:sz w:val="21"/>
                <w:szCs w:val="21"/>
              </w:rPr>
            </w:pPr>
          </w:p>
        </w:tc>
        <w:tc>
          <w:tcPr>
            <w:tcW w:w="1245"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448"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240" w:type="dxa"/>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723"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小计</w:t>
            </w:r>
          </w:p>
        </w:tc>
        <w:tc>
          <w:tcPr>
            <w:tcW w:w="2202" w:type="dxa"/>
            <w:gridSpan w:val="3"/>
            <w:vAlign w:val="center"/>
          </w:tcPr>
          <w:p>
            <w:pPr>
              <w:pStyle w:val="22"/>
              <w:jc w:val="center"/>
              <w:rPr>
                <w:rFonts w:asciiTheme="minorEastAsia" w:hAnsiTheme="minorEastAsia" w:eastAsiaTheme="minorEastAsia" w:cstheme="minorEastAsia"/>
                <w:color w:val="auto"/>
                <w:sz w:val="21"/>
                <w:szCs w:val="21"/>
              </w:rPr>
            </w:pPr>
          </w:p>
        </w:tc>
        <w:tc>
          <w:tcPr>
            <w:tcW w:w="1245" w:type="dxa"/>
            <w:gridSpan w:val="2"/>
            <w:vMerge w:val="continue"/>
            <w:vAlign w:val="center"/>
          </w:tcPr>
          <w:p>
            <w:pPr>
              <w:pStyle w:val="22"/>
              <w:jc w:val="center"/>
              <w:rPr>
                <w:rFonts w:asciiTheme="minorEastAsia" w:hAnsiTheme="minorEastAsia" w:eastAsiaTheme="minorEastAsia" w:cstheme="minorEastAsia"/>
                <w:color w:val="auto"/>
                <w:sz w:val="21"/>
                <w:szCs w:val="21"/>
              </w:rPr>
            </w:pPr>
          </w:p>
        </w:tc>
        <w:tc>
          <w:tcPr>
            <w:tcW w:w="1448" w:type="dxa"/>
            <w:gridSpan w:val="2"/>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小计</w:t>
            </w:r>
          </w:p>
        </w:tc>
        <w:tc>
          <w:tcPr>
            <w:tcW w:w="1240" w:type="dxa"/>
            <w:vAlign w:val="center"/>
          </w:tcPr>
          <w:p>
            <w:pPr>
              <w:pStyle w:val="22"/>
              <w:jc w:val="center"/>
              <w:rPr>
                <w:rFonts w:asciiTheme="minorEastAsia" w:hAnsiTheme="minorEastAsia" w:eastAsiaTheme="minorEastAsia" w:cstheme="minorEastAsia"/>
                <w:color w:val="auto"/>
                <w:sz w:val="21"/>
                <w:szCs w:val="21"/>
              </w:rPr>
            </w:pPr>
          </w:p>
        </w:tc>
      </w:tr>
    </w:tbl>
    <w:p>
      <w:pPr>
        <w:rPr>
          <w:color w:val="auto"/>
        </w:rPr>
      </w:pP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1.如本表格不适合供应商的实际情况，可根据本表格式自行制表填写。</w:t>
      </w:r>
    </w:p>
    <w:p>
      <w:pPr>
        <w:spacing w:line="40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2.响应报价包含实施和完成本项目需求要求所有内容的全部费用，此表报价应与“报价一览表”</w:t>
      </w:r>
      <w:r>
        <w:rPr>
          <w:rFonts w:hint="eastAsia" w:asciiTheme="minorEastAsia" w:hAnsiTheme="minorEastAsia" w:eastAsiaTheme="minorEastAsia" w:cstheme="minorEastAsia"/>
          <w:color w:val="auto"/>
        </w:rPr>
        <w:t>响应</w:t>
      </w:r>
      <w:r>
        <w:rPr>
          <w:rFonts w:hint="eastAsia" w:asciiTheme="minorEastAsia" w:hAnsiTheme="minorEastAsia" w:eastAsiaTheme="minorEastAsia" w:cstheme="minorEastAsia"/>
          <w:color w:val="auto"/>
          <w:kern w:val="0"/>
          <w:szCs w:val="21"/>
        </w:rPr>
        <w:t>报价相一致。</w:t>
      </w:r>
    </w:p>
    <w:p>
      <w:pPr>
        <w:spacing w:line="360" w:lineRule="auto"/>
        <w:ind w:firstLine="480" w:firstLineChars="200"/>
        <w:rPr>
          <w:rFonts w:asciiTheme="minorEastAsia" w:hAnsiTheme="minorEastAsia" w:eastAsiaTheme="minorEastAsia" w:cstheme="minorEastAsia"/>
          <w:color w:val="auto"/>
          <w:kern w:val="0"/>
          <w:sz w:val="24"/>
          <w:szCs w:val="28"/>
        </w:rPr>
      </w:pP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供应商名称(公章)：____________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法定代表人或其授权代表(签字或盖章)：____________</w:t>
      </w:r>
    </w:p>
    <w:p>
      <w:pPr>
        <w:spacing w:line="360" w:lineRule="auto"/>
        <w:ind w:firstLine="420" w:firstLineChars="200"/>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color w:val="auto"/>
          <w:kern w:val="0"/>
          <w:sz w:val="21"/>
          <w:szCs w:val="21"/>
        </w:rPr>
        <w:t>日期：______年____月____日</w:t>
      </w:r>
      <w:r>
        <w:rPr>
          <w:rFonts w:hint="eastAsia" w:asciiTheme="minorEastAsia" w:hAnsiTheme="minorEastAsia" w:eastAsiaTheme="minorEastAsia" w:cstheme="minorEastAsia"/>
          <w:color w:val="auto"/>
          <w:kern w:val="0"/>
          <w:sz w:val="21"/>
          <w:szCs w:val="21"/>
        </w:rPr>
        <w:br w:type="page"/>
      </w:r>
      <w:r>
        <w:rPr>
          <w:rFonts w:hint="eastAsia" w:asciiTheme="minorEastAsia" w:hAnsiTheme="minorEastAsia" w:eastAsiaTheme="minorEastAsia" w:cstheme="minorEastAsia"/>
          <w:color w:val="auto"/>
          <w:kern w:val="0"/>
          <w:sz w:val="24"/>
          <w:szCs w:val="28"/>
        </w:rPr>
        <w:t>　</w:t>
      </w:r>
      <w:r>
        <w:rPr>
          <w:rFonts w:hint="eastAsia" w:asciiTheme="minorEastAsia" w:hAnsiTheme="minorEastAsia" w:eastAsiaTheme="minorEastAsia" w:cstheme="minorEastAsia"/>
          <w:b/>
          <w:bCs/>
          <w:color w:val="auto"/>
          <w:kern w:val="0"/>
          <w:sz w:val="24"/>
          <w:szCs w:val="28"/>
        </w:rPr>
        <w:t>三、商务条款偏离表</w:t>
      </w:r>
    </w:p>
    <w:p>
      <w:pPr>
        <w:spacing w:line="360" w:lineRule="auto"/>
        <w:ind w:firstLine="480" w:firstLineChars="200"/>
        <w:rPr>
          <w:rFonts w:asciiTheme="minorEastAsia" w:hAnsiTheme="minorEastAsia" w:eastAsiaTheme="minorEastAsia" w:cstheme="minorEastAsia"/>
          <w:color w:val="auto"/>
          <w:kern w:val="0"/>
          <w:sz w:val="24"/>
          <w:szCs w:val="28"/>
        </w:rPr>
      </w:pPr>
    </w:p>
    <w:p>
      <w:pPr>
        <w:spacing w:line="360" w:lineRule="auto"/>
        <w:ind w:firstLine="602" w:firstLineChars="200"/>
        <w:jc w:val="center"/>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b/>
          <w:bCs/>
          <w:color w:val="auto"/>
          <w:kern w:val="0"/>
          <w:sz w:val="30"/>
          <w:szCs w:val="30"/>
        </w:rPr>
        <w:t>商务条款偏离表</w:t>
      </w:r>
    </w:p>
    <w:p>
      <w:pPr>
        <w:spacing w:line="360" w:lineRule="auto"/>
        <w:ind w:firstLine="48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4"/>
          <w:szCs w:val="28"/>
        </w:rPr>
        <w:t>　</w:t>
      </w:r>
      <w:r>
        <w:rPr>
          <w:rFonts w:hint="eastAsia" w:asciiTheme="minorEastAsia" w:hAnsiTheme="minorEastAsia" w:eastAsiaTheme="minorEastAsia" w:cstheme="minorEastAsia"/>
          <w:color w:val="auto"/>
          <w:kern w:val="0"/>
          <w:sz w:val="21"/>
          <w:szCs w:val="21"/>
        </w:rPr>
        <w:t>项目名称：</w:t>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项目编号：</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包号：无分包</w:t>
      </w:r>
    </w:p>
    <w:tbl>
      <w:tblPr>
        <w:tblStyle w:val="46"/>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620"/>
        <w:gridCol w:w="2025"/>
        <w:gridCol w:w="1950"/>
        <w:gridCol w:w="102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620"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磋商文件条目号</w:t>
            </w:r>
          </w:p>
        </w:tc>
        <w:tc>
          <w:tcPr>
            <w:tcW w:w="2025"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磋商文件的商务条款</w:t>
            </w:r>
          </w:p>
        </w:tc>
        <w:tc>
          <w:tcPr>
            <w:tcW w:w="1950"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响应文件的商务条款</w:t>
            </w:r>
          </w:p>
        </w:tc>
        <w:tc>
          <w:tcPr>
            <w:tcW w:w="1020"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偏离</w:t>
            </w:r>
          </w:p>
        </w:tc>
        <w:tc>
          <w:tcPr>
            <w:tcW w:w="1143" w:type="dxa"/>
            <w:vAlign w:val="center"/>
          </w:tcPr>
          <w:p>
            <w:pPr>
              <w:spacing w:line="360" w:lineRule="auto"/>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6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2025"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95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0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143" w:type="dxa"/>
            <w:vAlign w:val="center"/>
          </w:tcPr>
          <w:p>
            <w:pPr>
              <w:spacing w:line="360" w:lineRule="auto"/>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6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2025"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95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0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143" w:type="dxa"/>
            <w:vAlign w:val="center"/>
          </w:tcPr>
          <w:p>
            <w:pPr>
              <w:spacing w:line="360" w:lineRule="auto"/>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6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2025"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95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0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143" w:type="dxa"/>
            <w:vAlign w:val="center"/>
          </w:tcPr>
          <w:p>
            <w:pPr>
              <w:spacing w:line="360" w:lineRule="auto"/>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6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2025"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95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0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143" w:type="dxa"/>
            <w:vAlign w:val="center"/>
          </w:tcPr>
          <w:p>
            <w:pPr>
              <w:spacing w:line="360" w:lineRule="auto"/>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6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2025"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95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020" w:type="dxa"/>
            <w:vAlign w:val="center"/>
          </w:tcPr>
          <w:p>
            <w:pPr>
              <w:spacing w:line="360" w:lineRule="auto"/>
              <w:jc w:val="center"/>
              <w:rPr>
                <w:rFonts w:asciiTheme="minorEastAsia" w:hAnsiTheme="minorEastAsia" w:eastAsiaTheme="minorEastAsia" w:cstheme="minorEastAsia"/>
                <w:color w:val="auto"/>
                <w:kern w:val="0"/>
                <w:sz w:val="21"/>
                <w:szCs w:val="21"/>
              </w:rPr>
            </w:pPr>
          </w:p>
        </w:tc>
        <w:tc>
          <w:tcPr>
            <w:tcW w:w="1143" w:type="dxa"/>
            <w:vAlign w:val="center"/>
          </w:tcPr>
          <w:p>
            <w:pPr>
              <w:spacing w:line="360" w:lineRule="auto"/>
              <w:jc w:val="center"/>
              <w:rPr>
                <w:rFonts w:asciiTheme="minorEastAsia" w:hAnsiTheme="minorEastAsia" w:eastAsiaTheme="minorEastAsia" w:cstheme="minorEastAsia"/>
                <w:color w:val="auto"/>
                <w:kern w:val="0"/>
                <w:sz w:val="21"/>
                <w:szCs w:val="21"/>
              </w:rPr>
            </w:pPr>
          </w:p>
        </w:tc>
      </w:tr>
    </w:tbl>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说明：</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（1）供应商应按《第六章　项目采购需求》中的“商务条款”要求，结合自身响应情况对商务条款逐条响应</w:t>
      </w:r>
      <w:r>
        <w:rPr>
          <w:rFonts w:hint="eastAsia" w:asciiTheme="minorEastAsia" w:hAnsiTheme="minorEastAsia" w:eastAsiaTheme="minorEastAsia" w:cstheme="minorEastAsia"/>
          <w:color w:val="auto"/>
          <w:szCs w:val="21"/>
        </w:rPr>
        <w:t>，未逐条响应的视为响应无效</w:t>
      </w:r>
      <w:r>
        <w:rPr>
          <w:rFonts w:hint="eastAsia" w:asciiTheme="minorEastAsia" w:hAnsiTheme="minorEastAsia" w:eastAsiaTheme="minorEastAsia" w:cstheme="minorEastAsia"/>
          <w:color w:val="auto"/>
          <w:kern w:val="0"/>
          <w:sz w:val="21"/>
          <w:szCs w:val="21"/>
        </w:rPr>
        <w:t>。</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（2）当响应文件响应的商务内容完全响应磋商文件要求时，供应商应注明“无偏离”；低于磋商文件要求时，应注明“负偏离”；优于磋商文件要求的，应注明“正偏离”。</w:t>
      </w:r>
    </w:p>
    <w:p>
      <w:pPr>
        <w:spacing w:line="360" w:lineRule="auto"/>
        <w:ind w:firstLine="420" w:firstLineChars="200"/>
        <w:rPr>
          <w:rFonts w:asciiTheme="minorEastAsia" w:hAnsiTheme="minorEastAsia" w:eastAsiaTheme="minorEastAsia" w:cstheme="minorEastAsia"/>
          <w:color w:val="auto"/>
          <w:kern w:val="0"/>
          <w:sz w:val="21"/>
          <w:szCs w:val="21"/>
        </w:rPr>
      </w:pP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供应商名称(公章)：________________________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法定代表人或授权代表(签字或盖章)：________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______年____月____日</w:t>
      </w:r>
    </w:p>
    <w:p>
      <w:pPr>
        <w:spacing w:line="360" w:lineRule="auto"/>
        <w:ind w:firstLine="420" w:firstLineChars="200"/>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color w:val="auto"/>
          <w:kern w:val="0"/>
          <w:sz w:val="21"/>
          <w:szCs w:val="21"/>
        </w:rPr>
        <w:br w:type="page"/>
      </w:r>
      <w:r>
        <w:rPr>
          <w:rFonts w:hint="eastAsia" w:asciiTheme="minorEastAsia" w:hAnsiTheme="minorEastAsia" w:eastAsiaTheme="minorEastAsia" w:cstheme="minorEastAsia"/>
          <w:b/>
          <w:bCs/>
          <w:color w:val="auto"/>
          <w:kern w:val="0"/>
          <w:sz w:val="24"/>
        </w:rPr>
        <w:t>四、磋商保证金缴纳证明</w:t>
      </w:r>
    </w:p>
    <w:p>
      <w:pPr>
        <w:spacing w:line="360"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说明：可提供付款凭证或金融机构、担保机构出具的保函原件。</w:t>
      </w:r>
    </w:p>
    <w:p>
      <w:pPr>
        <w:keepNext/>
        <w:keepLines/>
        <w:spacing w:before="240" w:after="64" w:line="360" w:lineRule="auto"/>
        <w:jc w:val="center"/>
        <w:outlineLvl w:val="5"/>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保证金汇款声明函(适用银行转账)</w:t>
      </w:r>
    </w:p>
    <w:p>
      <w:pPr>
        <w:spacing w:line="360" w:lineRule="auto"/>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致：____________(采购人或采购代理机构)</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我方为________ (项目名称)(项目编号：________)递交保证金人民币________元(大写(人民币　  　元)已于______年____月____日以银行主动划账方式划入你方账户。</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详见附件：银行出具的汇款单或转账凭证复印件。</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退还保证金时请按以下内容划入我方账户。若因内容不全、错误、字迹潦草模糊导致该项目保证金未能及时退还或退还过程中发生错误，我方将承担全部责任和损失。</w:t>
      </w:r>
    </w:p>
    <w:tbl>
      <w:tblPr>
        <w:tblStyle w:val="46"/>
        <w:tblW w:w="948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69"/>
        <w:gridCol w:w="611"/>
        <w:gridCol w:w="2561"/>
        <w:gridCol w:w="1080"/>
        <w:gridCol w:w="1481"/>
        <w:gridCol w:w="2438"/>
        <w:gridCol w:w="5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9480" w:type="dxa"/>
            <w:gridSpan w:val="7"/>
            <w:tcBorders>
              <w:bottom w:val="single" w:color="auto" w:sz="4" w:space="0"/>
            </w:tcBorders>
            <w:vAlign w:val="center"/>
          </w:tcPr>
          <w:p>
            <w:pPr>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
                <w:color w:val="auto"/>
                <w:sz w:val="28"/>
                <w:szCs w:val="28"/>
              </w:rPr>
              <w:t>磋商保证金交款、退款函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项目编号</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项目名称</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540" w:type="dxa"/>
            <w:vMerge w:val="restart"/>
            <w:tcBorders>
              <w:top w:val="single" w:color="auto" w:sz="4" w:space="0"/>
              <w:left w:val="single" w:color="auto" w:sz="4" w:space="0"/>
              <w:bottom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请将保证金交款凭证复印件贴于下面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交款单位</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联系人及电话</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保证金金额</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w:t>
            </w:r>
          </w:p>
        </w:tc>
        <w:tc>
          <w:tcPr>
            <w:tcW w:w="4999" w:type="dxa"/>
            <w:gridSpan w:val="3"/>
            <w:vMerge w:val="restart"/>
            <w:tcBorders>
              <w:top w:val="single" w:color="auto" w:sz="4" w:space="0"/>
              <w:left w:val="single" w:color="auto" w:sz="4" w:space="0"/>
              <w:right w:val="single" w:color="auto" w:sz="4" w:space="0"/>
            </w:tcBorders>
          </w:tcPr>
          <w:p>
            <w:pPr>
              <w:widowControl/>
              <w:spacing w:line="360" w:lineRule="auto"/>
              <w:jc w:val="left"/>
              <w:rPr>
                <w:rFonts w:asciiTheme="minorEastAsia" w:hAnsiTheme="minorEastAsia" w:eastAsiaTheme="minorEastAsia" w:cstheme="minorEastAsia"/>
                <w:bCs/>
                <w:color w:val="auto"/>
                <w:kern w:val="0"/>
                <w:szCs w:val="21"/>
              </w:rPr>
            </w:pPr>
          </w:p>
          <w:p>
            <w:pPr>
              <w:widowControl/>
              <w:spacing w:line="360" w:lineRule="auto"/>
              <w:jc w:val="lef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 若我单位不成交请采购人或采购代理机构于该项目成交通知书发出后5个工作日内将保证金退回</w:t>
            </w:r>
            <w:r>
              <w:rPr>
                <w:rFonts w:hint="eastAsia" w:asciiTheme="minorEastAsia" w:hAnsiTheme="minorEastAsia" w:eastAsiaTheme="minorEastAsia" w:cstheme="minorEastAsia"/>
                <w:bCs/>
                <w:color w:val="auto"/>
                <w:kern w:val="0"/>
                <w:szCs w:val="21"/>
                <w:u w:val="single"/>
              </w:rPr>
              <w:t>原交款人</w:t>
            </w:r>
            <w:r>
              <w:rPr>
                <w:rFonts w:hint="eastAsia" w:asciiTheme="minorEastAsia" w:hAnsiTheme="minorEastAsia" w:eastAsiaTheme="minorEastAsia" w:cstheme="minorEastAsia"/>
                <w:bCs/>
                <w:color w:val="auto"/>
                <w:kern w:val="0"/>
                <w:szCs w:val="21"/>
              </w:rPr>
              <w:t xml:space="preserve">。 </w:t>
            </w:r>
          </w:p>
          <w:p>
            <w:pPr>
              <w:spacing w:line="360" w:lineRule="auto"/>
              <w:jc w:val="lef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 若我单位成交，请采购人或采购代理机构收到我单位提交的合同后5个工作日内将保证金退回</w:t>
            </w:r>
            <w:r>
              <w:rPr>
                <w:rFonts w:hint="eastAsia" w:asciiTheme="minorEastAsia" w:hAnsiTheme="minorEastAsia" w:eastAsiaTheme="minorEastAsia" w:cstheme="minorEastAsia"/>
                <w:bCs/>
                <w:color w:val="auto"/>
                <w:kern w:val="0"/>
                <w:szCs w:val="21"/>
                <w:u w:val="single"/>
              </w:rPr>
              <w:t>原交款人</w:t>
            </w:r>
            <w:r>
              <w:rPr>
                <w:rFonts w:hint="eastAsia" w:asciiTheme="minorEastAsia" w:hAnsiTheme="minorEastAsia" w:eastAsiaTheme="minorEastAsia" w:cstheme="minorEastAsia"/>
                <w:bCs/>
                <w:color w:val="auto"/>
                <w:kern w:val="0"/>
                <w:szCs w:val="21"/>
              </w:rPr>
              <w:t xml:space="preserve">。                                     </w:t>
            </w:r>
          </w:p>
          <w:p>
            <w:pPr>
              <w:widowControl/>
              <w:spacing w:line="360" w:lineRule="auto"/>
              <w:jc w:val="lef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w:t>
            </w:r>
          </w:p>
          <w:p>
            <w:pPr>
              <w:widowControl/>
              <w:spacing w:line="360" w:lineRule="auto"/>
              <w:jc w:val="lef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供应商盖章：</w:t>
            </w:r>
          </w:p>
          <w:p>
            <w:pPr>
              <w:spacing w:line="360" w:lineRule="auto"/>
              <w:jc w:val="righ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xml:space="preserve">                             年   月   日 </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退款信息</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color w:val="auto"/>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户    名</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w:t>
            </w:r>
          </w:p>
        </w:tc>
        <w:tc>
          <w:tcPr>
            <w:tcW w:w="4999" w:type="dxa"/>
            <w:gridSpan w:val="3"/>
            <w:vMerge w:val="continue"/>
            <w:tcBorders>
              <w:left w:val="single" w:color="auto" w:sz="4" w:space="0"/>
              <w:right w:val="single" w:color="auto" w:sz="4" w:space="0"/>
            </w:tcBorders>
          </w:tcPr>
          <w:p>
            <w:pPr>
              <w:spacing w:line="360" w:lineRule="auto"/>
              <w:jc w:val="center"/>
              <w:rPr>
                <w:rFonts w:asciiTheme="minorEastAsia" w:hAnsiTheme="minorEastAsia" w:eastAsiaTheme="minorEastAsia" w:cstheme="minorEastAsia"/>
                <w:bCs/>
                <w:color w:val="auto"/>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账    号</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color w:val="auto"/>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汇入地点</w:t>
            </w:r>
          </w:p>
        </w:tc>
        <w:tc>
          <w:tcPr>
            <w:tcW w:w="3172" w:type="dxa"/>
            <w:gridSpan w:val="2"/>
            <w:tcBorders>
              <w:top w:val="single" w:color="auto" w:sz="4" w:space="0"/>
              <w:left w:val="nil"/>
              <w:bottom w:val="single" w:color="auto" w:sz="4" w:space="0"/>
              <w:right w:val="single" w:color="auto" w:sz="4" w:space="0"/>
            </w:tcBorders>
            <w:vAlign w:val="center"/>
          </w:tcPr>
          <w:p>
            <w:pPr>
              <w:widowControl/>
              <w:jc w:val="righ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xml:space="preserve">省       市（县）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color w:val="auto"/>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769" w:type="dxa"/>
            <w:tcBorders>
              <w:top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开户银行</w:t>
            </w:r>
          </w:p>
        </w:tc>
        <w:tc>
          <w:tcPr>
            <w:tcW w:w="317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w:t>
            </w:r>
          </w:p>
        </w:tc>
        <w:tc>
          <w:tcPr>
            <w:tcW w:w="4999" w:type="dxa"/>
            <w:gridSpan w:val="3"/>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bCs/>
                <w:color w:val="auto"/>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备注：</w:t>
            </w:r>
            <w:r>
              <w:rPr>
                <w:rFonts w:hint="eastAsia" w:asciiTheme="minorEastAsia" w:hAnsiTheme="minorEastAsia" w:eastAsiaTheme="minorEastAsia" w:cstheme="minorEastAsia"/>
                <w:color w:val="auto"/>
                <w:kern w:val="0"/>
                <w:szCs w:val="21"/>
              </w:rPr>
              <w:t>保证金交纳到以下账户</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户  名：</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开户行：</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帐  号：</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是否为成交单位（该项由采购人填写）</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采购人签名：</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9480" w:type="dxa"/>
            <w:gridSpan w:val="7"/>
            <w:tcBorders>
              <w:top w:val="single" w:color="auto" w:sz="4" w:space="0"/>
              <w:left w:val="nil"/>
              <w:bottom w:val="nil"/>
              <w:right w:val="nil"/>
            </w:tcBorders>
            <w:vAlign w:val="center"/>
          </w:tcPr>
          <w:p>
            <w:pPr>
              <w:spacing w:beforeLines="50"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附：磋商保证金交款凭证复印件</w:t>
            </w:r>
          </w:p>
        </w:tc>
      </w:tr>
    </w:tbl>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注：1、此函一式两份，一份在参加磋商时将此函交给工作人员，磋商保证金退还帐户必须与交款帐户一致，否则由此造成磋商保证金不能及时退还或退错的后果由供应商自负。       </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2、以电汇方式递交磋商保证金须在电汇凭据附言栏中写明采购编号、分标及用途(磋商保证金)。</w:t>
      </w:r>
    </w:p>
    <w:p>
      <w:pPr>
        <w:pStyle w:val="22"/>
        <w:ind w:firstLine="400" w:firstLineChars="200"/>
        <w:rPr>
          <w:rFonts w:ascii="Times New Roman" w:eastAsia="MingLiU_HKSCS"/>
          <w:color w:val="auto"/>
        </w:rPr>
      </w:pPr>
    </w:p>
    <w:tbl>
      <w:tblPr>
        <w:tblStyle w:val="46"/>
        <w:tblW w:w="5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61" w:hRule="atLeast"/>
          <w:jc w:val="center"/>
        </w:trPr>
        <w:tc>
          <w:tcPr>
            <w:tcW w:w="591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imes New Roman" w:eastAsia="MingLiU_HKSCS"/>
                <w:color w:val="auto"/>
                <w:sz w:val="21"/>
                <w:szCs w:val="21"/>
              </w:rPr>
            </w:pPr>
            <w:r>
              <w:rPr>
                <w:rFonts w:hint="eastAsia" w:ascii="Times New Roman"/>
                <w:color w:val="auto"/>
                <w:sz w:val="21"/>
                <w:szCs w:val="21"/>
              </w:rPr>
              <w:t>汇款单或转账凭证复印件</w:t>
            </w:r>
          </w:p>
        </w:tc>
      </w:tr>
    </w:tbl>
    <w:p>
      <w:pPr>
        <w:pStyle w:val="22"/>
        <w:ind w:firstLine="400" w:firstLineChars="200"/>
        <w:rPr>
          <w:rFonts w:ascii="Times New Roman" w:eastAsia="MingLiU_HKSCS"/>
          <w:color w:val="auto"/>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p>
    <w:p>
      <w:pPr>
        <w:ind w:firstLine="482" w:firstLineChars="200"/>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五、供应商的资格证明材料</w:t>
      </w:r>
    </w:p>
    <w:p>
      <w:pPr>
        <w:pStyle w:val="22"/>
        <w:ind w:firstLine="420" w:firstLineChars="200"/>
        <w:rPr>
          <w:rFonts w:hAnsi="宋体"/>
          <w:color w:val="auto"/>
          <w:sz w:val="21"/>
          <w:szCs w:val="21"/>
        </w:rPr>
      </w:pPr>
      <w:r>
        <w:rPr>
          <w:rFonts w:hint="eastAsia" w:hAnsi="宋体"/>
          <w:color w:val="auto"/>
          <w:sz w:val="21"/>
          <w:szCs w:val="21"/>
        </w:rPr>
        <w:t>附件5－</w:t>
      </w:r>
      <w:r>
        <w:rPr>
          <w:rFonts w:hAnsi="宋体"/>
          <w:color w:val="auto"/>
          <w:sz w:val="21"/>
          <w:szCs w:val="21"/>
        </w:rPr>
        <w:t>1</w:t>
      </w:r>
    </w:p>
    <w:p>
      <w:pPr>
        <w:ind w:firstLine="480" w:firstLineChars="200"/>
        <w:rPr>
          <w:rFonts w:asciiTheme="minorEastAsia" w:hAnsiTheme="minorEastAsia" w:eastAsiaTheme="minorEastAsia" w:cstheme="minorEastAsia"/>
          <w:color w:val="auto"/>
          <w:kern w:val="0"/>
          <w:sz w:val="24"/>
          <w:szCs w:val="28"/>
        </w:rPr>
      </w:pPr>
    </w:p>
    <w:p>
      <w:pPr>
        <w:ind w:firstLine="602" w:firstLineChars="200"/>
        <w:jc w:val="center"/>
        <w:rPr>
          <w:rFonts w:asciiTheme="minorEastAsia" w:hAnsiTheme="minorEastAsia" w:eastAsiaTheme="minorEastAsia" w:cstheme="minorEastAsia"/>
          <w:b/>
          <w:color w:val="auto"/>
          <w:kern w:val="0"/>
          <w:sz w:val="24"/>
          <w:szCs w:val="28"/>
        </w:rPr>
      </w:pPr>
      <w:r>
        <w:rPr>
          <w:rFonts w:hint="eastAsia" w:asciiTheme="minorEastAsia" w:hAnsiTheme="minorEastAsia" w:eastAsiaTheme="minorEastAsia" w:cstheme="minorEastAsia"/>
          <w:b/>
          <w:color w:val="auto"/>
          <w:kern w:val="0"/>
          <w:sz w:val="30"/>
          <w:szCs w:val="30"/>
        </w:rPr>
        <w:t>供应商基本情况表</w:t>
      </w:r>
    </w:p>
    <w:p>
      <w:pPr>
        <w:pStyle w:val="22"/>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8"/>
        </w:rPr>
        <w:t>　</w:t>
      </w:r>
      <w:r>
        <w:rPr>
          <w:rFonts w:hint="eastAsia" w:asciiTheme="minorEastAsia" w:hAnsiTheme="minorEastAsia" w:eastAsiaTheme="minorEastAsia" w:cstheme="minorEastAsia"/>
          <w:color w:val="auto"/>
          <w:sz w:val="24"/>
          <w:szCs w:val="24"/>
        </w:rPr>
        <w:t>供应商：(公章)</w:t>
      </w:r>
    </w:p>
    <w:tbl>
      <w:tblPr>
        <w:tblStyle w:val="4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上年营业收入</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直接控股股东名称</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身份证号码或者统一社会信用代码</w:t>
            </w:r>
          </w:p>
        </w:tc>
      </w:tr>
      <w:tr>
        <w:tblPrEx>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bl>
    <w:p>
      <w:pPr>
        <w:spacing w:line="360" w:lineRule="auto"/>
        <w:ind w:firstLine="420" w:firstLineChars="200"/>
        <w:contextualSpacing/>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注：</w:t>
      </w:r>
    </w:p>
    <w:p>
      <w:pPr>
        <w:spacing w:line="360" w:lineRule="auto"/>
        <w:ind w:firstLine="420" w:firstLineChars="200"/>
        <w:contextualSpacing/>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2.管理关系：是指不具有出资持股关系的其他单位之间存在的管理与被管理关系，如一些上下级关系的事业单位和团体组织。本表所指的管理关系仅限于直接管理关系，不包括间接的管理关系。</w:t>
      </w:r>
    </w:p>
    <w:p>
      <w:pPr>
        <w:pStyle w:val="22"/>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3.供应商不存在直接控股股东或管理关系的，则填“无”。</w:t>
      </w:r>
    </w:p>
    <w:p>
      <w:pPr>
        <w:spacing w:line="360" w:lineRule="auto"/>
        <w:ind w:firstLine="420" w:firstLineChars="200"/>
        <w:rPr>
          <w:rFonts w:asciiTheme="minorEastAsia" w:hAnsiTheme="minorEastAsia" w:eastAsiaTheme="minorEastAsia" w:cstheme="minorEastAsia"/>
          <w:color w:val="auto"/>
          <w:kern w:val="0"/>
          <w:szCs w:val="21"/>
        </w:rPr>
      </w:pPr>
    </w:p>
    <w:p>
      <w:pPr>
        <w:spacing w:line="360" w:lineRule="auto"/>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附件5－2－1</w:t>
      </w:r>
      <w:r>
        <w:rPr>
          <w:rFonts w:hint="eastAsia" w:asciiTheme="minorEastAsia" w:hAnsiTheme="minorEastAsia" w:eastAsiaTheme="minorEastAsia" w:cstheme="minorEastAsia"/>
          <w:color w:val="auto"/>
          <w:kern w:val="0"/>
          <w:sz w:val="24"/>
          <w:szCs w:val="24"/>
        </w:rPr>
        <w:t>供应商有效的新版“营业执照”或《事业单位法人证书》或其他依法成立组织的证明文件（必须具有，如能够在线查询的材料，请提供国家有关部门规定查询的网址链接，</w:t>
      </w:r>
      <w:r>
        <w:rPr>
          <w:rFonts w:hint="eastAsia" w:asciiTheme="minorEastAsia" w:hAnsiTheme="minorEastAsia" w:eastAsiaTheme="minorEastAsia" w:cstheme="minorEastAsia"/>
          <w:b/>
          <w:color w:val="auto"/>
          <w:kern w:val="0"/>
          <w:sz w:val="24"/>
          <w:szCs w:val="24"/>
        </w:rPr>
        <w:t>原件备查</w:t>
      </w:r>
      <w:r>
        <w:rPr>
          <w:rFonts w:hint="eastAsia" w:asciiTheme="minorEastAsia" w:hAnsiTheme="minorEastAsia" w:eastAsiaTheme="minorEastAsia" w:cstheme="minorEastAsia"/>
          <w:color w:val="auto"/>
          <w:kern w:val="0"/>
          <w:sz w:val="24"/>
          <w:szCs w:val="24"/>
        </w:rPr>
        <w:t>）</w:t>
      </w:r>
    </w:p>
    <w:p>
      <w:pPr>
        <w:widowControl/>
        <w:jc w:val="left"/>
        <w:rPr>
          <w:rFonts w:asciiTheme="minorEastAsia" w:hAnsiTheme="minorEastAsia" w:eastAsiaTheme="minorEastAsia" w:cstheme="minorEastAsia"/>
          <w:color w:val="auto"/>
          <w:kern w:val="0"/>
          <w:szCs w:val="21"/>
        </w:rPr>
      </w:pPr>
    </w:p>
    <w:p>
      <w:pPr>
        <w:widowControl/>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注：提供相关注册或登记等依法成立组织的证明文件，其中：供应商是企业（包括合伙企业） </w:t>
      </w:r>
    </w:p>
    <w:p>
      <w:pPr>
        <w:widowControl/>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的，应提供其在工商部门注册的有效“企业法人营业执照”或“营业执照”的复印件；供应商是事 </w:t>
      </w:r>
    </w:p>
    <w:p>
      <w:pPr>
        <w:widowControl/>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业单位的，应提供其有效的“事业单位法人证书”复印件；供应商是非企业专业服务机构的，应提 </w:t>
      </w:r>
    </w:p>
    <w:p>
      <w:pPr>
        <w:widowControl/>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供其有效的执业许可证复印件； </w:t>
      </w:r>
    </w:p>
    <w:p>
      <w:pPr>
        <w:widowControl/>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(示例略) </w:t>
      </w:r>
    </w:p>
    <w:p>
      <w:pPr>
        <w:pStyle w:val="7"/>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Cs w:val="21"/>
        </w:rPr>
      </w:pPr>
    </w:p>
    <w:p>
      <w:pPr>
        <w:pStyle w:val="22"/>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附件5－2－2　财务报告 </w:t>
      </w:r>
    </w:p>
    <w:p>
      <w:pPr>
        <w:pStyle w:val="22"/>
        <w:ind w:firstLine="420" w:firstLineChars="200"/>
        <w:rPr>
          <w:rFonts w:hint="eastAsia" w:asciiTheme="minorEastAsia" w:hAnsiTheme="minorEastAsia" w:eastAsiaTheme="minorEastAsia" w:cstheme="minorEastAsia"/>
          <w:color w:val="auto"/>
          <w:sz w:val="21"/>
          <w:szCs w:val="21"/>
        </w:rPr>
      </w:pPr>
    </w:p>
    <w:p>
      <w:pPr>
        <w:pStyle w:val="22"/>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注：提供上一年度的经会计师事务所审计的财务报告（财务报告须加盖会计师事务所公章及注册会计师签章的复印件）；没有经审计的财务报告的，可以提供基本开户银行出具的资信证明复印件；如供应商为当年新成立公司的，应提供于公司成立之日后的财务报告。其中，上述财务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示例略) </w:t>
      </w:r>
    </w:p>
    <w:p>
      <w:pPr>
        <w:pStyle w:val="22"/>
        <w:ind w:firstLine="420" w:firstLineChars="200"/>
        <w:rPr>
          <w:rFonts w:asciiTheme="minorEastAsia" w:hAnsiTheme="minorEastAsia" w:eastAsiaTheme="minorEastAsia" w:cstheme="minorEastAsia"/>
          <w:color w:val="auto"/>
          <w:sz w:val="21"/>
          <w:szCs w:val="21"/>
        </w:rPr>
      </w:pPr>
    </w:p>
    <w:p>
      <w:pPr>
        <w:widowControl/>
        <w:spacing w:line="360" w:lineRule="auto"/>
        <w:ind w:firstLine="480"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 xml:space="preserve">附件5－2－3  </w:t>
      </w:r>
      <w:r>
        <w:rPr>
          <w:rFonts w:hint="eastAsia" w:asciiTheme="minorEastAsia" w:hAnsiTheme="minorEastAsia" w:eastAsiaTheme="minorEastAsia" w:cstheme="minorEastAsia"/>
          <w:color w:val="auto"/>
          <w:kern w:val="0"/>
          <w:sz w:val="24"/>
          <w:szCs w:val="24"/>
        </w:rPr>
        <w:t xml:space="preserve">依法缴纳税收 </w:t>
      </w:r>
    </w:p>
    <w:p>
      <w:pPr>
        <w:widowControl/>
        <w:ind w:firstLine="420" w:firstLineChars="200"/>
        <w:jc w:val="left"/>
        <w:rPr>
          <w:rFonts w:hint="eastAsia" w:asciiTheme="minorEastAsia" w:hAnsiTheme="minorEastAsia" w:eastAsiaTheme="minorEastAsia" w:cstheme="minorEastAsia"/>
          <w:color w:val="auto"/>
          <w:kern w:val="0"/>
          <w:szCs w:val="21"/>
        </w:rPr>
      </w:pPr>
    </w:p>
    <w:p>
      <w:pPr>
        <w:widowControl/>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注：提供响应文件递交截止之日前半年内供应商连续三个月的依法缴纳税收（不包括个人所得税）的相关材料，如依法免税或不需要纳税的，应提供相应证明材料复印件；供应商无纳税记录或为新成立公司，应提供由供应商所在地主管税务部门出具的《依法纳税或依法免税证明》（复印件）(示例略) </w:t>
      </w:r>
    </w:p>
    <w:p>
      <w:pPr>
        <w:widowControl/>
        <w:spacing w:line="360" w:lineRule="auto"/>
        <w:jc w:val="left"/>
        <w:rPr>
          <w:rFonts w:asciiTheme="minorEastAsia" w:hAnsiTheme="minorEastAsia" w:eastAsiaTheme="minorEastAsia" w:cstheme="minorEastAsia"/>
          <w:color w:val="auto"/>
          <w:szCs w:val="21"/>
        </w:rPr>
      </w:pPr>
    </w:p>
    <w:p>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附件5－2－4 社会保障资金</w:t>
      </w:r>
    </w:p>
    <w:p>
      <w:pPr>
        <w:widowControl/>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注：提供</w:t>
      </w:r>
      <w:r>
        <w:rPr>
          <w:rFonts w:hint="eastAsia" w:asciiTheme="minorEastAsia" w:hAnsiTheme="minorEastAsia" w:eastAsiaTheme="minorEastAsia" w:cstheme="minorEastAsia"/>
          <w:color w:val="auto"/>
          <w:kern w:val="0"/>
          <w:szCs w:val="21"/>
        </w:rPr>
        <w:t>响应文件递交截止之日前半年内供应商连续三个月的依法缴纳社会保障资金的相关材料，如依法不需要缴纳社会保障资金的，则应提供相应证明材料复印件；供应商无缴费记录或为新成立公司，应提供由供应商所在地社保部门出具的《依法缴纳或依法免缴社保费证明》（复印件）；</w:t>
      </w:r>
    </w:p>
    <w:p>
      <w:pPr>
        <w:widowControl/>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(示例略) </w:t>
      </w:r>
    </w:p>
    <w:p>
      <w:pPr>
        <w:widowControl/>
        <w:spacing w:line="360" w:lineRule="auto"/>
        <w:ind w:firstLine="420" w:firstLineChars="200"/>
        <w:jc w:val="left"/>
        <w:rPr>
          <w:rFonts w:asciiTheme="minorEastAsia" w:hAnsiTheme="minorEastAsia" w:eastAsiaTheme="minorEastAsia" w:cstheme="minorEastAsia"/>
          <w:color w:val="auto"/>
          <w:szCs w:val="21"/>
        </w:rPr>
      </w:pPr>
    </w:p>
    <w:p>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附件5－2－5  具备履行合同所必需的设备和专业技术能力的证明材料</w:t>
      </w:r>
      <w:r>
        <w:rPr>
          <w:rFonts w:hint="eastAsia" w:asciiTheme="minorEastAsia" w:hAnsiTheme="minorEastAsia" w:eastAsiaTheme="minorEastAsia" w:cstheme="minorEastAsia"/>
          <w:color w:val="auto"/>
          <w:kern w:val="0"/>
          <w:sz w:val="24"/>
          <w:szCs w:val="24"/>
        </w:rPr>
        <w:t xml:space="preserve">； </w:t>
      </w:r>
    </w:p>
    <w:p>
      <w:pPr>
        <w:widowControl/>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(示例略) </w:t>
      </w:r>
    </w:p>
    <w:p>
      <w:pPr>
        <w:pStyle w:val="7"/>
        <w:ind w:firstLine="420" w:firstLineChars="200"/>
        <w:rPr>
          <w:rFonts w:asciiTheme="minorEastAsia" w:hAnsiTheme="minorEastAsia" w:eastAsiaTheme="minorEastAsia" w:cstheme="minorEastAsia"/>
          <w:b w:val="0"/>
          <w:bCs w:val="0"/>
          <w:color w:val="auto"/>
          <w:kern w:val="0"/>
          <w:sz w:val="21"/>
          <w:szCs w:val="21"/>
        </w:rPr>
      </w:pPr>
    </w:p>
    <w:p>
      <w:pPr>
        <w:rPr>
          <w:rFonts w:asciiTheme="minorEastAsia" w:hAnsiTheme="minorEastAsia" w:eastAsiaTheme="minorEastAsia" w:cstheme="minorEastAsia"/>
          <w:color w:val="auto"/>
          <w:szCs w:val="21"/>
        </w:rPr>
      </w:pPr>
    </w:p>
    <w:p>
      <w:pPr>
        <w:pStyle w:val="7"/>
        <w:ind w:firstLine="480" w:firstLineChars="200"/>
        <w:rPr>
          <w:rFonts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附件5－2－6  供应商参加采购活动前三年内在经营活动中没有重大违法记录的书面声明</w:t>
      </w:r>
    </w:p>
    <w:p>
      <w:pPr>
        <w:rPr>
          <w:rFonts w:ascii="宋体" w:hAnsi="宋体" w:cs="宋体"/>
          <w:color w:val="auto"/>
          <w:kern w:val="0"/>
          <w:sz w:val="20"/>
          <w:szCs w:val="20"/>
        </w:rPr>
      </w:pPr>
    </w:p>
    <w:p>
      <w:pPr>
        <w:pStyle w:val="8"/>
        <w:spacing w:before="0" w:after="0"/>
        <w:jc w:val="center"/>
        <w:rPr>
          <w:rFonts w:ascii="宋体" w:hAnsi="宋体" w:cs="Calibri"/>
          <w:color w:val="auto"/>
          <w:sz w:val="28"/>
          <w:szCs w:val="22"/>
        </w:rPr>
      </w:pPr>
      <w:r>
        <w:rPr>
          <w:rFonts w:hint="eastAsia" w:ascii="宋体" w:hAnsi="宋体" w:cs="Calibri"/>
          <w:color w:val="auto"/>
          <w:sz w:val="28"/>
          <w:szCs w:val="22"/>
        </w:rPr>
        <w:t>参加采购活动前三年内在经营活动中</w:t>
      </w:r>
    </w:p>
    <w:p>
      <w:pPr>
        <w:pStyle w:val="8"/>
        <w:spacing w:before="0" w:after="0"/>
        <w:jc w:val="center"/>
        <w:rPr>
          <w:rFonts w:ascii="宋体" w:hAnsi="宋体" w:cs="Calibri"/>
          <w:color w:val="auto"/>
          <w:sz w:val="28"/>
          <w:szCs w:val="22"/>
        </w:rPr>
      </w:pPr>
      <w:r>
        <w:rPr>
          <w:rFonts w:hint="eastAsia" w:ascii="宋体" w:hAnsi="宋体" w:cs="Calibri"/>
          <w:color w:val="auto"/>
          <w:sz w:val="28"/>
          <w:szCs w:val="22"/>
        </w:rPr>
        <w:t>没有重大违法记录的书面声明</w:t>
      </w:r>
    </w:p>
    <w:p>
      <w:pPr>
        <w:rPr>
          <w:color w:val="auto"/>
        </w:rPr>
      </w:pPr>
    </w:p>
    <w:p>
      <w:pPr>
        <w:pStyle w:val="22"/>
        <w:spacing w:line="44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w:t>
      </w:r>
    </w:p>
    <w:p>
      <w:pPr>
        <w:widowControl/>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我单位在参加采购活动前三年内在经营活动中没有重大违法记录，包括：</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我单位或者其法定代表人（负责人）、董事、监事、高级管理人员未因经营活动中的违法行为受到刑事处罚或者责令停产停业、吊销许可证或者执照、较大数额罚款等行政处罚。</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特此声明！</w:t>
      </w:r>
    </w:p>
    <w:p>
      <w:pPr>
        <w:pStyle w:val="22"/>
        <w:spacing w:line="440" w:lineRule="exact"/>
        <w:ind w:firstLine="420" w:firstLineChars="200"/>
        <w:rPr>
          <w:rFonts w:asciiTheme="minorEastAsia" w:hAnsiTheme="minorEastAsia" w:eastAsiaTheme="minorEastAsia" w:cstheme="minorEastAsia"/>
          <w:color w:val="auto"/>
          <w:sz w:val="21"/>
          <w:szCs w:val="21"/>
        </w:rPr>
      </w:pP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供应商名称(公章)：____________</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法定代表人（负责人）或其授权代表(签字或盖章)：____________</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日期：______年____月____日</w:t>
      </w:r>
    </w:p>
    <w:p>
      <w:pPr>
        <w:pStyle w:val="22"/>
        <w:spacing w:line="440" w:lineRule="exact"/>
        <w:ind w:firstLine="420" w:firstLineChars="200"/>
        <w:rPr>
          <w:rFonts w:asciiTheme="minorEastAsia" w:hAnsiTheme="minorEastAsia" w:eastAsiaTheme="minorEastAsia" w:cstheme="minorEastAsia"/>
          <w:color w:val="auto"/>
          <w:sz w:val="21"/>
          <w:szCs w:val="21"/>
        </w:rPr>
      </w:pPr>
    </w:p>
    <w:p>
      <w:pPr>
        <w:rPr>
          <w:color w:val="auto"/>
          <w:szCs w:val="21"/>
        </w:rPr>
      </w:pPr>
    </w:p>
    <w:p>
      <w:pPr>
        <w:pStyle w:val="17"/>
        <w:rPr>
          <w:color w:val="auto"/>
          <w:szCs w:val="21"/>
        </w:rPr>
      </w:pPr>
    </w:p>
    <w:p>
      <w:pPr>
        <w:rPr>
          <w:color w:val="auto"/>
          <w:szCs w:val="21"/>
        </w:rPr>
      </w:pPr>
    </w:p>
    <w:p>
      <w:pPr>
        <w:pStyle w:val="17"/>
        <w:rPr>
          <w:color w:val="auto"/>
          <w:szCs w:val="21"/>
        </w:rPr>
      </w:pPr>
    </w:p>
    <w:p>
      <w:pPr>
        <w:rPr>
          <w:color w:val="auto"/>
          <w:szCs w:val="21"/>
        </w:rPr>
      </w:pPr>
    </w:p>
    <w:p>
      <w:pPr>
        <w:rPr>
          <w:rFonts w:asciiTheme="minorEastAsia" w:hAnsiTheme="minorEastAsia" w:eastAsiaTheme="minorEastAsia" w:cstheme="minorEastAsia"/>
          <w:color w:val="auto"/>
          <w:kern w:val="0"/>
          <w:szCs w:val="21"/>
        </w:rPr>
      </w:pPr>
    </w:p>
    <w:p>
      <w:pPr>
        <w:rPr>
          <w:rFonts w:asciiTheme="minorEastAsia" w:hAnsiTheme="minorEastAsia" w:eastAsiaTheme="minorEastAsia" w:cstheme="minorEastAsia"/>
          <w:color w:val="auto"/>
          <w:kern w:val="0"/>
          <w:szCs w:val="21"/>
        </w:rPr>
      </w:pPr>
    </w:p>
    <w:p>
      <w:pPr>
        <w:pStyle w:val="17"/>
        <w:rPr>
          <w:rFonts w:asciiTheme="minorEastAsia" w:hAnsiTheme="minorEastAsia" w:eastAsiaTheme="minorEastAsia" w:cstheme="minorEastAsia"/>
          <w:color w:val="auto"/>
          <w:kern w:val="0"/>
          <w:szCs w:val="21"/>
        </w:rPr>
      </w:pPr>
    </w:p>
    <w:p>
      <w:pPr>
        <w:spacing w:line="360" w:lineRule="auto"/>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六、磋商须知前附表要求供应商须提供的其他资料。</w:t>
      </w:r>
    </w:p>
    <w:p>
      <w:pPr>
        <w:pStyle w:val="17"/>
        <w:rPr>
          <w:rFonts w:ascii="宋体" w:hAnsi="宋体" w:cs="宋体"/>
          <w:b/>
          <w:color w:val="auto"/>
          <w:sz w:val="24"/>
        </w:rPr>
      </w:pPr>
    </w:p>
    <w:p>
      <w:pPr>
        <w:pStyle w:val="17"/>
        <w:rPr>
          <w:rFonts w:ascii="宋体" w:hAnsi="宋体" w:cs="宋体"/>
          <w:b/>
          <w:color w:val="auto"/>
          <w:sz w:val="24"/>
        </w:rPr>
      </w:pPr>
    </w:p>
    <w:p>
      <w:pPr>
        <w:pStyle w:val="17"/>
        <w:rPr>
          <w:rFonts w:ascii="宋体" w:hAnsi="宋体" w:cs="宋体"/>
          <w:b/>
          <w:color w:val="auto"/>
          <w:sz w:val="24"/>
        </w:rPr>
      </w:pPr>
      <w:r>
        <w:rPr>
          <w:rFonts w:hint="eastAsia" w:ascii="宋体" w:hAnsi="宋体" w:cs="宋体"/>
          <w:b/>
          <w:color w:val="auto"/>
          <w:sz w:val="24"/>
        </w:rPr>
        <w:t>七、中小企业声明函：</w:t>
      </w:r>
    </w:p>
    <w:p>
      <w:pPr>
        <w:spacing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中小企业声明函（货物）</w:t>
      </w:r>
    </w:p>
    <w:p>
      <w:pPr>
        <w:pStyle w:val="22"/>
        <w:spacing w:line="4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u w:val="single"/>
        </w:rPr>
        <w:t>（单位名称）</w:t>
      </w:r>
      <w:r>
        <w:rPr>
          <w:rFonts w:hint="eastAsia" w:asciiTheme="minorEastAsia" w:hAnsiTheme="minorEastAsia" w:eastAsiaTheme="minorEastAsia" w:cstheme="minorEastAsia"/>
          <w:color w:val="auto"/>
          <w:sz w:val="21"/>
          <w:szCs w:val="21"/>
        </w:rPr>
        <w:t xml:space="preserve">的 </w:t>
      </w:r>
      <w:r>
        <w:rPr>
          <w:rFonts w:hint="eastAsia" w:asciiTheme="minorEastAsia" w:hAnsiTheme="minorEastAsia" w:eastAsiaTheme="minorEastAsia" w:cstheme="minorEastAsia"/>
          <w:color w:val="auto"/>
          <w:sz w:val="21"/>
          <w:szCs w:val="21"/>
          <w:u w:val="single"/>
        </w:rPr>
        <w:t>（项目名称）</w:t>
      </w:r>
      <w:r>
        <w:rPr>
          <w:rFonts w:hint="eastAsia" w:asciiTheme="minorEastAsia" w:hAnsiTheme="minorEastAsia" w:eastAsiaTheme="minorEastAsia" w:cstheme="minorEastAsia"/>
          <w:color w:val="auto"/>
          <w:sz w:val="21"/>
          <w:szCs w:val="21"/>
        </w:rPr>
        <w:t>采购活动，提供的货物全部由符合政策要求的中小企业制造。相关企业（含联合体中的中小企业、签订分包意向协议的中小企业）的具体情况如下：</w:t>
      </w:r>
    </w:p>
    <w:p>
      <w:pPr>
        <w:pStyle w:val="22"/>
        <w:spacing w:line="4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u w:val="single"/>
        </w:rPr>
        <w:t xml:space="preserve">通信平台扩容（标的名称） </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软件和信息技术服务业（</w:t>
      </w:r>
      <w:r>
        <w:rPr>
          <w:rFonts w:hint="eastAsia" w:asciiTheme="minorEastAsia" w:hAnsiTheme="minorEastAsia" w:eastAsiaTheme="minorEastAsia" w:cstheme="minorEastAsia"/>
          <w:color w:val="auto"/>
          <w:sz w:val="21"/>
          <w:szCs w:val="21"/>
          <w:u w:val="single"/>
          <w:lang w:eastAsia="zh-CN"/>
        </w:rPr>
        <w:t>磋商</w:t>
      </w:r>
      <w:r>
        <w:rPr>
          <w:rFonts w:hint="eastAsia" w:asciiTheme="minorEastAsia" w:hAnsiTheme="minorEastAsia" w:eastAsiaTheme="minorEastAsia" w:cstheme="minorEastAsia"/>
          <w:color w:val="auto"/>
          <w:sz w:val="21"/>
          <w:szCs w:val="21"/>
          <w:u w:val="single"/>
        </w:rPr>
        <w:t xml:space="preserve">文件中明确的所属行业） </w:t>
      </w:r>
      <w:r>
        <w:rPr>
          <w:rFonts w:hint="eastAsia" w:asciiTheme="minorEastAsia" w:hAnsiTheme="minorEastAsia" w:eastAsiaTheme="minorEastAsia" w:cstheme="minorEastAsia"/>
          <w:color w:val="auto"/>
          <w:sz w:val="21"/>
          <w:szCs w:val="21"/>
        </w:rPr>
        <w:t>；制造商为</w:t>
      </w:r>
      <w:r>
        <w:rPr>
          <w:rFonts w:hint="eastAsia" w:asciiTheme="minorEastAsia" w:hAnsiTheme="minorEastAsia" w:eastAsiaTheme="minorEastAsia" w:cstheme="minorEastAsia"/>
          <w:color w:val="auto"/>
          <w:sz w:val="21"/>
          <w:szCs w:val="21"/>
          <w:u w:val="single"/>
        </w:rPr>
        <w:t xml:space="preserve">（企业名称） </w:t>
      </w:r>
      <w:r>
        <w:rPr>
          <w:rFonts w:hint="eastAsia" w:asciiTheme="minorEastAsia" w:hAnsiTheme="minorEastAsia" w:eastAsiaTheme="minorEastAsia" w:cstheme="minorEastAsia"/>
          <w:color w:val="auto"/>
          <w:sz w:val="21"/>
          <w:szCs w:val="21"/>
        </w:rPr>
        <w:t>，从业人员</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人，营业收入为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万元，资产总额为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万元，属于</w:t>
      </w:r>
      <w:r>
        <w:rPr>
          <w:rFonts w:hint="eastAsia" w:asciiTheme="minorEastAsia" w:hAnsiTheme="minorEastAsia" w:eastAsiaTheme="minorEastAsia" w:cstheme="minorEastAsia"/>
          <w:color w:val="auto"/>
          <w:sz w:val="21"/>
          <w:szCs w:val="21"/>
          <w:u w:val="single"/>
        </w:rPr>
        <w:t xml:space="preserve">（中型企业、小型企业、微型企业） </w:t>
      </w:r>
      <w:r>
        <w:rPr>
          <w:rFonts w:hint="eastAsia" w:asciiTheme="minorEastAsia" w:hAnsiTheme="minorEastAsia" w:eastAsiaTheme="minorEastAsia" w:cstheme="minorEastAsia"/>
          <w:color w:val="auto"/>
          <w:sz w:val="21"/>
          <w:szCs w:val="21"/>
        </w:rPr>
        <w:t>；</w:t>
      </w:r>
    </w:p>
    <w:p>
      <w:pPr>
        <w:pStyle w:val="22"/>
        <w:spacing w:line="4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u w:val="single"/>
        </w:rPr>
        <w:t xml:space="preserve">（标的名称） </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lang w:eastAsia="zh-CN"/>
        </w:rPr>
        <w:t>磋商</w:t>
      </w:r>
      <w:r>
        <w:rPr>
          <w:rFonts w:hint="eastAsia" w:asciiTheme="minorEastAsia" w:hAnsiTheme="minorEastAsia" w:eastAsiaTheme="minorEastAsia" w:cstheme="minorEastAsia"/>
          <w:color w:val="auto"/>
          <w:sz w:val="21"/>
          <w:szCs w:val="21"/>
          <w:u w:val="single"/>
        </w:rPr>
        <w:t xml:space="preserve">文件中明确的所属行业） </w:t>
      </w:r>
      <w:r>
        <w:rPr>
          <w:rFonts w:hint="eastAsia" w:asciiTheme="minorEastAsia" w:hAnsiTheme="minorEastAsia" w:eastAsiaTheme="minorEastAsia" w:cstheme="minorEastAsia"/>
          <w:color w:val="auto"/>
          <w:sz w:val="21"/>
          <w:szCs w:val="21"/>
        </w:rPr>
        <w:t>；制造商为</w:t>
      </w:r>
      <w:r>
        <w:rPr>
          <w:rFonts w:hint="eastAsia" w:asciiTheme="minorEastAsia" w:hAnsiTheme="minorEastAsia" w:eastAsiaTheme="minorEastAsia" w:cstheme="minorEastAsia"/>
          <w:color w:val="auto"/>
          <w:sz w:val="21"/>
          <w:szCs w:val="21"/>
          <w:u w:val="single"/>
        </w:rPr>
        <w:t xml:space="preserve">（企业名称） </w:t>
      </w:r>
      <w:r>
        <w:rPr>
          <w:rFonts w:hint="eastAsia" w:asciiTheme="minorEastAsia" w:hAnsiTheme="minorEastAsia" w:eastAsiaTheme="minorEastAsia" w:cstheme="minorEastAsia"/>
          <w:color w:val="auto"/>
          <w:sz w:val="21"/>
          <w:szCs w:val="21"/>
        </w:rPr>
        <w:t>，从业人员</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人，营业收入为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万元，资产总额为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万元，属于</w:t>
      </w:r>
      <w:r>
        <w:rPr>
          <w:rFonts w:hint="eastAsia" w:asciiTheme="minorEastAsia" w:hAnsiTheme="minorEastAsia" w:eastAsiaTheme="minorEastAsia" w:cstheme="minorEastAsia"/>
          <w:color w:val="auto"/>
          <w:sz w:val="21"/>
          <w:szCs w:val="21"/>
          <w:u w:val="single"/>
        </w:rPr>
        <w:t xml:space="preserve">（中型企业、小型企业、微型企业） </w:t>
      </w:r>
      <w:r>
        <w:rPr>
          <w:rFonts w:hint="eastAsia" w:asciiTheme="minorEastAsia" w:hAnsiTheme="minorEastAsia" w:eastAsiaTheme="minorEastAsia" w:cstheme="minorEastAsia"/>
          <w:color w:val="auto"/>
          <w:sz w:val="21"/>
          <w:szCs w:val="21"/>
        </w:rPr>
        <w:t>；</w:t>
      </w:r>
    </w:p>
    <w:p>
      <w:pPr>
        <w:spacing w:line="460" w:lineRule="exact"/>
        <w:ind w:firstLine="525" w:firstLineChars="25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p>
      <w:pPr>
        <w:spacing w:line="460" w:lineRule="exact"/>
        <w:ind w:firstLine="525" w:firstLineChars="25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以上企业，不属于大企业的分支机构，不存在控股股东为大企业的情形，也不存在与大企业的负责人为同一人的情形。</w:t>
      </w:r>
    </w:p>
    <w:p>
      <w:pPr>
        <w:spacing w:line="4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本企业对上述声明内容的真实性负责。如有虚假，将依法承担相应责任。</w:t>
      </w:r>
    </w:p>
    <w:p>
      <w:pPr>
        <w:spacing w:line="460" w:lineRule="exact"/>
        <w:ind w:firstLine="4410" w:firstLineChars="2100"/>
        <w:jc w:val="left"/>
        <w:rPr>
          <w:rFonts w:asciiTheme="minorEastAsia" w:hAnsiTheme="minorEastAsia" w:eastAsiaTheme="minorEastAsia" w:cstheme="minorEastAsia"/>
          <w:color w:val="auto"/>
          <w:sz w:val="21"/>
          <w:szCs w:val="21"/>
        </w:rPr>
      </w:pPr>
    </w:p>
    <w:p>
      <w:pPr>
        <w:spacing w:line="460" w:lineRule="exact"/>
        <w:ind w:firstLine="4410" w:firstLineChars="21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企业名称（盖章）：</w:t>
      </w:r>
    </w:p>
    <w:p>
      <w:pPr>
        <w:spacing w:line="460" w:lineRule="exact"/>
        <w:ind w:firstLine="4410" w:firstLineChars="21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w:t>
      </w:r>
    </w:p>
    <w:p>
      <w:pP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pPr>
        <w:spacing w:line="360" w:lineRule="auto"/>
        <w:ind w:firstLine="405"/>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1.从业人员、营业收入、资产总额填报上一年度数据，无上一年度数据的新成立企业可不填报。</w:t>
      </w:r>
    </w:p>
    <w:p>
      <w:pP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2.中小企业划型应按《关于印发中小企业划型标准规定的通知》（工信部联企业〔2011〕300号）规定的划型标准划分。</w:t>
      </w:r>
    </w:p>
    <w:p>
      <w:pPr>
        <w:spacing w:line="360" w:lineRule="auto"/>
        <w:ind w:firstLine="420" w:firstLineChars="200"/>
        <w:rPr>
          <w:rFonts w:asciiTheme="minorEastAsia" w:hAnsiTheme="minorEastAsia" w:eastAsiaTheme="minorEastAsia" w:cstheme="minorEastAsia"/>
          <w:b/>
          <w:bCs/>
          <w:color w:val="auto"/>
          <w:sz w:val="21"/>
          <w:szCs w:val="21"/>
          <w:u w:val="single"/>
        </w:rPr>
      </w:pPr>
      <w:r>
        <w:rPr>
          <w:rFonts w:hint="eastAsia" w:asciiTheme="minorEastAsia" w:hAnsiTheme="minorEastAsia" w:eastAsiaTheme="minorEastAsia" w:cstheme="minorEastAsia"/>
          <w:color w:val="auto"/>
          <w:sz w:val="21"/>
          <w:szCs w:val="21"/>
        </w:rPr>
        <w:t>3.本项目采购标的对应的中小企业划分标准所属行业为</w:t>
      </w:r>
      <w:r>
        <w:rPr>
          <w:rFonts w:hint="eastAsia" w:asciiTheme="minorEastAsia" w:hAnsiTheme="minorEastAsia" w:eastAsiaTheme="minorEastAsia" w:cstheme="minorEastAsia"/>
          <w:b/>
          <w:bCs/>
          <w:color w:val="auto"/>
          <w:sz w:val="21"/>
          <w:szCs w:val="21"/>
          <w:u w:val="single"/>
        </w:rPr>
        <w:t>软件和信息技术服务业</w:t>
      </w:r>
      <w:r>
        <w:rPr>
          <w:rFonts w:hint="eastAsia" w:asciiTheme="minorEastAsia" w:hAnsiTheme="minorEastAsia" w:eastAsiaTheme="minorEastAsia" w:cstheme="minorEastAsia"/>
          <w:color w:val="auto"/>
          <w:sz w:val="21"/>
          <w:szCs w:val="21"/>
        </w:rPr>
        <w:t>。</w:t>
      </w:r>
    </w:p>
    <w:p>
      <w:pPr>
        <w:spacing w:line="528" w:lineRule="exact"/>
        <w:jc w:val="center"/>
        <w:rPr>
          <w:rFonts w:hint="eastAsia" w:ascii="宋体" w:hAnsi="宋体" w:cs="宋体"/>
          <w:color w:val="auto"/>
          <w:sz w:val="28"/>
          <w:szCs w:val="28"/>
        </w:rPr>
      </w:pPr>
    </w:p>
    <w:p>
      <w:pPr>
        <w:spacing w:line="528" w:lineRule="exact"/>
        <w:jc w:val="center"/>
        <w:rPr>
          <w:rFonts w:hint="eastAsia" w:ascii="宋体" w:hAnsi="宋体" w:cs="宋体"/>
          <w:color w:val="auto"/>
          <w:sz w:val="28"/>
          <w:szCs w:val="28"/>
        </w:rPr>
      </w:pPr>
    </w:p>
    <w:p>
      <w:pPr>
        <w:spacing w:line="528" w:lineRule="exact"/>
        <w:jc w:val="center"/>
        <w:rPr>
          <w:rFonts w:hint="eastAsia" w:ascii="宋体" w:hAnsi="宋体" w:cs="宋体"/>
          <w:color w:val="auto"/>
          <w:sz w:val="28"/>
          <w:szCs w:val="28"/>
        </w:rPr>
      </w:pPr>
    </w:p>
    <w:p>
      <w:pPr>
        <w:spacing w:line="528" w:lineRule="exact"/>
        <w:jc w:val="center"/>
        <w:rPr>
          <w:rFonts w:ascii="宋体" w:hAnsi="宋体" w:cs="宋体"/>
          <w:color w:val="auto"/>
          <w:sz w:val="28"/>
          <w:szCs w:val="28"/>
        </w:rPr>
      </w:pPr>
      <w:r>
        <w:rPr>
          <w:rFonts w:hint="eastAsia" w:ascii="宋体" w:hAnsi="宋体" w:cs="宋体"/>
          <w:color w:val="auto"/>
          <w:sz w:val="28"/>
          <w:szCs w:val="28"/>
        </w:rPr>
        <w:t>中小微企业划型标准</w:t>
      </w:r>
    </w:p>
    <w:tbl>
      <w:tblPr>
        <w:tblStyle w:val="46"/>
        <w:tblW w:w="9433" w:type="dxa"/>
        <w:jc w:val="center"/>
        <w:tblLayout w:type="fixed"/>
        <w:tblCellMar>
          <w:top w:w="0" w:type="dxa"/>
          <w:left w:w="108" w:type="dxa"/>
          <w:bottom w:w="0" w:type="dxa"/>
          <w:right w:w="108" w:type="dxa"/>
        </w:tblCellMar>
      </w:tblPr>
      <w:tblGrid>
        <w:gridCol w:w="1712"/>
        <w:gridCol w:w="1737"/>
        <w:gridCol w:w="1092"/>
        <w:gridCol w:w="1916"/>
        <w:gridCol w:w="1805"/>
        <w:gridCol w:w="1171"/>
      </w:tblGrid>
      <w:tr>
        <w:tblPrEx>
          <w:tblCellMar>
            <w:top w:w="0" w:type="dxa"/>
            <w:left w:w="108" w:type="dxa"/>
            <w:bottom w:w="0" w:type="dxa"/>
            <w:right w:w="108" w:type="dxa"/>
          </w:tblCellMar>
        </w:tblPrEx>
        <w:trPr>
          <w:trHeight w:val="340"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行业名称</w:t>
            </w:r>
          </w:p>
        </w:tc>
        <w:tc>
          <w:tcPr>
            <w:tcW w:w="17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指标名称</w:t>
            </w:r>
          </w:p>
        </w:tc>
        <w:tc>
          <w:tcPr>
            <w:tcW w:w="10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计量单位</w:t>
            </w:r>
          </w:p>
        </w:tc>
        <w:tc>
          <w:tcPr>
            <w:tcW w:w="1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中型</w:t>
            </w:r>
          </w:p>
        </w:tc>
        <w:tc>
          <w:tcPr>
            <w:tcW w:w="18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小型</w:t>
            </w:r>
          </w:p>
        </w:tc>
        <w:tc>
          <w:tcPr>
            <w:tcW w:w="11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微型</w:t>
            </w:r>
          </w:p>
        </w:tc>
      </w:tr>
      <w:tr>
        <w:tblPrEx>
          <w:tblCellMar>
            <w:top w:w="0" w:type="dxa"/>
            <w:left w:w="108" w:type="dxa"/>
            <w:bottom w:w="0" w:type="dxa"/>
            <w:right w:w="108" w:type="dxa"/>
          </w:tblCellMar>
        </w:tblPrEx>
        <w:trPr>
          <w:trHeight w:val="340" w:hRule="atLeast"/>
          <w:jc w:val="center"/>
        </w:trPr>
        <w:tc>
          <w:tcPr>
            <w:tcW w:w="1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农、林、牧、渔</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500≤Y＜20000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50≤Y＜500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Y＜50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工业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20≤X＜300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2000≤Y＜40000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300≤Y＜2000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Y＜300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建筑业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6000≤Y＜80000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300≤Y＜6000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Y＜300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资产总额（Z）</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5000≤Z＜80000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300≤Z＜5000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Z＜300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批发业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20≤X＜200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5≤X＜20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X＜5</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5000≤Y＜40000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1000≤Y＜5000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Y＜1000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零售业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50≤X＜300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10≤X＜50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500≤Y＜20000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100≤Y＜500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交通运输业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20≤X＜300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3000≤Y＜30000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200≤Y＜3000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Y＜200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仓储业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100≤X＜200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20≤X＜100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1000≤Y＜30000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100≤Y＜1000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邮政业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20≤X＜300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2000≤Y＜30000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100≤Y＜2000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住宿业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2000≤Y＜10000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100≤Y＜2000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餐饮业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2000≤Y＜10000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100≤Y＜2000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信息传输业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100≤X＜2000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1000≤Y＜100000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100≤Y＜1000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软件和信息技术服务业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1000≤Y＜10000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50≤Y＜1000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Y＜50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房地产开发经营</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1000≤Y＜200000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100≤X＜1000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X＜100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资产总额（Z）</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5000≤Z＜10000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2000≤Y＜5000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Y＜2000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物业管理</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X＜100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1000≤Y＜5000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500≤Y＜1000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Y＜500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租赁和商务服务业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资产总额（Z）</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8000≤Z＜120000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100≤Z＜8000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340" w:hRule="atLeast"/>
          <w:jc w:val="center"/>
        </w:trPr>
        <w:tc>
          <w:tcPr>
            <w:tcW w:w="1712"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其他未列明行业</w:t>
            </w:r>
          </w:p>
        </w:tc>
        <w:tc>
          <w:tcPr>
            <w:tcW w:w="173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10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1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bl>
    <w:p>
      <w:pPr>
        <w:spacing w:line="360" w:lineRule="auto"/>
        <w:ind w:firstLine="525" w:firstLineChars="250"/>
        <w:rPr>
          <w:rFonts w:ascii="宋体" w:hAnsi="宋体" w:cs="宋体"/>
          <w:color w:val="auto"/>
        </w:rPr>
        <w:sectPr>
          <w:footerReference r:id="rId6" w:type="default"/>
          <w:pgSz w:w="11906" w:h="16838"/>
          <w:pgMar w:top="1417" w:right="1417" w:bottom="1417" w:left="1417" w:header="720" w:footer="720" w:gutter="0"/>
          <w:pgNumType w:start="1"/>
          <w:cols w:space="720" w:num="1"/>
          <w:docGrid w:type="lines" w:linePitch="331" w:charSpace="0"/>
        </w:sect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rPr>
          <w:color w:val="auto"/>
        </w:rPr>
      </w:pPr>
    </w:p>
    <w:p>
      <w:pPr>
        <w:overflowPunct w:val="0"/>
        <w:spacing w:line="360" w:lineRule="auto"/>
        <w:jc w:val="left"/>
        <w:rPr>
          <w:rFonts w:ascii="宋体" w:hAnsi="宋体" w:cs="宋体"/>
          <w:b/>
          <w:color w:val="auto"/>
          <w:sz w:val="24"/>
        </w:rPr>
      </w:pPr>
      <w:r>
        <w:rPr>
          <w:rFonts w:hint="eastAsia" w:ascii="宋体" w:hAnsi="宋体" w:cs="宋体"/>
          <w:b/>
          <w:color w:val="auto"/>
          <w:sz w:val="24"/>
        </w:rPr>
        <w:t>八、残疾人福利性单位声明函：</w:t>
      </w:r>
    </w:p>
    <w:p>
      <w:pPr>
        <w:rPr>
          <w:rFonts w:ascii="宋体" w:hAnsi="宋体" w:cs="宋体"/>
          <w:color w:val="auto"/>
          <w:sz w:val="24"/>
        </w:rPr>
      </w:pPr>
    </w:p>
    <w:p>
      <w:pPr>
        <w:rPr>
          <w:color w:val="auto"/>
        </w:rPr>
      </w:pPr>
    </w:p>
    <w:p>
      <w:pPr>
        <w:overflowPunct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残疾人福利性单位声明函</w:t>
      </w:r>
    </w:p>
    <w:p>
      <w:pPr>
        <w:overflowPunct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本单位对上述声明的真实性负责。如有虚假，将依法承担相应责任。</w:t>
      </w:r>
    </w:p>
    <w:p>
      <w:pPr>
        <w:overflowPunct w:val="0"/>
        <w:spacing w:line="360" w:lineRule="auto"/>
        <w:ind w:firstLine="420" w:firstLineChars="200"/>
        <w:rPr>
          <w:rFonts w:ascii="宋体" w:hAnsi="宋体" w:cs="宋体"/>
          <w:color w:val="auto"/>
          <w:sz w:val="21"/>
          <w:szCs w:val="21"/>
        </w:rPr>
      </w:pPr>
    </w:p>
    <w:p>
      <w:pPr>
        <w:overflowPunct w:val="0"/>
        <w:spacing w:line="360" w:lineRule="auto"/>
        <w:ind w:firstLine="5880" w:firstLineChars="2800"/>
        <w:rPr>
          <w:rFonts w:ascii="宋体" w:hAnsi="宋体" w:cs="宋体"/>
          <w:color w:val="auto"/>
          <w:sz w:val="21"/>
          <w:szCs w:val="21"/>
        </w:rPr>
      </w:pPr>
      <w:r>
        <w:rPr>
          <w:rFonts w:hint="eastAsia" w:ascii="宋体" w:hAnsi="宋体" w:cs="宋体"/>
          <w:color w:val="auto"/>
          <w:sz w:val="21"/>
          <w:szCs w:val="21"/>
        </w:rPr>
        <w:t xml:space="preserve">单位名称（盖章）：             </w:t>
      </w:r>
    </w:p>
    <w:p>
      <w:pPr>
        <w:overflowPunct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                                                       日  期：             </w:t>
      </w:r>
    </w:p>
    <w:p>
      <w:pPr>
        <w:overflowPunct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备注：</w:t>
      </w:r>
    </w:p>
    <w:p>
      <w:pPr>
        <w:overflowPunct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1.填写前请认真阅读财库〔2017〕141号《三部门联合发布关于促进残疾人就业政府采购政策的通知》相关规定，并对声明的真实性负责。</w:t>
      </w:r>
    </w:p>
    <w:p>
      <w:pPr>
        <w:overflowPunct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2.成交供应商为残疾人福利性单位的，成交结果将同时公告其《残疾人福利性单位声明函》，接受社会监督。</w:t>
      </w:r>
    </w:p>
    <w:p>
      <w:pPr>
        <w:spacing w:line="360" w:lineRule="auto"/>
        <w:rPr>
          <w:rFonts w:ascii="宋体" w:hAnsi="宋体" w:cs="宋体"/>
          <w:color w:val="auto"/>
          <w:sz w:val="21"/>
          <w:szCs w:val="21"/>
        </w:rPr>
      </w:pPr>
      <w:r>
        <w:rPr>
          <w:rFonts w:hint="eastAsia" w:ascii="宋体" w:hAnsi="宋体" w:cs="宋体"/>
          <w:color w:val="auto"/>
          <w:sz w:val="21"/>
          <w:szCs w:val="21"/>
        </w:rPr>
        <w:br w:type="page"/>
      </w:r>
    </w:p>
    <w:p>
      <w:pPr>
        <w:pStyle w:val="22"/>
        <w:ind w:firstLine="562" w:firstLineChars="200"/>
        <w:rPr>
          <w:rFonts w:hAnsi="宋体"/>
          <w:b/>
          <w:bCs/>
          <w:color w:val="auto"/>
          <w:sz w:val="28"/>
          <w:szCs w:val="28"/>
        </w:rPr>
      </w:pPr>
      <w:r>
        <w:rPr>
          <w:rFonts w:hint="eastAsia" w:hAnsi="宋体"/>
          <w:b/>
          <w:bCs/>
          <w:color w:val="auto"/>
          <w:sz w:val="28"/>
          <w:szCs w:val="28"/>
        </w:rPr>
        <w:t>九、监狱企业证明材料文件</w:t>
      </w:r>
    </w:p>
    <w:p>
      <w:pPr>
        <w:spacing w:line="360" w:lineRule="auto"/>
        <w:rPr>
          <w:rFonts w:asciiTheme="minorEastAsia" w:hAnsiTheme="minorEastAsia" w:eastAsiaTheme="minorEastAsia" w:cstheme="minorEastAsia"/>
          <w:color w:val="auto"/>
          <w:kern w:val="0"/>
          <w:sz w:val="24"/>
        </w:rPr>
      </w:pPr>
    </w:p>
    <w:p>
      <w:pPr>
        <w:pStyle w:val="22"/>
        <w:spacing w:line="440" w:lineRule="exact"/>
        <w:ind w:firstLine="420" w:firstLineChars="200"/>
        <w:rPr>
          <w:rFonts w:hAnsi="宋体"/>
          <w:color w:val="auto"/>
          <w:sz w:val="21"/>
          <w:szCs w:val="21"/>
        </w:rPr>
      </w:pPr>
      <w:r>
        <w:rPr>
          <w:rFonts w:hint="eastAsia" w:hAnsi="宋体"/>
          <w:color w:val="auto"/>
          <w:sz w:val="21"/>
          <w:szCs w:val="21"/>
        </w:rPr>
        <w:t>说明：</w:t>
      </w:r>
    </w:p>
    <w:p>
      <w:pPr>
        <w:pStyle w:val="22"/>
        <w:spacing w:line="440" w:lineRule="exact"/>
        <w:ind w:firstLine="420" w:firstLineChars="200"/>
        <w:rPr>
          <w:rFonts w:hAnsi="宋体"/>
          <w:color w:val="auto"/>
          <w:sz w:val="21"/>
          <w:szCs w:val="21"/>
        </w:rPr>
      </w:pPr>
      <w:r>
        <w:rPr>
          <w:rFonts w:hint="eastAsia" w:hAnsi="宋体"/>
          <w:color w:val="auto"/>
          <w:sz w:val="21"/>
          <w:szCs w:val="21"/>
        </w:rPr>
        <w:t>1.监狱企业参加本项目采购活动时，应当提供由省级以上监狱管理局、戒毒管理局（含新疆生产建设兵团）出具的属于监狱企业的证明文件。（供应商如能够在线查询的材料，请提供查询网址链接，可以不用同时提供纸质材料，原件备查）</w:t>
      </w:r>
    </w:p>
    <w:p>
      <w:pPr>
        <w:pStyle w:val="22"/>
        <w:spacing w:line="440" w:lineRule="exact"/>
        <w:ind w:firstLine="420" w:firstLineChars="200"/>
        <w:rPr>
          <w:rFonts w:hAnsi="宋体"/>
          <w:color w:val="auto"/>
          <w:sz w:val="21"/>
          <w:szCs w:val="21"/>
        </w:rPr>
      </w:pPr>
      <w:r>
        <w:rPr>
          <w:rFonts w:hint="eastAsia" w:hAnsi="宋体"/>
          <w:color w:val="auto"/>
          <w:sz w:val="21"/>
          <w:szCs w:val="21"/>
        </w:rPr>
        <w:t>2</w:t>
      </w:r>
      <w:r>
        <w:rPr>
          <w:rFonts w:hAnsi="宋体"/>
          <w:color w:val="auto"/>
          <w:sz w:val="21"/>
          <w:szCs w:val="21"/>
        </w:rPr>
        <w:t>.</w:t>
      </w:r>
      <w:r>
        <w:rPr>
          <w:rFonts w:hint="eastAsia" w:hAnsi="宋体"/>
          <w:color w:val="auto"/>
          <w:sz w:val="21"/>
          <w:szCs w:val="21"/>
        </w:rPr>
        <w:t>未按上述要求提供、填写的，评审时不予以考虑。</w:t>
      </w:r>
    </w:p>
    <w:p>
      <w:pPr>
        <w:pStyle w:val="22"/>
        <w:spacing w:line="440" w:lineRule="exact"/>
        <w:ind w:firstLine="420" w:firstLineChars="200"/>
        <w:rPr>
          <w:rFonts w:hAnsi="宋体"/>
          <w:color w:val="auto"/>
          <w:sz w:val="21"/>
          <w:szCs w:val="21"/>
        </w:rPr>
      </w:pPr>
      <w:r>
        <w:rPr>
          <w:rFonts w:hAnsi="宋体"/>
          <w:color w:val="auto"/>
          <w:sz w:val="21"/>
          <w:szCs w:val="21"/>
        </w:rPr>
        <w:t>(</w:t>
      </w:r>
      <w:r>
        <w:rPr>
          <w:rFonts w:hint="eastAsia" w:hAnsi="宋体"/>
          <w:color w:val="auto"/>
          <w:sz w:val="21"/>
          <w:szCs w:val="21"/>
        </w:rPr>
        <w:t>示例略</w:t>
      </w:r>
      <w:r>
        <w:rPr>
          <w:rFonts w:hAnsi="宋体"/>
          <w:color w:val="auto"/>
          <w:sz w:val="21"/>
          <w:szCs w:val="21"/>
        </w:rPr>
        <w:t>)</w:t>
      </w:r>
    </w:p>
    <w:p>
      <w:pPr>
        <w:pStyle w:val="7"/>
        <w:rPr>
          <w:rFonts w:asciiTheme="minorEastAsia" w:hAnsiTheme="minorEastAsia" w:eastAsiaTheme="minorEastAsia" w:cstheme="minorEastAsia"/>
          <w:color w:val="auto"/>
          <w:kern w:val="0"/>
          <w:sz w:val="24"/>
          <w:szCs w:val="24"/>
        </w:rPr>
      </w:pPr>
    </w:p>
    <w:p>
      <w:pPr>
        <w:rPr>
          <w:rFonts w:asciiTheme="minorEastAsia" w:hAnsiTheme="minorEastAsia" w:eastAsiaTheme="minorEastAsia" w:cstheme="minorEastAsia"/>
          <w:color w:val="auto"/>
          <w:kern w:val="0"/>
          <w:sz w:val="24"/>
          <w:szCs w:val="28"/>
        </w:rPr>
      </w:pPr>
    </w:p>
    <w:p>
      <w:pPr>
        <w:pStyle w:val="7"/>
        <w:rPr>
          <w:color w:val="auto"/>
        </w:rPr>
      </w:pPr>
    </w:p>
    <w:p>
      <w:pPr>
        <w:spacing w:line="360" w:lineRule="auto"/>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十、磋商须知前附表要求供应商提供的其他资料</w:t>
      </w:r>
    </w:p>
    <w:p>
      <w:pPr>
        <w:rPr>
          <w:rFonts w:asciiTheme="minorEastAsia" w:hAnsiTheme="minorEastAsia" w:eastAsiaTheme="minorEastAsia" w:cstheme="minorEastAsia"/>
          <w:color w:val="auto"/>
          <w:kern w:val="0"/>
          <w:sz w:val="24"/>
          <w:szCs w:val="28"/>
        </w:rPr>
      </w:pPr>
    </w:p>
    <w:p>
      <w:pPr>
        <w:rPr>
          <w:rFonts w:asciiTheme="minorEastAsia" w:hAnsiTheme="minorEastAsia" w:eastAsiaTheme="minorEastAsia" w:cstheme="minorEastAsia"/>
          <w:color w:val="auto"/>
          <w:kern w:val="0"/>
          <w:sz w:val="24"/>
          <w:szCs w:val="28"/>
        </w:rPr>
      </w:pPr>
    </w:p>
    <w:p>
      <w:pPr>
        <w:rPr>
          <w:rFonts w:asciiTheme="minorEastAsia" w:hAnsiTheme="minorEastAsia" w:eastAsiaTheme="minorEastAsia" w:cstheme="minorEastAsia"/>
          <w:color w:val="auto"/>
          <w:kern w:val="0"/>
          <w:sz w:val="24"/>
          <w:szCs w:val="28"/>
        </w:rPr>
      </w:pPr>
    </w:p>
    <w:p>
      <w:pPr>
        <w:rPr>
          <w:rFonts w:asciiTheme="minorEastAsia" w:hAnsiTheme="minorEastAsia" w:eastAsiaTheme="minorEastAsia" w:cstheme="minorEastAsia"/>
          <w:color w:val="auto"/>
          <w:kern w:val="0"/>
          <w:sz w:val="24"/>
          <w:szCs w:val="28"/>
        </w:rPr>
      </w:pPr>
    </w:p>
    <w:p>
      <w:pPr>
        <w:rPr>
          <w:rFonts w:asciiTheme="minorEastAsia" w:hAnsiTheme="minorEastAsia" w:eastAsiaTheme="minorEastAsia" w:cstheme="minorEastAsia"/>
          <w:b/>
          <w:bCs/>
          <w:color w:val="auto"/>
          <w:kern w:val="0"/>
          <w:sz w:val="24"/>
          <w:szCs w:val="28"/>
        </w:rPr>
      </w:pPr>
    </w:p>
    <w:p>
      <w:pPr>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十一、供应商认为需提供的其他资料</w:t>
      </w:r>
    </w:p>
    <w:p>
      <w:pPr>
        <w:rPr>
          <w:rFonts w:asciiTheme="minorEastAsia" w:hAnsiTheme="minorEastAsia" w:eastAsiaTheme="minorEastAsia" w:cstheme="minorEastAsia"/>
          <w:color w:val="auto"/>
          <w:kern w:val="0"/>
          <w:sz w:val="24"/>
          <w:szCs w:val="28"/>
        </w:rPr>
      </w:pPr>
    </w:p>
    <w:p>
      <w:pPr>
        <w:ind w:firstLine="482" w:firstLineChars="200"/>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24"/>
          <w:szCs w:val="28"/>
        </w:rPr>
        <w:br w:type="page"/>
      </w:r>
      <w:r>
        <w:rPr>
          <w:rFonts w:hint="eastAsia" w:asciiTheme="minorEastAsia" w:hAnsiTheme="minorEastAsia" w:eastAsiaTheme="minorEastAsia" w:cstheme="minorEastAsia"/>
          <w:b/>
          <w:color w:val="auto"/>
          <w:kern w:val="0"/>
          <w:sz w:val="32"/>
          <w:szCs w:val="32"/>
        </w:rPr>
        <w:t>第二部分 技术部分</w:t>
      </w:r>
    </w:p>
    <w:p>
      <w:pPr>
        <w:ind w:firstLine="643" w:firstLineChars="200"/>
        <w:jc w:val="center"/>
        <w:rPr>
          <w:rFonts w:asciiTheme="minorEastAsia" w:hAnsiTheme="minorEastAsia" w:eastAsiaTheme="minorEastAsia" w:cstheme="minorEastAsia"/>
          <w:b/>
          <w:color w:val="auto"/>
          <w:kern w:val="0"/>
          <w:sz w:val="32"/>
          <w:szCs w:val="32"/>
        </w:rPr>
      </w:pPr>
    </w:p>
    <w:p>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一、货物说明一览表</w:t>
      </w:r>
    </w:p>
    <w:p>
      <w:pPr>
        <w:topLinePunct/>
        <w:autoSpaceDE w:val="0"/>
        <w:autoSpaceDN w:val="0"/>
        <w:adjustRightInd w:val="0"/>
        <w:snapToGrid w:val="0"/>
        <w:spacing w:line="360" w:lineRule="auto"/>
        <w:ind w:firstLine="210" w:firstLineChars="100"/>
        <w:jc w:val="left"/>
        <w:rPr>
          <w:rFonts w:ascii="宋体" w:hAnsi="宋体" w:cs="宋体"/>
          <w:color w:val="auto"/>
          <w:sz w:val="21"/>
          <w:szCs w:val="21"/>
        </w:rPr>
      </w:pPr>
      <w:r>
        <w:rPr>
          <w:rFonts w:hint="eastAsia" w:ascii="宋体" w:hAnsi="宋体" w:cs="宋体"/>
          <w:color w:val="auto"/>
          <w:sz w:val="21"/>
          <w:szCs w:val="21"/>
        </w:rPr>
        <w:t>项目名称：</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项目编号：</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pPr>
        <w:adjustRightInd w:val="0"/>
        <w:snapToGrid w:val="0"/>
        <w:spacing w:line="360" w:lineRule="auto"/>
        <w:ind w:right="840" w:firstLine="210" w:firstLineChars="100"/>
        <w:rPr>
          <w:rFonts w:ascii="宋体" w:hAnsi="宋体" w:cs="宋体"/>
          <w:bCs/>
          <w:color w:val="auto"/>
          <w:w w:val="150"/>
          <w:sz w:val="21"/>
          <w:szCs w:val="21"/>
        </w:rPr>
      </w:pPr>
      <w:r>
        <w:rPr>
          <w:rFonts w:hint="eastAsia" w:ascii="宋体" w:hAnsi="宋体" w:cs="宋体"/>
          <w:color w:val="auto"/>
          <w:sz w:val="21"/>
          <w:szCs w:val="21"/>
        </w:rPr>
        <w:t>采购包号：</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价格单位：人民币：元</w:t>
      </w:r>
    </w:p>
    <w:tbl>
      <w:tblPr>
        <w:tblStyle w:val="46"/>
        <w:tblpPr w:leftFromText="180" w:rightFromText="180" w:vertAnchor="text" w:horzAnchor="page" w:tblpX="1377" w:tblpY="41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390"/>
        <w:gridCol w:w="1628"/>
        <w:gridCol w:w="1390"/>
        <w:gridCol w:w="304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color w:val="auto"/>
                <w:sz w:val="21"/>
                <w:szCs w:val="21"/>
              </w:rPr>
            </w:pPr>
            <w:r>
              <w:rPr>
                <w:rFonts w:hint="eastAsia"/>
                <w:color w:val="auto"/>
                <w:sz w:val="21"/>
                <w:szCs w:val="21"/>
              </w:rPr>
              <w:t>序号</w:t>
            </w:r>
          </w:p>
        </w:tc>
        <w:tc>
          <w:tcPr>
            <w:tcW w:w="748" w:type="pct"/>
            <w:vAlign w:val="center"/>
          </w:tcPr>
          <w:p>
            <w:pPr>
              <w:spacing w:line="360" w:lineRule="auto"/>
              <w:jc w:val="center"/>
              <w:rPr>
                <w:color w:val="auto"/>
                <w:sz w:val="21"/>
                <w:szCs w:val="21"/>
              </w:rPr>
            </w:pPr>
            <w:r>
              <w:rPr>
                <w:rFonts w:hint="eastAsia"/>
                <w:color w:val="auto"/>
                <w:sz w:val="21"/>
                <w:szCs w:val="21"/>
              </w:rPr>
              <w:t>标的（货物）名称</w:t>
            </w:r>
          </w:p>
        </w:tc>
        <w:tc>
          <w:tcPr>
            <w:tcW w:w="876" w:type="pct"/>
            <w:vAlign w:val="center"/>
          </w:tcPr>
          <w:p>
            <w:pPr>
              <w:spacing w:line="360" w:lineRule="auto"/>
              <w:jc w:val="center"/>
              <w:rPr>
                <w:color w:val="auto"/>
                <w:sz w:val="21"/>
                <w:szCs w:val="21"/>
              </w:rPr>
            </w:pPr>
            <w:r>
              <w:rPr>
                <w:rFonts w:hint="eastAsia"/>
                <w:color w:val="auto"/>
                <w:sz w:val="21"/>
                <w:szCs w:val="21"/>
              </w:rPr>
              <w:t>制造商名称</w:t>
            </w:r>
          </w:p>
        </w:tc>
        <w:tc>
          <w:tcPr>
            <w:tcW w:w="748" w:type="pct"/>
            <w:vAlign w:val="center"/>
          </w:tcPr>
          <w:p>
            <w:pPr>
              <w:spacing w:line="360" w:lineRule="auto"/>
              <w:jc w:val="center"/>
              <w:rPr>
                <w:color w:val="auto"/>
                <w:sz w:val="21"/>
                <w:szCs w:val="21"/>
              </w:rPr>
            </w:pPr>
            <w:r>
              <w:rPr>
                <w:rFonts w:hint="eastAsia"/>
                <w:color w:val="auto"/>
                <w:sz w:val="21"/>
                <w:szCs w:val="21"/>
              </w:rPr>
              <w:t>型号规格</w:t>
            </w:r>
          </w:p>
        </w:tc>
        <w:tc>
          <w:tcPr>
            <w:tcW w:w="1639" w:type="pct"/>
            <w:vAlign w:val="center"/>
          </w:tcPr>
          <w:p>
            <w:pPr>
              <w:spacing w:line="360" w:lineRule="auto"/>
              <w:jc w:val="center"/>
              <w:rPr>
                <w:color w:val="auto"/>
                <w:sz w:val="21"/>
                <w:szCs w:val="21"/>
              </w:rPr>
            </w:pPr>
            <w:r>
              <w:rPr>
                <w:rFonts w:hint="eastAsia"/>
                <w:color w:val="auto"/>
                <w:sz w:val="21"/>
                <w:szCs w:val="21"/>
              </w:rPr>
              <w:t>主要技术参数和技术指标</w:t>
            </w:r>
          </w:p>
        </w:tc>
        <w:tc>
          <w:tcPr>
            <w:tcW w:w="493" w:type="pct"/>
            <w:vAlign w:val="center"/>
          </w:tcPr>
          <w:p>
            <w:pPr>
              <w:spacing w:line="360" w:lineRule="auto"/>
              <w:jc w:val="center"/>
              <w:rPr>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color w:val="auto"/>
                <w:sz w:val="21"/>
                <w:szCs w:val="21"/>
              </w:rPr>
            </w:pPr>
          </w:p>
        </w:tc>
        <w:tc>
          <w:tcPr>
            <w:tcW w:w="748" w:type="pct"/>
            <w:vAlign w:val="center"/>
          </w:tcPr>
          <w:p>
            <w:pPr>
              <w:spacing w:line="360" w:lineRule="auto"/>
              <w:jc w:val="center"/>
              <w:rPr>
                <w:color w:val="auto"/>
                <w:sz w:val="21"/>
                <w:szCs w:val="21"/>
              </w:rPr>
            </w:pPr>
          </w:p>
        </w:tc>
        <w:tc>
          <w:tcPr>
            <w:tcW w:w="876" w:type="pct"/>
            <w:vAlign w:val="center"/>
          </w:tcPr>
          <w:p>
            <w:pPr>
              <w:spacing w:line="360" w:lineRule="auto"/>
              <w:jc w:val="center"/>
              <w:rPr>
                <w:color w:val="auto"/>
                <w:sz w:val="21"/>
                <w:szCs w:val="21"/>
              </w:rPr>
            </w:pPr>
          </w:p>
        </w:tc>
        <w:tc>
          <w:tcPr>
            <w:tcW w:w="748" w:type="pct"/>
            <w:vAlign w:val="center"/>
          </w:tcPr>
          <w:p>
            <w:pPr>
              <w:spacing w:line="360" w:lineRule="auto"/>
              <w:jc w:val="center"/>
              <w:rPr>
                <w:color w:val="auto"/>
                <w:sz w:val="21"/>
                <w:szCs w:val="21"/>
              </w:rPr>
            </w:pPr>
          </w:p>
        </w:tc>
        <w:tc>
          <w:tcPr>
            <w:tcW w:w="1639" w:type="pct"/>
            <w:vAlign w:val="center"/>
          </w:tcPr>
          <w:p>
            <w:pPr>
              <w:spacing w:line="360" w:lineRule="auto"/>
              <w:jc w:val="center"/>
              <w:rPr>
                <w:color w:val="auto"/>
                <w:sz w:val="21"/>
                <w:szCs w:val="21"/>
              </w:rPr>
            </w:pPr>
          </w:p>
        </w:tc>
        <w:tc>
          <w:tcPr>
            <w:tcW w:w="493" w:type="pct"/>
            <w:vAlign w:val="center"/>
          </w:tcPr>
          <w:p>
            <w:pPr>
              <w:spacing w:line="36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color w:val="auto"/>
                <w:sz w:val="21"/>
                <w:szCs w:val="21"/>
              </w:rPr>
            </w:pPr>
          </w:p>
        </w:tc>
        <w:tc>
          <w:tcPr>
            <w:tcW w:w="748" w:type="pct"/>
            <w:vAlign w:val="center"/>
          </w:tcPr>
          <w:p>
            <w:pPr>
              <w:spacing w:line="360" w:lineRule="auto"/>
              <w:jc w:val="center"/>
              <w:rPr>
                <w:color w:val="auto"/>
                <w:sz w:val="21"/>
                <w:szCs w:val="21"/>
              </w:rPr>
            </w:pPr>
          </w:p>
        </w:tc>
        <w:tc>
          <w:tcPr>
            <w:tcW w:w="876" w:type="pct"/>
            <w:vAlign w:val="center"/>
          </w:tcPr>
          <w:p>
            <w:pPr>
              <w:spacing w:line="360" w:lineRule="auto"/>
              <w:jc w:val="center"/>
              <w:rPr>
                <w:color w:val="auto"/>
                <w:sz w:val="21"/>
                <w:szCs w:val="21"/>
              </w:rPr>
            </w:pPr>
          </w:p>
        </w:tc>
        <w:tc>
          <w:tcPr>
            <w:tcW w:w="748" w:type="pct"/>
            <w:vAlign w:val="center"/>
          </w:tcPr>
          <w:p>
            <w:pPr>
              <w:spacing w:line="360" w:lineRule="auto"/>
              <w:jc w:val="center"/>
              <w:rPr>
                <w:color w:val="auto"/>
                <w:sz w:val="21"/>
                <w:szCs w:val="21"/>
              </w:rPr>
            </w:pPr>
          </w:p>
        </w:tc>
        <w:tc>
          <w:tcPr>
            <w:tcW w:w="1639" w:type="pct"/>
            <w:vAlign w:val="center"/>
          </w:tcPr>
          <w:p>
            <w:pPr>
              <w:spacing w:line="360" w:lineRule="auto"/>
              <w:jc w:val="center"/>
              <w:rPr>
                <w:color w:val="auto"/>
                <w:sz w:val="21"/>
                <w:szCs w:val="21"/>
              </w:rPr>
            </w:pPr>
          </w:p>
        </w:tc>
        <w:tc>
          <w:tcPr>
            <w:tcW w:w="493" w:type="pct"/>
            <w:vAlign w:val="center"/>
          </w:tcPr>
          <w:p>
            <w:pPr>
              <w:spacing w:line="36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color w:val="auto"/>
                <w:sz w:val="21"/>
                <w:szCs w:val="21"/>
              </w:rPr>
            </w:pPr>
          </w:p>
        </w:tc>
        <w:tc>
          <w:tcPr>
            <w:tcW w:w="748" w:type="pct"/>
            <w:vAlign w:val="center"/>
          </w:tcPr>
          <w:p>
            <w:pPr>
              <w:spacing w:line="360" w:lineRule="auto"/>
              <w:jc w:val="center"/>
              <w:rPr>
                <w:color w:val="auto"/>
                <w:sz w:val="21"/>
                <w:szCs w:val="21"/>
              </w:rPr>
            </w:pPr>
          </w:p>
        </w:tc>
        <w:tc>
          <w:tcPr>
            <w:tcW w:w="876" w:type="pct"/>
            <w:vAlign w:val="center"/>
          </w:tcPr>
          <w:p>
            <w:pPr>
              <w:spacing w:line="360" w:lineRule="auto"/>
              <w:jc w:val="center"/>
              <w:rPr>
                <w:color w:val="auto"/>
                <w:sz w:val="21"/>
                <w:szCs w:val="21"/>
              </w:rPr>
            </w:pPr>
          </w:p>
        </w:tc>
        <w:tc>
          <w:tcPr>
            <w:tcW w:w="748" w:type="pct"/>
            <w:vAlign w:val="center"/>
          </w:tcPr>
          <w:p>
            <w:pPr>
              <w:spacing w:line="360" w:lineRule="auto"/>
              <w:jc w:val="center"/>
              <w:rPr>
                <w:color w:val="auto"/>
                <w:sz w:val="21"/>
                <w:szCs w:val="21"/>
              </w:rPr>
            </w:pPr>
          </w:p>
        </w:tc>
        <w:tc>
          <w:tcPr>
            <w:tcW w:w="1639" w:type="pct"/>
            <w:vAlign w:val="center"/>
          </w:tcPr>
          <w:p>
            <w:pPr>
              <w:spacing w:line="360" w:lineRule="auto"/>
              <w:jc w:val="center"/>
              <w:rPr>
                <w:color w:val="auto"/>
                <w:sz w:val="21"/>
                <w:szCs w:val="21"/>
              </w:rPr>
            </w:pPr>
          </w:p>
        </w:tc>
        <w:tc>
          <w:tcPr>
            <w:tcW w:w="493" w:type="pct"/>
            <w:vAlign w:val="center"/>
          </w:tcPr>
          <w:p>
            <w:pPr>
              <w:spacing w:line="36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pPr>
              <w:spacing w:line="360" w:lineRule="auto"/>
              <w:jc w:val="center"/>
              <w:rPr>
                <w:color w:val="auto"/>
                <w:sz w:val="21"/>
                <w:szCs w:val="21"/>
              </w:rPr>
            </w:pPr>
          </w:p>
        </w:tc>
        <w:tc>
          <w:tcPr>
            <w:tcW w:w="748" w:type="pct"/>
            <w:vAlign w:val="center"/>
          </w:tcPr>
          <w:p>
            <w:pPr>
              <w:spacing w:line="360" w:lineRule="auto"/>
              <w:jc w:val="center"/>
              <w:rPr>
                <w:color w:val="auto"/>
                <w:sz w:val="21"/>
                <w:szCs w:val="21"/>
              </w:rPr>
            </w:pPr>
          </w:p>
        </w:tc>
        <w:tc>
          <w:tcPr>
            <w:tcW w:w="876" w:type="pct"/>
            <w:vAlign w:val="center"/>
          </w:tcPr>
          <w:p>
            <w:pPr>
              <w:spacing w:line="360" w:lineRule="auto"/>
              <w:jc w:val="center"/>
              <w:rPr>
                <w:color w:val="auto"/>
                <w:sz w:val="21"/>
                <w:szCs w:val="21"/>
              </w:rPr>
            </w:pPr>
          </w:p>
        </w:tc>
        <w:tc>
          <w:tcPr>
            <w:tcW w:w="748" w:type="pct"/>
            <w:vAlign w:val="center"/>
          </w:tcPr>
          <w:p>
            <w:pPr>
              <w:spacing w:line="360" w:lineRule="auto"/>
              <w:jc w:val="center"/>
              <w:rPr>
                <w:color w:val="auto"/>
                <w:sz w:val="21"/>
                <w:szCs w:val="21"/>
              </w:rPr>
            </w:pPr>
          </w:p>
        </w:tc>
        <w:tc>
          <w:tcPr>
            <w:tcW w:w="1639" w:type="pct"/>
            <w:vAlign w:val="center"/>
          </w:tcPr>
          <w:p>
            <w:pPr>
              <w:spacing w:line="360" w:lineRule="auto"/>
              <w:jc w:val="center"/>
              <w:rPr>
                <w:color w:val="auto"/>
                <w:sz w:val="21"/>
                <w:szCs w:val="21"/>
              </w:rPr>
            </w:pPr>
          </w:p>
        </w:tc>
        <w:tc>
          <w:tcPr>
            <w:tcW w:w="493" w:type="pct"/>
            <w:vAlign w:val="center"/>
          </w:tcPr>
          <w:p>
            <w:pPr>
              <w:spacing w:line="360" w:lineRule="auto"/>
              <w:jc w:val="center"/>
              <w:rPr>
                <w:color w:val="auto"/>
                <w:sz w:val="21"/>
                <w:szCs w:val="21"/>
              </w:rPr>
            </w:pPr>
          </w:p>
        </w:tc>
      </w:tr>
    </w:tbl>
    <w:p>
      <w:pPr>
        <w:topLinePunct/>
        <w:autoSpaceDE w:val="0"/>
        <w:autoSpaceDN w:val="0"/>
        <w:spacing w:line="360" w:lineRule="auto"/>
        <w:rPr>
          <w:rFonts w:ascii="宋体" w:hAnsi="宋体" w:cs="宋体"/>
          <w:color w:val="auto"/>
          <w:sz w:val="21"/>
          <w:szCs w:val="21"/>
        </w:rPr>
      </w:pPr>
      <w:r>
        <w:rPr>
          <w:rFonts w:hint="eastAsia" w:ascii="宋体" w:hAnsi="宋体" w:cs="宋体"/>
          <w:color w:val="auto"/>
          <w:sz w:val="21"/>
          <w:szCs w:val="21"/>
        </w:rPr>
        <w:t>备注：货物的主要技术参数和技术指标可另页描述。</w:t>
      </w:r>
    </w:p>
    <w:p>
      <w:pPr>
        <w:ind w:firstLine="420" w:firstLineChars="200"/>
        <w:rPr>
          <w:color w:val="auto"/>
          <w:sz w:val="21"/>
          <w:szCs w:val="21"/>
        </w:rPr>
      </w:pP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供应商名称(公章)：____________</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法定代表人（负责人）或其授权代表(签字或盖章)：____________</w:t>
      </w:r>
    </w:p>
    <w:p>
      <w:pPr>
        <w:pStyle w:val="22"/>
        <w:spacing w:line="44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日期：______年____月____日</w:t>
      </w:r>
    </w:p>
    <w:p>
      <w:pPr>
        <w:spacing w:line="360" w:lineRule="auto"/>
        <w:ind w:firstLine="630" w:firstLineChars="300"/>
        <w:rPr>
          <w:rFonts w:asciiTheme="minorEastAsia" w:hAnsiTheme="minorEastAsia" w:eastAsiaTheme="minorEastAsia" w:cstheme="minorEastAsia"/>
          <w:color w:val="auto"/>
          <w:kern w:val="0"/>
          <w:sz w:val="21"/>
          <w:szCs w:val="21"/>
        </w:rPr>
      </w:pPr>
      <w:r>
        <w:rPr>
          <w:rFonts w:eastAsia="仿宋_GB2312"/>
          <w:color w:val="auto"/>
          <w:sz w:val="21"/>
          <w:szCs w:val="21"/>
        </w:rPr>
        <w:br w:type="page"/>
      </w:r>
    </w:p>
    <w:p>
      <w:pPr>
        <w:numPr>
          <w:ilvl w:val="0"/>
          <w:numId w:val="3"/>
        </w:numPr>
        <w:spacing w:line="360" w:lineRule="auto"/>
        <w:ind w:firstLine="723" w:firstLineChars="300"/>
        <w:rPr>
          <w:rFonts w:hint="eastAsia"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服务方案、实施方案及技术方案</w:t>
      </w:r>
    </w:p>
    <w:p>
      <w:pPr>
        <w:numPr>
          <w:ilvl w:val="0"/>
          <w:numId w:val="0"/>
        </w:numPr>
        <w:spacing w:line="360" w:lineRule="auto"/>
        <w:ind w:firstLine="1205" w:firstLineChars="500"/>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格式自拟</w:t>
      </w:r>
    </w:p>
    <w:p>
      <w:pPr>
        <w:spacing w:line="360" w:lineRule="auto"/>
        <w:ind w:firstLine="720" w:firstLineChars="300"/>
        <w:rPr>
          <w:rFonts w:asciiTheme="minorEastAsia" w:hAnsiTheme="minorEastAsia" w:eastAsiaTheme="minorEastAsia" w:cstheme="minorEastAsia"/>
          <w:color w:val="auto"/>
          <w:kern w:val="0"/>
          <w:sz w:val="24"/>
          <w:szCs w:val="28"/>
        </w:rPr>
      </w:pPr>
    </w:p>
    <w:p>
      <w:pPr>
        <w:spacing w:line="360" w:lineRule="auto"/>
        <w:ind w:firstLine="723" w:firstLineChars="300"/>
        <w:rPr>
          <w:rFonts w:hint="eastAsia" w:asciiTheme="minorEastAsia" w:hAnsiTheme="minorEastAsia" w:eastAsiaTheme="minorEastAsia" w:cstheme="minorEastAsia"/>
          <w:b/>
          <w:bCs/>
          <w:color w:val="auto"/>
          <w:kern w:val="0"/>
          <w:sz w:val="24"/>
          <w:szCs w:val="28"/>
        </w:rPr>
      </w:pPr>
    </w:p>
    <w:p>
      <w:pPr>
        <w:spacing w:line="360" w:lineRule="auto"/>
        <w:ind w:firstLine="723" w:firstLineChars="300"/>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三、技术响应与偏离表</w:t>
      </w:r>
    </w:p>
    <w:p>
      <w:pPr>
        <w:spacing w:line="360" w:lineRule="auto"/>
        <w:ind w:firstLine="602" w:firstLineChars="200"/>
        <w:jc w:val="center"/>
        <w:rPr>
          <w:rFonts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rPr>
        <w:t>技术响应与偏离表</w:t>
      </w:r>
    </w:p>
    <w:p>
      <w:pPr>
        <w:spacing w:line="360" w:lineRule="auto"/>
        <w:ind w:firstLine="420" w:firstLineChars="200"/>
        <w:rPr>
          <w:rFonts w:hint="default" w:asciiTheme="minorEastAsia" w:hAnsiTheme="minorEastAsia" w:eastAsiaTheme="minorEastAsia" w:cstheme="minorEastAsia"/>
          <w:color w:val="auto"/>
          <w:kern w:val="0"/>
          <w:sz w:val="21"/>
          <w:szCs w:val="21"/>
          <w:u w:val="single"/>
          <w:lang w:val="en-US" w:eastAsia="zh-CN"/>
        </w:rPr>
      </w:pPr>
      <w:r>
        <w:rPr>
          <w:rFonts w:hint="eastAsia" w:asciiTheme="minorEastAsia" w:hAnsiTheme="minorEastAsia" w:eastAsiaTheme="minorEastAsia" w:cstheme="minorEastAsia"/>
          <w:color w:val="auto"/>
          <w:kern w:val="0"/>
          <w:sz w:val="21"/>
          <w:szCs w:val="21"/>
        </w:rPr>
        <w:t>　项目名称：</w:t>
      </w:r>
      <w:r>
        <w:rPr>
          <w:rFonts w:hint="eastAsia" w:asciiTheme="minorEastAsia" w:hAnsiTheme="minorEastAsia" w:eastAsiaTheme="minorEastAsia" w:cstheme="minorEastAsia"/>
          <w:color w:val="auto"/>
          <w:kern w:val="0"/>
          <w:sz w:val="21"/>
          <w:szCs w:val="21"/>
          <w:u w:val="single"/>
        </w:rPr>
        <w:tab/>
      </w:r>
      <w:r>
        <w:rPr>
          <w:rFonts w:hint="eastAsia" w:asciiTheme="minorEastAsia" w:hAnsiTheme="minorEastAsia" w:eastAsiaTheme="minorEastAsia" w:cstheme="minorEastAsia"/>
          <w:color w:val="auto"/>
          <w:kern w:val="0"/>
          <w:sz w:val="21"/>
          <w:szCs w:val="21"/>
          <w:u w:val="single"/>
        </w:rPr>
        <w:tab/>
      </w:r>
      <w:r>
        <w:rPr>
          <w:rFonts w:hint="eastAsia" w:asciiTheme="minorEastAsia" w:hAnsiTheme="minorEastAsia" w:eastAsiaTheme="minorEastAsia" w:cstheme="minorEastAsia"/>
          <w:color w:val="auto"/>
          <w:kern w:val="0"/>
          <w:sz w:val="21"/>
          <w:szCs w:val="21"/>
          <w:u w:val="single"/>
        </w:rPr>
        <w:tab/>
      </w:r>
      <w:r>
        <w:rPr>
          <w:rFonts w:hint="eastAsia" w:asciiTheme="minorEastAsia" w:hAnsiTheme="minorEastAsia" w:eastAsiaTheme="minorEastAsia" w:cstheme="minorEastAsia"/>
          <w:color w:val="auto"/>
          <w:kern w:val="0"/>
          <w:sz w:val="21"/>
          <w:szCs w:val="21"/>
          <w:u w:val="single"/>
        </w:rPr>
        <w:tab/>
      </w:r>
      <w:r>
        <w:rPr>
          <w:rFonts w:hint="eastAsia" w:asciiTheme="minorEastAsia" w:hAnsiTheme="minorEastAsia" w:eastAsiaTheme="minorEastAsia" w:cstheme="minorEastAsia"/>
          <w:color w:val="auto"/>
          <w:kern w:val="0"/>
          <w:sz w:val="21"/>
          <w:szCs w:val="21"/>
          <w:u w:val="single"/>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　项目编号：</w:t>
      </w:r>
      <w:r>
        <w:rPr>
          <w:rFonts w:hint="eastAsia" w:asciiTheme="minorEastAsia" w:hAnsiTheme="minorEastAsia" w:eastAsiaTheme="minorEastAsia" w:cstheme="minorEastAsia"/>
          <w:color w:val="auto"/>
          <w:kern w:val="0"/>
          <w:sz w:val="21"/>
          <w:szCs w:val="21"/>
          <w:u w:val="single"/>
          <w:lang w:val="en-US" w:eastAsia="zh-CN"/>
        </w:rPr>
        <w:t xml:space="preserve">               </w:t>
      </w:r>
    </w:p>
    <w:tbl>
      <w:tblPr>
        <w:tblStyle w:val="46"/>
        <w:tblpPr w:leftFromText="180" w:rightFromText="180" w:vertAnchor="text" w:horzAnchor="page" w:tblpX="1779" w:tblpY="1372"/>
        <w:tblOverlap w:val="never"/>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560"/>
        <w:gridCol w:w="1492"/>
        <w:gridCol w:w="1504"/>
        <w:gridCol w:w="150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标的的名称</w:t>
            </w:r>
          </w:p>
        </w:tc>
        <w:tc>
          <w:tcPr>
            <w:tcW w:w="149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数量及单位</w:t>
            </w: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磋商文件项目要求及技术需求</w:t>
            </w: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响应文件响应情况</w:t>
            </w: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偏离</w:t>
            </w: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auto"/>
                <w:sz w:val="21"/>
                <w:szCs w:val="21"/>
              </w:rPr>
            </w:pPr>
          </w:p>
        </w:tc>
      </w:tr>
    </w:tbl>
    <w:p>
      <w:pPr>
        <w:spacing w:line="360" w:lineRule="auto"/>
        <w:ind w:firstLine="420" w:firstLineChars="200"/>
        <w:rPr>
          <w:rFonts w:hint="default" w:eastAsia="宋体" w:asciiTheme="minorEastAsia" w:hAnsiTheme="minorEastAsia" w:cstheme="minorEastAsia"/>
          <w:color w:val="auto"/>
          <w:kern w:val="0"/>
          <w:sz w:val="21"/>
          <w:szCs w:val="21"/>
          <w:u w:val="single"/>
          <w:lang w:val="en-US" w:eastAsia="zh-CN"/>
        </w:rPr>
      </w:pPr>
      <w:r>
        <w:rPr>
          <w:rFonts w:hint="eastAsia" w:asciiTheme="minorEastAsia" w:hAnsiTheme="minorEastAsia" w:eastAsiaTheme="minorEastAsia" w:cstheme="minorEastAsia"/>
          <w:color w:val="auto"/>
          <w:kern w:val="0"/>
          <w:sz w:val="21"/>
          <w:szCs w:val="21"/>
        </w:rPr>
        <w:t>　</w:t>
      </w:r>
      <w:r>
        <w:rPr>
          <w:rFonts w:hint="eastAsia" w:ascii="宋体" w:hAnsi="宋体" w:cs="宋体"/>
          <w:color w:val="auto"/>
          <w:sz w:val="21"/>
          <w:szCs w:val="21"/>
        </w:rPr>
        <w:t>采购包号：</w:t>
      </w:r>
      <w:r>
        <w:rPr>
          <w:rFonts w:hint="eastAsia" w:ascii="宋体" w:hAnsi="宋体" w:cs="宋体"/>
          <w:color w:val="auto"/>
          <w:sz w:val="21"/>
          <w:szCs w:val="21"/>
          <w:u w:val="single"/>
          <w:lang w:val="en-US" w:eastAsia="zh-CN"/>
        </w:rPr>
        <w:t xml:space="preserve">                    </w:t>
      </w:r>
    </w:p>
    <w:p>
      <w:pPr>
        <w:spacing w:line="360" w:lineRule="auto"/>
        <w:ind w:firstLine="420" w:firstLineChars="200"/>
        <w:rPr>
          <w:rFonts w:hint="eastAsia" w:asciiTheme="minorEastAsia" w:hAnsiTheme="minorEastAsia" w:eastAsiaTheme="minorEastAsia" w:cstheme="minorEastAsia"/>
          <w:bCs/>
          <w:color w:val="auto"/>
          <w:kern w:val="0"/>
          <w:szCs w:val="21"/>
        </w:rPr>
      </w:pPr>
    </w:p>
    <w:p>
      <w:pPr>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说明：</w:t>
      </w:r>
    </w:p>
    <w:p>
      <w:pPr>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（1）供应商应按《第六章　项目采购需求》中的技术条款要求，结合自身响应情况对技术条款逐条响应</w:t>
      </w:r>
      <w:r>
        <w:rPr>
          <w:rFonts w:hint="eastAsia" w:asciiTheme="minorEastAsia" w:hAnsiTheme="minorEastAsia" w:eastAsiaTheme="minorEastAsia" w:cstheme="minorEastAsia"/>
          <w:color w:val="auto"/>
          <w:szCs w:val="21"/>
        </w:rPr>
        <w:t>，未逐条响应的视为响应无效</w:t>
      </w:r>
      <w:r>
        <w:rPr>
          <w:rFonts w:hint="eastAsia" w:asciiTheme="minorEastAsia" w:hAnsiTheme="minorEastAsia" w:eastAsiaTheme="minorEastAsia" w:cstheme="minorEastAsia"/>
          <w:bCs/>
          <w:color w:val="auto"/>
          <w:kern w:val="0"/>
          <w:szCs w:val="21"/>
        </w:rPr>
        <w:t>。</w:t>
      </w:r>
    </w:p>
    <w:p>
      <w:pPr>
        <w:spacing w:line="360" w:lineRule="auto"/>
        <w:ind w:firstLine="420"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Cs/>
          <w:color w:val="auto"/>
          <w:kern w:val="0"/>
          <w:szCs w:val="21"/>
        </w:rPr>
        <w:t>（2）当响应文件响应的技术条款完全响应磋商文件要求时，供应商应注明“无偏离”；低于磋商文件要求时，应注明“负偏离”；优于磋商文件要求的，应注明“正偏离”。</w:t>
      </w:r>
    </w:p>
    <w:p>
      <w:pPr>
        <w:spacing w:line="360" w:lineRule="auto"/>
        <w:ind w:firstLine="422" w:firstLineChars="200"/>
        <w:rPr>
          <w:rFonts w:asciiTheme="minorEastAsia" w:hAnsiTheme="minorEastAsia" w:eastAsiaTheme="minorEastAsia" w:cstheme="minorEastAsia"/>
          <w:b/>
          <w:color w:val="auto"/>
          <w:kern w:val="0"/>
          <w:szCs w:val="21"/>
        </w:rPr>
      </w:pP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供应商名称(公章)：____________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法定代表人或其授权代表(签字或盖章)：____________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日期：______年____月____日</w:t>
      </w:r>
    </w:p>
    <w:p>
      <w:pPr>
        <w:spacing w:line="360" w:lineRule="auto"/>
        <w:ind w:firstLine="420" w:firstLineChars="200"/>
        <w:rPr>
          <w:rFonts w:asciiTheme="minorEastAsia" w:hAnsiTheme="minorEastAsia" w:eastAsiaTheme="minorEastAsia" w:cstheme="minorEastAsia"/>
          <w:color w:val="auto"/>
          <w:kern w:val="0"/>
          <w:sz w:val="21"/>
          <w:szCs w:val="21"/>
        </w:rPr>
      </w:pPr>
    </w:p>
    <w:p>
      <w:pPr>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kern w:val="0"/>
          <w:sz w:val="24"/>
          <w:szCs w:val="28"/>
        </w:rPr>
        <w:br w:type="page"/>
      </w:r>
    </w:p>
    <w:p>
      <w:pPr>
        <w:spacing w:line="360" w:lineRule="auto"/>
        <w:ind w:firstLine="482" w:firstLineChars="200"/>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四、售后服务承诺格式</w:t>
      </w:r>
    </w:p>
    <w:p>
      <w:pPr>
        <w:spacing w:line="360" w:lineRule="auto"/>
        <w:ind w:firstLine="480" w:firstLineChars="200"/>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kern w:val="0"/>
          <w:sz w:val="24"/>
          <w:szCs w:val="28"/>
        </w:rPr>
        <w:t>（正文内容自拟）</w:t>
      </w:r>
    </w:p>
    <w:p>
      <w:pPr>
        <w:spacing w:line="360" w:lineRule="auto"/>
        <w:ind w:firstLine="480" w:firstLineChars="200"/>
        <w:rPr>
          <w:rFonts w:asciiTheme="minorEastAsia" w:hAnsiTheme="minorEastAsia" w:eastAsiaTheme="minorEastAsia" w:cstheme="minorEastAsia"/>
          <w:color w:val="auto"/>
          <w:kern w:val="0"/>
          <w:sz w:val="24"/>
          <w:szCs w:val="28"/>
        </w:rPr>
      </w:pPr>
    </w:p>
    <w:p>
      <w:pPr>
        <w:spacing w:line="360" w:lineRule="auto"/>
        <w:ind w:firstLine="480" w:firstLineChars="200"/>
        <w:rPr>
          <w:rFonts w:asciiTheme="minorEastAsia" w:hAnsiTheme="minorEastAsia" w:eastAsiaTheme="minorEastAsia" w:cstheme="minorEastAsia"/>
          <w:color w:val="auto"/>
          <w:kern w:val="0"/>
          <w:sz w:val="24"/>
          <w:szCs w:val="28"/>
        </w:rPr>
      </w:pPr>
    </w:p>
    <w:p>
      <w:pPr>
        <w:spacing w:line="360" w:lineRule="auto"/>
        <w:ind w:firstLine="480" w:firstLineChars="200"/>
        <w:rPr>
          <w:rFonts w:asciiTheme="minorEastAsia" w:hAnsiTheme="minorEastAsia" w:eastAsiaTheme="minorEastAsia" w:cstheme="minorEastAsia"/>
          <w:color w:val="auto"/>
          <w:kern w:val="0"/>
          <w:sz w:val="24"/>
          <w:szCs w:val="28"/>
        </w:rPr>
      </w:pP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供应商名称(公章)：____________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法定代表人或其授权代表(签字或盖章)：____________</w:t>
      </w:r>
    </w:p>
    <w:p>
      <w:pPr>
        <w:spacing w:line="360" w:lineRule="auto"/>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日期：______年____月____日</w:t>
      </w:r>
    </w:p>
    <w:p>
      <w:pPr>
        <w:spacing w:line="360" w:lineRule="auto"/>
        <w:ind w:firstLine="480" w:firstLineChars="200"/>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kern w:val="0"/>
          <w:sz w:val="24"/>
          <w:szCs w:val="28"/>
        </w:rPr>
        <w:t>　　</w:t>
      </w:r>
    </w:p>
    <w:p>
      <w:pPr>
        <w:spacing w:line="360" w:lineRule="auto"/>
        <w:ind w:firstLine="482" w:firstLineChars="200"/>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五、用于本项目人员简历表</w:t>
      </w:r>
    </w:p>
    <w:p>
      <w:pPr>
        <w:ind w:firstLine="480" w:firstLineChars="200"/>
        <w:rPr>
          <w:rFonts w:asciiTheme="minorEastAsia" w:hAnsiTheme="minorEastAsia" w:eastAsiaTheme="minorEastAsia" w:cstheme="minorEastAsia"/>
          <w:color w:val="auto"/>
          <w:kern w:val="0"/>
          <w:sz w:val="24"/>
          <w:szCs w:val="28"/>
        </w:rPr>
      </w:pPr>
    </w:p>
    <w:p>
      <w:pPr>
        <w:ind w:firstLine="602" w:firstLineChars="200"/>
        <w:jc w:val="center"/>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b/>
          <w:bCs/>
          <w:color w:val="auto"/>
          <w:kern w:val="0"/>
          <w:sz w:val="30"/>
          <w:szCs w:val="30"/>
        </w:rPr>
        <w:t>用于本项目人员简历表</w:t>
      </w:r>
    </w:p>
    <w:p>
      <w:pPr>
        <w:ind w:firstLine="480" w:firstLineChars="200"/>
        <w:rPr>
          <w:rFonts w:asciiTheme="minorEastAsia" w:hAnsiTheme="minorEastAsia" w:eastAsiaTheme="minorEastAsia" w:cstheme="minorEastAsia"/>
          <w:color w:val="auto"/>
          <w:kern w:val="0"/>
          <w:sz w:val="24"/>
          <w:szCs w:val="28"/>
        </w:rPr>
      </w:pPr>
    </w:p>
    <w:tbl>
      <w:tblPr>
        <w:tblStyle w:val="46"/>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66"/>
        <w:gridCol w:w="865"/>
        <w:gridCol w:w="816"/>
        <w:gridCol w:w="840"/>
        <w:gridCol w:w="1260"/>
        <w:gridCol w:w="1260"/>
        <w:gridCol w:w="138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501"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86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姓名</w:t>
            </w:r>
          </w:p>
        </w:tc>
        <w:tc>
          <w:tcPr>
            <w:tcW w:w="86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年龄</w:t>
            </w:r>
          </w:p>
        </w:tc>
        <w:tc>
          <w:tcPr>
            <w:tcW w:w="81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学历</w:t>
            </w:r>
          </w:p>
        </w:tc>
        <w:tc>
          <w:tcPr>
            <w:tcW w:w="84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专业及职称</w:t>
            </w: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持何种资格证书（证书号）</w:t>
            </w: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从事本工作时间</w:t>
            </w:r>
          </w:p>
        </w:tc>
        <w:tc>
          <w:tcPr>
            <w:tcW w:w="138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近年来承担类似项目名称</w:t>
            </w:r>
          </w:p>
        </w:tc>
        <w:tc>
          <w:tcPr>
            <w:tcW w:w="1168"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1"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1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4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38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168" w:type="dxa"/>
          </w:tcPr>
          <w:p>
            <w:pPr>
              <w:spacing w:before="50" w:after="50" w:line="420" w:lineRule="exact"/>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1"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1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4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38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168" w:type="dxa"/>
          </w:tcPr>
          <w:p>
            <w:pPr>
              <w:spacing w:before="50" w:after="50" w:line="420" w:lineRule="exact"/>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01"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1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4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38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168" w:type="dxa"/>
          </w:tcPr>
          <w:p>
            <w:pPr>
              <w:spacing w:before="50" w:after="50" w:line="420" w:lineRule="exact"/>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1"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1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4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38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168" w:type="dxa"/>
          </w:tcPr>
          <w:p>
            <w:pPr>
              <w:spacing w:before="50" w:after="50" w:line="420" w:lineRule="exact"/>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1"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1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4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38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168" w:type="dxa"/>
          </w:tcPr>
          <w:p>
            <w:pPr>
              <w:spacing w:before="50" w:after="50" w:line="420" w:lineRule="exact"/>
              <w:jc w:val="center"/>
              <w:rPr>
                <w:rFonts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1"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6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16"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84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260"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385" w:type="dxa"/>
            <w:vAlign w:val="center"/>
          </w:tcPr>
          <w:p>
            <w:pPr>
              <w:spacing w:before="50" w:after="50" w:line="420" w:lineRule="exact"/>
              <w:jc w:val="center"/>
              <w:rPr>
                <w:rFonts w:asciiTheme="minorEastAsia" w:hAnsiTheme="minorEastAsia" w:eastAsiaTheme="minorEastAsia" w:cstheme="minorEastAsia"/>
                <w:color w:val="auto"/>
                <w:kern w:val="0"/>
                <w:sz w:val="21"/>
                <w:szCs w:val="21"/>
              </w:rPr>
            </w:pPr>
          </w:p>
        </w:tc>
        <w:tc>
          <w:tcPr>
            <w:tcW w:w="1168" w:type="dxa"/>
          </w:tcPr>
          <w:p>
            <w:pPr>
              <w:spacing w:before="50" w:after="50" w:line="420" w:lineRule="exact"/>
              <w:jc w:val="center"/>
              <w:rPr>
                <w:rFonts w:asciiTheme="minorEastAsia" w:hAnsiTheme="minorEastAsia" w:eastAsiaTheme="minorEastAsia" w:cstheme="minorEastAsia"/>
                <w:color w:val="auto"/>
                <w:kern w:val="0"/>
                <w:sz w:val="21"/>
                <w:szCs w:val="21"/>
              </w:rPr>
            </w:pPr>
          </w:p>
        </w:tc>
      </w:tr>
    </w:tbl>
    <w:p>
      <w:pPr>
        <w:widowControl/>
        <w:jc w:val="left"/>
        <w:rPr>
          <w:rFonts w:asciiTheme="minorEastAsia" w:hAnsiTheme="minorEastAsia" w:eastAsiaTheme="minorEastAsia" w:cstheme="minorEastAsia"/>
          <w:color w:val="auto"/>
          <w:kern w:val="0"/>
          <w:szCs w:val="21"/>
        </w:rPr>
      </w:pPr>
    </w:p>
    <w:p>
      <w:pPr>
        <w:widowControl/>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注：附以上拟投入服务团队人员学历、学位证书（如有）、职称证书（如有）、资格(或岗位)证书（如有）、</w:t>
      </w:r>
      <w:r>
        <w:rPr>
          <w:rFonts w:hint="eastAsia" w:ascii="宋体" w:hAnsi="宋体" w:cs="宋体"/>
          <w:color w:val="auto"/>
          <w:sz w:val="21"/>
          <w:szCs w:val="21"/>
        </w:rPr>
        <w:t>有效的劳动合同复印件</w:t>
      </w:r>
      <w:r>
        <w:rPr>
          <w:rFonts w:hint="eastAsia" w:asciiTheme="minorEastAsia" w:hAnsiTheme="minorEastAsia" w:eastAsiaTheme="minorEastAsia" w:cstheme="minorEastAsia"/>
          <w:color w:val="auto"/>
          <w:kern w:val="0"/>
          <w:sz w:val="21"/>
          <w:szCs w:val="21"/>
        </w:rPr>
        <w:t>。</w:t>
      </w:r>
    </w:p>
    <w:p>
      <w:pPr>
        <w:rPr>
          <w:color w:val="auto"/>
          <w:sz w:val="21"/>
          <w:szCs w:val="21"/>
        </w:rPr>
      </w:pPr>
    </w:p>
    <w:p>
      <w:pPr>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供应商名称(公章)：____________</w:t>
      </w:r>
    </w:p>
    <w:p>
      <w:pPr>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法定代表人或授权代表(签字或盖章)：____________</w:t>
      </w:r>
    </w:p>
    <w:p>
      <w:pPr>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日期：______年____月____日</w:t>
      </w:r>
    </w:p>
    <w:p>
      <w:pPr>
        <w:ind w:firstLine="480" w:firstLineChars="200"/>
        <w:rPr>
          <w:rFonts w:asciiTheme="minorEastAsia" w:hAnsiTheme="minorEastAsia" w:eastAsiaTheme="minorEastAsia" w:cstheme="minorEastAsia"/>
          <w:color w:val="auto"/>
          <w:kern w:val="0"/>
          <w:sz w:val="24"/>
          <w:szCs w:val="28"/>
        </w:rPr>
      </w:pPr>
    </w:p>
    <w:p>
      <w:pPr>
        <w:ind w:firstLine="480" w:firstLineChars="200"/>
        <w:rPr>
          <w:rFonts w:asciiTheme="minorEastAsia" w:hAnsiTheme="minorEastAsia" w:eastAsiaTheme="minorEastAsia" w:cstheme="minorEastAsia"/>
          <w:color w:val="auto"/>
          <w:kern w:val="0"/>
          <w:sz w:val="24"/>
          <w:szCs w:val="28"/>
        </w:rPr>
      </w:pPr>
      <w:bookmarkStart w:id="69" w:name="_GoBack"/>
      <w:bookmarkEnd w:id="69"/>
    </w:p>
    <w:p>
      <w:pPr>
        <w:ind w:firstLine="480" w:firstLineChars="200"/>
        <w:rPr>
          <w:rFonts w:asciiTheme="minorEastAsia" w:hAnsiTheme="minorEastAsia" w:eastAsiaTheme="minorEastAsia" w:cstheme="minorEastAsia"/>
          <w:color w:val="auto"/>
          <w:kern w:val="0"/>
          <w:sz w:val="24"/>
          <w:szCs w:val="28"/>
        </w:rPr>
      </w:pPr>
    </w:p>
    <w:p>
      <w:pPr>
        <w:ind w:firstLine="482" w:firstLineChars="200"/>
        <w:rPr>
          <w:rFonts w:hint="eastAsia" w:asciiTheme="minorEastAsia" w:hAnsiTheme="minorEastAsia" w:eastAsiaTheme="minorEastAsia" w:cstheme="minorEastAsia"/>
          <w:b/>
          <w:bCs/>
          <w:color w:val="auto"/>
          <w:kern w:val="0"/>
          <w:sz w:val="24"/>
          <w:szCs w:val="28"/>
        </w:rPr>
      </w:pPr>
    </w:p>
    <w:p>
      <w:pPr>
        <w:ind w:firstLine="482" w:firstLineChars="200"/>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六、磋商标的物符合磋商文件规定的证明文件</w:t>
      </w:r>
    </w:p>
    <w:p>
      <w:pPr>
        <w:ind w:firstLine="480" w:firstLineChars="200"/>
        <w:rPr>
          <w:rFonts w:asciiTheme="minorEastAsia" w:hAnsiTheme="minorEastAsia" w:eastAsiaTheme="minorEastAsia" w:cstheme="minorEastAsia"/>
          <w:color w:val="auto"/>
          <w:kern w:val="0"/>
          <w:sz w:val="24"/>
          <w:szCs w:val="28"/>
        </w:rPr>
      </w:pPr>
    </w:p>
    <w:p>
      <w:pPr>
        <w:spacing w:line="440" w:lineRule="exact"/>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备注：提供第二章“磋商须知前附表”和第六章“项目采购需求”要求(包括磋商标的物的强制性认证、注册等)的证明材料复印件。</w:t>
      </w:r>
    </w:p>
    <w:p>
      <w:pPr>
        <w:ind w:firstLine="480" w:firstLineChars="200"/>
        <w:rPr>
          <w:rFonts w:asciiTheme="minorEastAsia" w:hAnsiTheme="minorEastAsia" w:eastAsiaTheme="minorEastAsia" w:cstheme="minorEastAsia"/>
          <w:color w:val="auto"/>
          <w:kern w:val="0"/>
          <w:sz w:val="24"/>
          <w:szCs w:val="28"/>
        </w:rPr>
      </w:pPr>
    </w:p>
    <w:p>
      <w:pPr>
        <w:ind w:firstLine="482" w:firstLineChars="200"/>
        <w:rPr>
          <w:rFonts w:asciiTheme="minorEastAsia" w:hAnsiTheme="minorEastAsia" w:eastAsiaTheme="minorEastAsia" w:cstheme="minorEastAsia"/>
          <w:b/>
          <w:bCs/>
          <w:color w:val="auto"/>
          <w:kern w:val="0"/>
          <w:sz w:val="24"/>
          <w:szCs w:val="28"/>
        </w:rPr>
      </w:pPr>
    </w:p>
    <w:p>
      <w:pPr>
        <w:ind w:firstLine="482" w:firstLineChars="200"/>
        <w:rPr>
          <w:rFonts w:asciiTheme="minorEastAsia" w:hAnsiTheme="minorEastAsia" w:eastAsiaTheme="minorEastAsia" w:cstheme="minorEastAsia"/>
          <w:b/>
          <w:bCs/>
          <w:color w:val="auto"/>
          <w:kern w:val="0"/>
          <w:sz w:val="24"/>
          <w:szCs w:val="28"/>
        </w:rPr>
      </w:pPr>
      <w:r>
        <w:rPr>
          <w:rFonts w:hint="eastAsia" w:asciiTheme="minorEastAsia" w:hAnsiTheme="minorEastAsia" w:eastAsiaTheme="minorEastAsia" w:cstheme="minorEastAsia"/>
          <w:b/>
          <w:bCs/>
          <w:color w:val="auto"/>
          <w:kern w:val="0"/>
          <w:sz w:val="24"/>
          <w:szCs w:val="28"/>
        </w:rPr>
        <w:t>七、其他资料</w:t>
      </w:r>
    </w:p>
    <w:p>
      <w:pPr>
        <w:spacing w:line="360" w:lineRule="auto"/>
        <w:jc w:val="center"/>
        <w:outlineLv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bookmarkStart w:id="66" w:name="_Toc17978"/>
    </w:p>
    <w:p>
      <w:pPr>
        <w:pStyle w:val="22"/>
        <w:jc w:val="center"/>
        <w:outlineLvl w:val="0"/>
        <w:rPr>
          <w:rFonts w:ascii="Times New Roman"/>
          <w:color w:val="auto"/>
        </w:rPr>
      </w:pPr>
      <w:bookmarkStart w:id="67" w:name="_Toc30243"/>
      <w:r>
        <w:rPr>
          <w:rFonts w:hint="eastAsia" w:ascii="Times New Roman" w:cs="Courier New"/>
          <w:b/>
          <w:color w:val="auto"/>
          <w:sz w:val="28"/>
        </w:rPr>
        <w:t>第二部分　技术部分</w:t>
      </w:r>
      <w:bookmarkEnd w:id="67"/>
    </w:p>
    <w:p>
      <w:pPr>
        <w:spacing w:line="360" w:lineRule="auto"/>
        <w:jc w:val="center"/>
        <w:outlineLvl w:val="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第六章 项目采购需求</w:t>
      </w:r>
      <w:bookmarkEnd w:id="66"/>
    </w:p>
    <w:p>
      <w:pPr>
        <w:spacing w:line="440" w:lineRule="exact"/>
        <w:rPr>
          <w:rFonts w:asciiTheme="minorEastAsia" w:hAnsiTheme="minorEastAsia" w:eastAsiaTheme="minorEastAsia" w:cstheme="minorEastAsia"/>
          <w:b/>
          <w:bCs/>
          <w:color w:val="auto"/>
          <w:szCs w:val="21"/>
        </w:rPr>
      </w:pPr>
      <w:bookmarkStart w:id="68" w:name="_Toc457576272"/>
      <w:r>
        <w:rPr>
          <w:rFonts w:hint="eastAsia" w:asciiTheme="minorEastAsia" w:hAnsiTheme="minorEastAsia" w:eastAsiaTheme="minorEastAsia" w:cstheme="minorEastAsia"/>
          <w:b/>
          <w:bCs/>
          <w:color w:val="auto"/>
          <w:szCs w:val="21"/>
        </w:rPr>
        <w:t>说明：</w:t>
      </w:r>
    </w:p>
    <w:p>
      <w:pPr>
        <w:widowControl/>
        <w:kinsoku w:val="0"/>
        <w:autoSpaceDE w:val="0"/>
        <w:autoSpaceDN w:val="0"/>
        <w:adjustRightInd w:val="0"/>
        <w:snapToGrid w:val="0"/>
        <w:spacing w:line="440" w:lineRule="exact"/>
        <w:ind w:firstLine="422" w:firstLineChars="200"/>
        <w:textAlignment w:val="baseline"/>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1.供应商提供的</w:t>
      </w:r>
      <w:r>
        <w:rPr>
          <w:rFonts w:hint="eastAsia" w:asciiTheme="minorEastAsia" w:hAnsiTheme="minorEastAsia" w:eastAsiaTheme="minorEastAsia" w:cstheme="minorEastAsia"/>
          <w:b/>
          <w:bCs/>
          <w:color w:val="auto"/>
          <w:lang w:val="en-US" w:eastAsia="zh-CN"/>
        </w:rPr>
        <w:t>货物及</w:t>
      </w:r>
      <w:r>
        <w:rPr>
          <w:rFonts w:hint="eastAsia" w:asciiTheme="minorEastAsia" w:hAnsiTheme="minorEastAsia" w:eastAsiaTheme="minorEastAsia" w:cstheme="minorEastAsia"/>
          <w:b/>
          <w:bCs/>
          <w:color w:val="auto"/>
        </w:rPr>
        <w:t>服务必须符合国家和行业标准。</w:t>
      </w:r>
    </w:p>
    <w:p>
      <w:pPr>
        <w:widowControl/>
        <w:kinsoku w:val="0"/>
        <w:autoSpaceDE w:val="0"/>
        <w:autoSpaceDN w:val="0"/>
        <w:adjustRightInd w:val="0"/>
        <w:snapToGrid w:val="0"/>
        <w:spacing w:line="440" w:lineRule="exact"/>
        <w:ind w:firstLine="422" w:firstLineChars="200"/>
        <w:textAlignment w:val="baseline"/>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2.标“★”为实质性参数要求和条件，供应商必须满足并在响应文件中如实作出响应，否则响应无效；标“▲”为重点指标；无标识的为一般指标。</w:t>
      </w:r>
    </w:p>
    <w:p>
      <w:pPr>
        <w:widowControl/>
        <w:kinsoku w:val="0"/>
        <w:autoSpaceDE w:val="0"/>
        <w:autoSpaceDN w:val="0"/>
        <w:adjustRightInd w:val="0"/>
        <w:snapToGrid w:val="0"/>
        <w:spacing w:line="440" w:lineRule="exact"/>
        <w:ind w:firstLine="422" w:firstLineChars="200"/>
        <w:textAlignment w:val="baseline"/>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3.供应商响应时必须在响应文件中对技术</w:t>
      </w:r>
      <w:r>
        <w:rPr>
          <w:rFonts w:hint="eastAsia" w:asciiTheme="minorEastAsia" w:hAnsiTheme="minorEastAsia" w:eastAsiaTheme="minorEastAsia" w:cstheme="minorEastAsia"/>
          <w:b/>
          <w:bCs/>
          <w:color w:val="auto"/>
          <w:lang w:val="en-US" w:eastAsia="zh-CN"/>
        </w:rPr>
        <w:t>要求</w:t>
      </w:r>
      <w:r>
        <w:rPr>
          <w:rFonts w:hint="eastAsia" w:asciiTheme="minorEastAsia" w:hAnsiTheme="minorEastAsia" w:eastAsiaTheme="minorEastAsia" w:cstheme="minorEastAsia"/>
          <w:b/>
          <w:bCs/>
          <w:color w:val="auto"/>
        </w:rPr>
        <w:t>内容、商务要求内容及附件内容（如有）逐条响应并一一对应。</w:t>
      </w:r>
    </w:p>
    <w:p>
      <w:pPr>
        <w:widowControl/>
        <w:kinsoku w:val="0"/>
        <w:autoSpaceDE w:val="0"/>
        <w:autoSpaceDN w:val="0"/>
        <w:adjustRightInd w:val="0"/>
        <w:snapToGrid w:val="0"/>
        <w:spacing w:line="440" w:lineRule="exact"/>
        <w:ind w:firstLine="422" w:firstLineChars="200"/>
        <w:textAlignment w:val="baseline"/>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4.采购标的对应的中小企业划分标准所属行业为软件和信息技术服务业。</w:t>
      </w:r>
    </w:p>
    <w:p>
      <w:pPr>
        <w:pStyle w:val="57"/>
        <w:spacing w:line="360" w:lineRule="auto"/>
        <w:rPr>
          <w:color w:val="auto"/>
        </w:rPr>
      </w:pPr>
      <w:r>
        <w:rPr>
          <w:rFonts w:hint="eastAsia" w:asciiTheme="minorEastAsia" w:hAnsiTheme="minorEastAsia" w:eastAsiaTheme="minorEastAsia" w:cstheme="minorEastAsia"/>
          <w:bCs/>
          <w:color w:val="auto"/>
        </w:rPr>
        <w:t>一、技术要求</w:t>
      </w:r>
    </w:p>
    <w:p>
      <w:pPr>
        <w:pStyle w:val="58"/>
        <w:spacing w:line="360" w:lineRule="auto"/>
        <w:ind w:firstLine="426" w:firstLineChars="20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1.项目概述</w:t>
      </w:r>
    </w:p>
    <w:p>
      <w:pPr>
        <w:pStyle w:val="58"/>
        <w:spacing w:line="360" w:lineRule="auto"/>
        <w:ind w:firstLine="426" w:firstLineChars="20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1.1 项目背景</w:t>
      </w:r>
    </w:p>
    <w:p>
      <w:pPr>
        <w:pStyle w:val="58"/>
        <w:spacing w:line="360" w:lineRule="auto"/>
        <w:ind w:firstLine="424" w:firstLineChars="20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2022年至2023年，为提高对纳税人缴费人诉求响应效能，提升基层纳税服务热线的运营和管理能力，广西税务搭建了以华为UAP9600做为排队机的全区对外公开咨询服务电话政务智能云平台，其建设框架与功能及业务流与省级12366热线系统一致，形成了省级12366+各市对外公开咨询电话即“省+市（县区）”相互配合运行的税费服务新体系。</w:t>
      </w:r>
    </w:p>
    <w:p>
      <w:pPr>
        <w:pStyle w:val="58"/>
        <w:spacing w:line="360" w:lineRule="auto"/>
        <w:ind w:firstLine="424" w:firstLineChars="20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截止2024年4月省级12366热线的通信平台核心设备华为U2980通信排队机即将过保，相应型号的产品厂家已停产退市，一旦设备故障，可能面临12366热线“停摆”的风险，基于系统现状，项目的核心需求是提前部署，解决12366热线系统即将面临的系统安全运行风险。</w:t>
      </w:r>
    </w:p>
    <w:p>
      <w:pPr>
        <w:pStyle w:val="58"/>
        <w:spacing w:line="360" w:lineRule="auto"/>
        <w:ind w:firstLine="426" w:firstLineChars="20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1.2 项目内容</w:t>
      </w:r>
    </w:p>
    <w:p>
      <w:pPr>
        <w:pStyle w:val="58"/>
        <w:spacing w:line="360" w:lineRule="auto"/>
        <w:ind w:firstLine="424" w:firstLineChars="20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采购人运行中的全区对外公开咨询服务电话政务智能云平台所使用的UAP9600通信平台进行120路扩容升级，实现该通信平台总体不低于450路通信服务能力；将广西12366热线系统原部署于U2980通信平台上的省级呼叫中心坐席，迁移至UAP9600，确保系统稳定，所有增配的通信资源应能适配于该通信平台，并与2023年已上线的330路通信资源完全兼容，无排斥，并优化整合功能模块，共享原有资源，实现省-市（县区）的统一管理。</w:t>
      </w:r>
    </w:p>
    <w:p>
      <w:pPr>
        <w:pStyle w:val="58"/>
        <w:spacing w:line="360" w:lineRule="auto"/>
        <w:ind w:firstLine="460" w:firstLineChars="218"/>
        <w:rPr>
          <w:rFonts w:hint="eastAsia" w:asciiTheme="minorEastAsia" w:hAnsiTheme="minorEastAsia" w:eastAsiaTheme="minorEastAsia" w:cstheme="minorEastAsia"/>
          <w:b/>
          <w:bCs w:val="0"/>
          <w:color w:val="auto"/>
          <w:lang w:eastAsia="zh-CN"/>
        </w:rPr>
      </w:pPr>
      <w:r>
        <w:rPr>
          <w:rFonts w:hint="eastAsia" w:asciiTheme="minorEastAsia" w:hAnsiTheme="minorEastAsia" w:eastAsiaTheme="minorEastAsia" w:cstheme="minorEastAsia"/>
          <w:b/>
          <w:bCs w:val="0"/>
          <w:color w:val="auto"/>
          <w:lang w:val="en-US" w:eastAsia="zh-CN"/>
        </w:rPr>
        <w:t>2</w:t>
      </w:r>
      <w:r>
        <w:rPr>
          <w:rFonts w:hint="eastAsia" w:asciiTheme="minorEastAsia" w:hAnsiTheme="minorEastAsia" w:eastAsiaTheme="minorEastAsia" w:cstheme="minorEastAsia"/>
          <w:b/>
          <w:bCs w:val="0"/>
          <w:color w:val="auto"/>
        </w:rPr>
        <w:t>.产品性能</w:t>
      </w:r>
      <w:r>
        <w:rPr>
          <w:rFonts w:hint="eastAsia" w:asciiTheme="minorEastAsia" w:hAnsiTheme="minorEastAsia" w:eastAsiaTheme="minorEastAsia" w:cstheme="minorEastAsia"/>
          <w:b/>
          <w:bCs w:val="0"/>
          <w:color w:val="auto"/>
          <w:lang w:eastAsia="zh-CN"/>
        </w:rPr>
        <w:t>要求</w:t>
      </w:r>
    </w:p>
    <w:p>
      <w:pPr>
        <w:pStyle w:val="58"/>
        <w:spacing w:line="360" w:lineRule="auto"/>
        <w:ind w:firstLine="460" w:firstLineChars="218"/>
        <w:rPr>
          <w:rFonts w:hint="eastAsia" w:asciiTheme="minorEastAsia" w:hAnsiTheme="minorEastAsia" w:eastAsiaTheme="minorEastAsia" w:cstheme="minorEastAsia"/>
          <w:b/>
          <w:bCs w:val="0"/>
          <w:color w:val="auto"/>
          <w:lang w:eastAsia="zh-CN"/>
        </w:rPr>
      </w:pPr>
      <w:r>
        <w:rPr>
          <w:rFonts w:hint="eastAsia" w:asciiTheme="minorEastAsia" w:hAnsiTheme="minorEastAsia" w:eastAsiaTheme="minorEastAsia" w:cstheme="minorEastAsia"/>
          <w:b/>
          <w:bCs w:val="0"/>
          <w:color w:val="auto"/>
          <w:lang w:val="en-US" w:eastAsia="zh-CN"/>
        </w:rPr>
        <w:t>2</w:t>
      </w:r>
      <w:r>
        <w:rPr>
          <w:rFonts w:hint="eastAsia" w:asciiTheme="minorEastAsia" w:hAnsiTheme="minorEastAsia" w:eastAsiaTheme="minorEastAsia" w:cstheme="minorEastAsia"/>
          <w:b/>
          <w:bCs w:val="0"/>
          <w:color w:val="auto"/>
        </w:rPr>
        <w:t>.1产品性能描述</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有可提供IP语音业务的呼叫和媒体处理平台，同时作为联络中心解决方案的语音接入平台，为联络中心提供呼叫接入、座席电话以及媒体资源功能，排队机采用纯软件化设计，可运行在通用服务器或虚拟机上。</w:t>
      </w:r>
    </w:p>
    <w:p>
      <w:pPr>
        <w:pStyle w:val="58"/>
        <w:spacing w:line="360" w:lineRule="auto"/>
        <w:ind w:firstLine="460"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
          <w:bCs w:val="0"/>
          <w:color w:val="auto"/>
          <w:lang w:val="en-US" w:eastAsia="zh-CN"/>
        </w:rPr>
        <w:t>2</w:t>
      </w:r>
      <w:r>
        <w:rPr>
          <w:rFonts w:hint="eastAsia" w:asciiTheme="minorEastAsia" w:hAnsiTheme="minorEastAsia" w:eastAsiaTheme="minorEastAsia" w:cstheme="minorEastAsia"/>
          <w:b/>
          <w:bCs w:val="0"/>
          <w:color w:val="auto"/>
        </w:rPr>
        <w:t>.2系统扩容具体配置要求：</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（1）统一会话管理系统：提供120坐席授权许可，平台为业内先进的软件平台，需提供软件著作权、工信部电信设备入网许可证。</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语音座席：基本功能包含签入、签出、应答、释放、示忙/示闲、休息、内部呼叫、内部求助、呼叫转移、呼叫保持、三方通话、转出等功能。</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支持SIP（Session Initiation Protocol）、M3UA（MTP3-User Adaptation Layer）等宽带信令，支持用规定的语音编码格式向用户播放录音通知。支持OKI24k（vox）、OKI32k（vox）、wav格式的语音文件，支持G711A、G711U、G729、3GP、AMR-NB、AMR-WB媒体流类型的编解码</w:t>
      </w:r>
      <w:r>
        <w:rPr>
          <w:rFonts w:hint="eastAsia" w:asciiTheme="minorEastAsia" w:hAnsiTheme="minorEastAsia" w:eastAsiaTheme="minorEastAsia" w:cstheme="minorEastAsia"/>
          <w:bCs/>
          <w:color w:val="auto"/>
          <w:lang w:eastAsia="zh-CN"/>
        </w:rPr>
        <w:t>（响应文件</w:t>
      </w:r>
      <w:r>
        <w:rPr>
          <w:rFonts w:hint="eastAsia" w:asciiTheme="minorEastAsia" w:hAnsiTheme="minorEastAsia" w:eastAsiaTheme="minorEastAsia" w:cstheme="minorEastAsia"/>
          <w:bCs/>
          <w:color w:val="auto"/>
        </w:rPr>
        <w:t>提供</w:t>
      </w:r>
      <w:r>
        <w:rPr>
          <w:rFonts w:hint="eastAsia" w:asciiTheme="minorEastAsia" w:hAnsiTheme="minorEastAsia" w:eastAsiaTheme="minorEastAsia" w:cstheme="minorEastAsia"/>
          <w:bCs/>
          <w:color w:val="auto"/>
          <w:lang w:eastAsia="zh-CN"/>
        </w:rPr>
        <w:t>以上</w:t>
      </w:r>
      <w:r>
        <w:rPr>
          <w:rFonts w:hint="eastAsia" w:asciiTheme="minorEastAsia" w:hAnsiTheme="minorEastAsia" w:eastAsiaTheme="minorEastAsia" w:cstheme="minorEastAsia"/>
          <w:bCs/>
          <w:color w:val="auto"/>
        </w:rPr>
        <w:t>功能截图证明</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bCs/>
          <w:color w:val="auto"/>
        </w:rPr>
        <w:t>。</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支持严格数据保护机制，支持数据实时同步备份机制，支持主系统数据库自动备份到备份数据库。平台支持大话务量环境下高稳定性和低呼损率，保证在话务高峰期的浪涌式呼叫的平稳处理达到电信级可靠性，要求能达到呼叫接通率 99.999%，录音准确率 99.999%，系统可靠性99.999%。</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支持256个语种，支持播放8个语种的语音，可根据业务需要，具有语种定制能力。</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（2）AICC CTI许可：提供120路CTI授权许，可提供多种路由规则，支持基于预设技能的路由、基于路由脚本的智能路由、先到先服务、先闲先受话、队列忙转功能、排队超时释放/转移、排队溢出释放/转移、排队取消、排队时播放时间、预估排队等待时间等路由功能。</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支持信令TLS加密、支持媒体SRTP加密，软电话控制接口支持https加密，平台支持支持sha256,aes256加密</w:t>
      </w:r>
      <w:r>
        <w:rPr>
          <w:rFonts w:hint="eastAsia" w:asciiTheme="minorEastAsia" w:hAnsiTheme="minorEastAsia" w:eastAsiaTheme="minorEastAsia" w:cstheme="minorEastAsia"/>
          <w:bCs/>
          <w:color w:val="auto"/>
          <w:lang w:eastAsia="zh-CN"/>
        </w:rPr>
        <w:t>（响应文件</w:t>
      </w:r>
      <w:r>
        <w:rPr>
          <w:rFonts w:hint="eastAsia" w:asciiTheme="minorEastAsia" w:hAnsiTheme="minorEastAsia" w:eastAsiaTheme="minorEastAsia" w:cstheme="minorEastAsia"/>
          <w:bCs/>
          <w:color w:val="auto"/>
        </w:rPr>
        <w:t>提供</w:t>
      </w:r>
      <w:r>
        <w:rPr>
          <w:rFonts w:hint="eastAsia" w:asciiTheme="minorEastAsia" w:hAnsiTheme="minorEastAsia" w:eastAsiaTheme="minorEastAsia" w:cstheme="minorEastAsia"/>
          <w:bCs/>
          <w:color w:val="auto"/>
          <w:lang w:eastAsia="zh-CN"/>
        </w:rPr>
        <w:t>以上</w:t>
      </w:r>
      <w:r>
        <w:rPr>
          <w:rFonts w:hint="eastAsia" w:asciiTheme="minorEastAsia" w:hAnsiTheme="minorEastAsia" w:eastAsiaTheme="minorEastAsia" w:cstheme="minorEastAsia"/>
          <w:bCs/>
          <w:color w:val="auto"/>
        </w:rPr>
        <w:t>功能截图证明</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bCs/>
          <w:color w:val="auto"/>
        </w:rPr>
        <w:t>。</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支持多种技能的路由，可将语言、业务水平等多种因素视为技能并综合考虑后作为呼叫分配的标准，同时支持最大2000个技能队列，每个技能组可以支持100种技能，每个技能支持50种不同的技能级别。</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（3）AICC IVR许可：提供120路录音授权许可，IVR流程中进行余额查询并播报年份，月份，金额，数字等基础信息（非TTS合成），可设置特定数字输入语法格式，IVR中DTMF、语音输入环节支持输入间隔及超时时长的可配置，IVR可以支持多语种功能，必须满足项：普通话、英语、广东话，单台IVR服务器能够至少支持300路并发呼叫。</w:t>
      </w:r>
    </w:p>
    <w:p>
      <w:pPr>
        <w:pStyle w:val="58"/>
        <w:spacing w:line="360" w:lineRule="auto"/>
        <w:ind w:firstLine="457" w:firstLineChars="218"/>
        <w:rPr>
          <w:rFonts w:hint="eastAsia"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rPr>
        <w:t>支持文本语音转换(TTS)与自动语音识别（ASR），能够与业界主流ASR引擎厂商的语言识别引擎通过MRCP协议集成，呼入红黑名单设置，黑名单呼叫平台后示忙，红名单呼叫接入平台后直接转人工；支持语音客户转接查询密码验证、设置；可视开发工具提供，由可视编写工具自动生成IVR自助应答流程，支持客户全流程轨迹跟踪及记录（自助及转人工）</w:t>
      </w:r>
      <w:r>
        <w:rPr>
          <w:rFonts w:hint="eastAsia" w:asciiTheme="minorEastAsia" w:hAnsiTheme="minorEastAsia" w:eastAsiaTheme="minorEastAsia" w:cstheme="minorEastAsia"/>
          <w:bCs/>
          <w:color w:val="auto"/>
          <w:lang w:eastAsia="zh-CN"/>
        </w:rPr>
        <w:t>。</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（4）AICC 录音许可：提供120路录音授权许可，支持双声道录音，可以将座席和用户区分左右声道录音。支持录音按日期、时间、主叫号码、被叫号码、坐席工号等多种搜索条件进行查询。支持会场录音方式和与第三方镜像录音系统集成。</w:t>
      </w:r>
    </w:p>
    <w:p>
      <w:pPr>
        <w:pStyle w:val="58"/>
        <w:spacing w:line="360" w:lineRule="auto"/>
        <w:ind w:firstLine="460" w:firstLineChars="218"/>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3.技术服务内容</w:t>
      </w:r>
    </w:p>
    <w:p>
      <w:pPr>
        <w:pStyle w:val="58"/>
        <w:spacing w:line="360" w:lineRule="auto"/>
        <w:ind w:firstLine="460" w:firstLineChars="218"/>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3.1 IVR流程重构</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在完成了省级12366坐席向UAP9600通信平台迁移后，12366的所有来电，将从UAP9600侧的通信网关接入，并进入相应的IVR流程，实现话务流转分派，故在UAP9600通信平台侧需重新开发构建12366热线的IVR接入流程，确保所有来电能够基于既定的分派策略，在各业务技能组之间得到正确的分派。</w:t>
      </w:r>
    </w:p>
    <w:p>
      <w:pPr>
        <w:pStyle w:val="58"/>
        <w:spacing w:line="360" w:lineRule="auto"/>
        <w:ind w:firstLine="460" w:firstLineChars="218"/>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3.2 智能系统与通信平台集成</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3.2.1智能语音导航与通信平台集成</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在新构建的IVR接入流程上集成智能语音导航流程，实现智能客服流程和按键流程一体化管理；实现智能客服转出人工与按键流程转人工统一排队管理。</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3.2.2智能坐席助手与通信平台集成</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实现智能语音助手与UAP9600通信平台坐席端话务管理功能的集成整合，保证语音转写引擎可以实时、分轨转写每一路话务通道的语音，调试和优化实时转写引擎的模型和参数。</w:t>
      </w:r>
    </w:p>
    <w:p>
      <w:pPr>
        <w:pStyle w:val="58"/>
        <w:spacing w:line="360" w:lineRule="auto"/>
        <w:ind w:firstLine="460" w:firstLineChars="218"/>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4.项目实施要求</w:t>
      </w:r>
    </w:p>
    <w:p>
      <w:pPr>
        <w:pStyle w:val="58"/>
        <w:spacing w:line="360" w:lineRule="auto"/>
        <w:ind w:firstLine="460" w:firstLineChars="218"/>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4.1实施方案</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要求以私有化的部署模式扩容，数据互联，确保省级12366和对外公开电话两类热线运营的一体化监管。</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在现有系统所使用的UAP9600通信平台进行120路扩容升级，实现该通信平台总体不低于450路通信服务能力，后续如需对热线扩容，通过增加通信资源和服务资源即可。</w:t>
      </w:r>
    </w:p>
    <w:p>
      <w:pPr>
        <w:pStyle w:val="58"/>
        <w:spacing w:line="360" w:lineRule="auto"/>
        <w:ind w:firstLine="457" w:firstLineChars="218"/>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系统部署架构：来电通过12366一号接入后，优先通过智能语音服务，触发人工服务后，先由运营商通过多策略协同的方式，确定来电人需要接入具体哪个大厅，多策略包括：主叫号码登记信息，历史拨打记录，智能交互，按键选择，转人工等。</w:t>
      </w:r>
    </w:p>
    <w:p>
      <w:pPr>
        <w:pStyle w:val="58"/>
        <w:spacing w:line="360" w:lineRule="auto"/>
        <w:ind w:firstLine="460" w:firstLineChars="218"/>
        <w:rPr>
          <w:rFonts w:hint="eastAsia" w:asciiTheme="minorEastAsia" w:hAnsiTheme="minorEastAsia" w:eastAsiaTheme="minorEastAsia" w:cstheme="minorEastAsia"/>
          <w:b/>
          <w:bCs w:val="0"/>
          <w:color w:val="auto"/>
          <w:lang w:val="en-US" w:eastAsia="zh-CN"/>
        </w:rPr>
      </w:pPr>
      <w:r>
        <w:rPr>
          <w:rFonts w:hint="eastAsia" w:asciiTheme="minorEastAsia" w:hAnsiTheme="minorEastAsia" w:eastAsiaTheme="minorEastAsia" w:cstheme="minorEastAsia"/>
          <w:b/>
          <w:bCs w:val="0"/>
          <w:color w:val="auto"/>
          <w:lang w:val="en-US" w:eastAsia="zh-CN"/>
        </w:rPr>
        <w:t>5.项目管理</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供应商需根据采购需求制定完善可行的项目实施计划、工期管理、质量保证等实施方案。</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5.1实施周期：本项目计划实施周期不多于2个月。</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5.2实施人员要求：</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实施团队：供应商需为本项目配备专门的实施团队，要求项目团队人员配置应不少于10人，响应文件中需提供相应人员的清单，以及</w:t>
      </w:r>
      <w:r>
        <w:rPr>
          <w:rFonts w:hint="eastAsia"/>
          <w:color w:val="auto"/>
          <w:lang w:eastAsia="zh-CN"/>
        </w:rPr>
        <w:t>供应商与实施人员签订的劳动合同</w:t>
      </w:r>
      <w:r>
        <w:rPr>
          <w:rFonts w:hint="eastAsia" w:asciiTheme="minorEastAsia" w:hAnsiTheme="minorEastAsia" w:eastAsiaTheme="minorEastAsia" w:cstheme="minorEastAsia"/>
          <w:bCs/>
          <w:color w:val="auto"/>
          <w:lang w:val="en-US" w:eastAsia="zh-CN"/>
        </w:rPr>
        <w:t>复印件。</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项目团队的关键岗人员要求具有呼叫中心线平台建设等经验。其中：</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项目经理（1人）：要求具有2年以上项目管理经验，具有成功实施相关领域类似项目的实际经验，熟悉行业情况。</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技术负责（1人）：要求由业务能力强的人员担任，具有成功实施开发呼叫中心平台建设类似项目的实际经验，熟悉行业情况。</w:t>
      </w:r>
    </w:p>
    <w:p>
      <w:pPr>
        <w:pStyle w:val="58"/>
        <w:spacing w:line="360" w:lineRule="auto"/>
        <w:ind w:firstLine="457" w:firstLineChars="218"/>
        <w:rPr>
          <w:rFonts w:hint="eastAsia" w:eastAsia="宋体" w:asciiTheme="minorEastAsia" w:hAnsi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实施人员（2人）：要求具备计算机</w:t>
      </w:r>
      <w:r>
        <w:rPr>
          <w:rFonts w:hint="eastAsia" w:ascii="宋体" w:hAnsi="宋体" w:cs="宋体"/>
          <w:b w:val="0"/>
          <w:bCs w:val="0"/>
          <w:color w:val="auto"/>
          <w:sz w:val="21"/>
          <w:szCs w:val="21"/>
          <w:highlight w:val="none"/>
          <w:lang w:eastAsia="zh-CN"/>
        </w:rPr>
        <w:t>相关</w:t>
      </w:r>
      <w:r>
        <w:rPr>
          <w:rFonts w:hint="eastAsia" w:ascii="宋体" w:hAnsi="宋体" w:eastAsia="宋体" w:cs="宋体"/>
          <w:b w:val="0"/>
          <w:bCs w:val="0"/>
          <w:color w:val="auto"/>
          <w:sz w:val="21"/>
          <w:szCs w:val="21"/>
          <w:highlight w:val="none"/>
        </w:rPr>
        <w:t>专业</w:t>
      </w:r>
      <w:r>
        <w:rPr>
          <w:rFonts w:hint="eastAsia" w:ascii="宋体" w:hAnsi="宋体" w:cs="宋体"/>
          <w:b w:val="0"/>
          <w:bCs w:val="0"/>
          <w:color w:val="auto"/>
          <w:sz w:val="21"/>
          <w:szCs w:val="21"/>
          <w:highlight w:val="none"/>
          <w:lang w:eastAsia="zh-CN"/>
        </w:rPr>
        <w:t>能力，</w:t>
      </w:r>
      <w:r>
        <w:rPr>
          <w:rFonts w:hint="eastAsia" w:asciiTheme="minorEastAsia" w:hAnsiTheme="minorEastAsia" w:eastAsiaTheme="minorEastAsia" w:cstheme="minorEastAsia"/>
          <w:bCs/>
          <w:color w:val="auto"/>
          <w:lang w:val="en-US" w:eastAsia="zh-CN"/>
        </w:rPr>
        <w:t>熟悉行业情况。</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开发人员（4人）：要求具备计算机</w:t>
      </w:r>
      <w:r>
        <w:rPr>
          <w:rFonts w:hint="eastAsia" w:ascii="宋体" w:hAnsi="宋体" w:cs="宋体"/>
          <w:b w:val="0"/>
          <w:bCs w:val="0"/>
          <w:color w:val="auto"/>
          <w:sz w:val="21"/>
          <w:szCs w:val="21"/>
          <w:highlight w:val="none"/>
          <w:lang w:eastAsia="zh-CN"/>
        </w:rPr>
        <w:t>相关</w:t>
      </w:r>
      <w:r>
        <w:rPr>
          <w:rFonts w:hint="eastAsia" w:ascii="宋体" w:hAnsi="宋体" w:eastAsia="宋体" w:cs="宋体"/>
          <w:b w:val="0"/>
          <w:bCs w:val="0"/>
          <w:color w:val="auto"/>
          <w:sz w:val="21"/>
          <w:szCs w:val="21"/>
          <w:highlight w:val="none"/>
        </w:rPr>
        <w:t>专业</w:t>
      </w:r>
      <w:r>
        <w:rPr>
          <w:rFonts w:hint="eastAsia" w:ascii="宋体" w:hAnsi="宋体" w:cs="宋体"/>
          <w:b w:val="0"/>
          <w:bCs w:val="0"/>
          <w:color w:val="auto"/>
          <w:sz w:val="21"/>
          <w:szCs w:val="21"/>
          <w:highlight w:val="none"/>
          <w:lang w:eastAsia="zh-CN"/>
        </w:rPr>
        <w:t>能力，</w:t>
      </w:r>
      <w:r>
        <w:rPr>
          <w:rFonts w:hint="eastAsia" w:asciiTheme="minorEastAsia" w:hAnsiTheme="minorEastAsia" w:eastAsiaTheme="minorEastAsia" w:cstheme="minorEastAsia"/>
          <w:bCs/>
          <w:color w:val="auto"/>
          <w:lang w:val="en-US" w:eastAsia="zh-CN"/>
        </w:rPr>
        <w:t>熟悉行业情况。</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测试人员（1人）：要求具备计算机</w:t>
      </w:r>
      <w:r>
        <w:rPr>
          <w:rFonts w:hint="eastAsia" w:ascii="宋体" w:hAnsi="宋体" w:cs="宋体"/>
          <w:b w:val="0"/>
          <w:bCs w:val="0"/>
          <w:color w:val="auto"/>
          <w:sz w:val="21"/>
          <w:szCs w:val="21"/>
          <w:highlight w:val="none"/>
          <w:lang w:eastAsia="zh-CN"/>
        </w:rPr>
        <w:t>相关</w:t>
      </w:r>
      <w:r>
        <w:rPr>
          <w:rFonts w:hint="eastAsia" w:ascii="宋体" w:hAnsi="宋体" w:eastAsia="宋体" w:cs="宋体"/>
          <w:b w:val="0"/>
          <w:bCs w:val="0"/>
          <w:color w:val="auto"/>
          <w:sz w:val="21"/>
          <w:szCs w:val="21"/>
          <w:highlight w:val="none"/>
        </w:rPr>
        <w:t>专业</w:t>
      </w:r>
      <w:r>
        <w:rPr>
          <w:rFonts w:hint="eastAsia" w:ascii="宋体" w:hAnsi="宋体" w:cs="宋体"/>
          <w:b w:val="0"/>
          <w:bCs w:val="0"/>
          <w:color w:val="auto"/>
          <w:sz w:val="21"/>
          <w:szCs w:val="21"/>
          <w:highlight w:val="none"/>
          <w:lang w:eastAsia="zh-CN"/>
        </w:rPr>
        <w:t>能力，</w:t>
      </w:r>
      <w:r>
        <w:rPr>
          <w:rFonts w:hint="eastAsia" w:asciiTheme="minorEastAsia" w:hAnsiTheme="minorEastAsia" w:eastAsiaTheme="minorEastAsia" w:cstheme="minorEastAsia"/>
          <w:bCs/>
          <w:color w:val="auto"/>
          <w:lang w:val="en-US" w:eastAsia="zh-CN"/>
        </w:rPr>
        <w:t>熟悉行业情况。</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售后人员（1人）：要求具备计算机</w:t>
      </w:r>
      <w:r>
        <w:rPr>
          <w:rFonts w:hint="eastAsia" w:ascii="宋体" w:hAnsi="宋体" w:cs="宋体"/>
          <w:b w:val="0"/>
          <w:bCs w:val="0"/>
          <w:color w:val="auto"/>
          <w:sz w:val="21"/>
          <w:szCs w:val="21"/>
          <w:highlight w:val="none"/>
          <w:lang w:eastAsia="zh-CN"/>
        </w:rPr>
        <w:t>相关</w:t>
      </w:r>
      <w:r>
        <w:rPr>
          <w:rFonts w:hint="eastAsia" w:ascii="宋体" w:hAnsi="宋体" w:eastAsia="宋体" w:cs="宋体"/>
          <w:b w:val="0"/>
          <w:bCs w:val="0"/>
          <w:color w:val="auto"/>
          <w:sz w:val="21"/>
          <w:szCs w:val="21"/>
          <w:highlight w:val="none"/>
        </w:rPr>
        <w:t>专业</w:t>
      </w:r>
      <w:r>
        <w:rPr>
          <w:rFonts w:hint="eastAsia" w:ascii="宋体" w:hAnsi="宋体" w:cs="宋体"/>
          <w:b w:val="0"/>
          <w:bCs w:val="0"/>
          <w:color w:val="auto"/>
          <w:sz w:val="21"/>
          <w:szCs w:val="21"/>
          <w:highlight w:val="none"/>
          <w:lang w:eastAsia="zh-CN"/>
        </w:rPr>
        <w:t>能力，</w:t>
      </w:r>
      <w:r>
        <w:rPr>
          <w:rFonts w:hint="eastAsia" w:asciiTheme="minorEastAsia" w:hAnsiTheme="minorEastAsia" w:eastAsiaTheme="minorEastAsia" w:cstheme="minorEastAsia"/>
          <w:bCs/>
          <w:color w:val="auto"/>
          <w:lang w:val="en-US" w:eastAsia="zh-CN"/>
        </w:rPr>
        <w:t>熟悉行业情况。</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供应商选派的项目组成员在项目实施期间不得兼任与本项目无关的其他工作。</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供应商应保证项目组成员的稳定性，如特殊情况需要调整项目组成员的，应提前一个月书面通知采购人，采购人同意后才能安排调整。</w:t>
      </w:r>
    </w:p>
    <w:p>
      <w:pPr>
        <w:pStyle w:val="58"/>
        <w:spacing w:line="360" w:lineRule="auto"/>
        <w:ind w:firstLine="460" w:firstLineChars="218"/>
        <w:rPr>
          <w:rFonts w:hint="eastAsia" w:asciiTheme="minorEastAsia" w:hAnsiTheme="minorEastAsia" w:eastAsiaTheme="minorEastAsia" w:cstheme="minorEastAsia"/>
          <w:b/>
          <w:bCs w:val="0"/>
          <w:color w:val="auto"/>
          <w:lang w:val="en-US" w:eastAsia="zh-CN"/>
        </w:rPr>
      </w:pPr>
      <w:r>
        <w:rPr>
          <w:rFonts w:hint="eastAsia" w:asciiTheme="minorEastAsia" w:hAnsiTheme="minorEastAsia" w:eastAsiaTheme="minorEastAsia" w:cstheme="minorEastAsia"/>
          <w:b/>
          <w:bCs w:val="0"/>
          <w:color w:val="auto"/>
          <w:lang w:val="en-US" w:eastAsia="zh-CN"/>
        </w:rPr>
        <w:t>6.验收要求</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项目验收阶段包括产品安装调试后初验、质保期满后终验。</w:t>
      </w:r>
    </w:p>
    <w:p>
      <w:pPr>
        <w:pStyle w:val="58"/>
        <w:spacing w:line="360" w:lineRule="auto"/>
        <w:ind w:firstLine="460" w:firstLineChars="218"/>
        <w:rPr>
          <w:rFonts w:hint="eastAsia" w:asciiTheme="minorEastAsia" w:hAnsiTheme="minorEastAsia" w:eastAsiaTheme="minorEastAsia" w:cstheme="minorEastAsia"/>
          <w:b/>
          <w:bCs w:val="0"/>
          <w:color w:val="auto"/>
          <w:lang w:val="en-US" w:eastAsia="zh-CN"/>
        </w:rPr>
      </w:pPr>
      <w:r>
        <w:rPr>
          <w:rFonts w:hint="eastAsia" w:asciiTheme="minorEastAsia" w:hAnsiTheme="minorEastAsia" w:eastAsiaTheme="minorEastAsia" w:cstheme="minorEastAsia"/>
          <w:b/>
          <w:bCs w:val="0"/>
          <w:color w:val="auto"/>
          <w:lang w:val="en-US" w:eastAsia="zh-CN"/>
        </w:rPr>
        <w:t>6.1产品初验</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合同签订后2个月内完成本项目产品安装，安装完成试用3个月后进行初验，初验由供应商提供验收清单，采购人查看软件著作权、工信部电信设备入网许可证，并对合同需求列明的功能，组织热线系统使用人员逐项验证，验证通过视为初验合格。</w:t>
      </w:r>
    </w:p>
    <w:p>
      <w:pPr>
        <w:pStyle w:val="58"/>
        <w:spacing w:line="360" w:lineRule="auto"/>
        <w:ind w:firstLine="460" w:firstLineChars="218"/>
        <w:rPr>
          <w:rFonts w:hint="eastAsia" w:asciiTheme="minorEastAsia" w:hAnsiTheme="minorEastAsia" w:eastAsiaTheme="minorEastAsia" w:cstheme="minorEastAsia"/>
          <w:b/>
          <w:bCs w:val="0"/>
          <w:color w:val="auto"/>
          <w:lang w:val="en-US" w:eastAsia="zh-CN"/>
        </w:rPr>
      </w:pPr>
      <w:r>
        <w:rPr>
          <w:rFonts w:hint="eastAsia" w:asciiTheme="minorEastAsia" w:hAnsiTheme="minorEastAsia" w:eastAsiaTheme="minorEastAsia" w:cstheme="minorEastAsia"/>
          <w:b/>
          <w:bCs w:val="0"/>
          <w:color w:val="auto"/>
          <w:lang w:val="en-US" w:eastAsia="zh-CN"/>
        </w:rPr>
        <w:t>6.2终验</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初验通过12个月后进行终验，供应商提供终验所需材料，由采购人成立验收小组按国家有关规定、规范、项目合同要求进行验收，必要时邀请相关的专业人员或机构参与验收，如验收合格的，由采购人书面进行确认；验收不合格的，供应商立即整改重新提供直至符合要求。</w:t>
      </w:r>
    </w:p>
    <w:p>
      <w:pPr>
        <w:pStyle w:val="58"/>
        <w:spacing w:line="360" w:lineRule="auto"/>
        <w:ind w:firstLine="460" w:firstLineChars="218"/>
        <w:rPr>
          <w:rFonts w:hint="eastAsia" w:asciiTheme="minorEastAsia" w:hAnsiTheme="minorEastAsia" w:eastAsiaTheme="minorEastAsia" w:cstheme="minorEastAsia"/>
          <w:b/>
          <w:bCs w:val="0"/>
          <w:color w:val="auto"/>
          <w:lang w:val="en-US" w:eastAsia="zh-CN"/>
        </w:rPr>
      </w:pPr>
      <w:r>
        <w:rPr>
          <w:rFonts w:hint="eastAsia" w:asciiTheme="minorEastAsia" w:hAnsiTheme="minorEastAsia" w:eastAsiaTheme="minorEastAsia" w:cstheme="minorEastAsia"/>
          <w:b/>
          <w:bCs w:val="0"/>
          <w:color w:val="auto"/>
          <w:lang w:val="en-US" w:eastAsia="zh-CN"/>
        </w:rPr>
        <w:t>6.3初步验收清单：</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（1）项目验收资料明细清单；</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（2）项目验收申请书；</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（3）与项目承担单位和人员签订的保密协议；</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（4）项目实施工作总结和技术报告。</w:t>
      </w:r>
    </w:p>
    <w:p>
      <w:pPr>
        <w:pStyle w:val="58"/>
        <w:spacing w:line="360" w:lineRule="auto"/>
        <w:ind w:firstLine="460" w:firstLineChars="218"/>
        <w:rPr>
          <w:rFonts w:hint="eastAsia" w:asciiTheme="minorEastAsia" w:hAnsiTheme="minorEastAsia" w:eastAsiaTheme="minorEastAsia" w:cstheme="minorEastAsia"/>
          <w:b/>
          <w:bCs w:val="0"/>
          <w:color w:val="auto"/>
          <w:lang w:val="en-US" w:eastAsia="zh-CN"/>
        </w:rPr>
      </w:pPr>
      <w:r>
        <w:rPr>
          <w:rFonts w:hint="eastAsia" w:asciiTheme="minorEastAsia" w:hAnsiTheme="minorEastAsia" w:eastAsiaTheme="minorEastAsia" w:cstheme="minorEastAsia"/>
          <w:b/>
          <w:bCs w:val="0"/>
          <w:color w:val="auto"/>
          <w:lang w:val="en-US" w:eastAsia="zh-CN"/>
        </w:rPr>
        <w:t>6.4终验提交材料清单</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（1）验收申请；</w:t>
      </w:r>
    </w:p>
    <w:p>
      <w:pPr>
        <w:pStyle w:val="58"/>
        <w:spacing w:line="360" w:lineRule="auto"/>
        <w:ind w:firstLine="457" w:firstLineChars="218"/>
        <w:rPr>
          <w:rFonts w:hint="eastAsia" w:asciiTheme="minorEastAsia" w:hAnsiTheme="minorEastAsia" w:eastAsiaTheme="minorEastAsia" w:cstheme="minorEastAsia"/>
          <w:bCs/>
          <w:color w:val="auto"/>
          <w:lang w:val="en-US" w:eastAsia="zh-CN"/>
        </w:rPr>
      </w:pPr>
      <w:r>
        <w:rPr>
          <w:rFonts w:hint="eastAsia" w:asciiTheme="minorEastAsia" w:hAnsiTheme="minorEastAsia" w:eastAsiaTheme="minorEastAsia" w:cstheme="minorEastAsia"/>
          <w:bCs/>
          <w:color w:val="auto"/>
          <w:lang w:val="en-US" w:eastAsia="zh-CN"/>
        </w:rPr>
        <w:t>（2）运维报告；</w:t>
      </w:r>
    </w:p>
    <w:p>
      <w:pPr>
        <w:pageBreakBefore w:val="0"/>
        <w:numPr>
          <w:ilvl w:val="0"/>
          <w:numId w:val="0"/>
        </w:numPr>
        <w:kinsoku/>
        <w:wordWrap/>
        <w:topLinePunct w:val="0"/>
        <w:bidi w:val="0"/>
        <w:adjustRightInd w:val="0"/>
        <w:snapToGrid w:val="0"/>
        <w:spacing w:line="360" w:lineRule="auto"/>
        <w:ind w:lef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w:t>
      </w:r>
      <w:r>
        <w:rPr>
          <w:rFonts w:hint="eastAsia" w:ascii="宋体" w:hAnsi="宋体" w:eastAsia="宋体" w:cs="宋体"/>
          <w:color w:val="auto"/>
          <w:sz w:val="21"/>
          <w:szCs w:val="21"/>
          <w:highlight w:val="none"/>
          <w:lang w:eastAsia="zh-CN"/>
        </w:rPr>
        <w:t>管理相关文档；</w:t>
      </w:r>
    </w:p>
    <w:p>
      <w:pPr>
        <w:pStyle w:val="17"/>
        <w:spacing w:line="360" w:lineRule="auto"/>
        <w:ind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最终验收报告</w:t>
      </w:r>
      <w:r>
        <w:rPr>
          <w:rFonts w:hint="eastAsia" w:ascii="宋体" w:hAnsi="宋体" w:eastAsia="宋体" w:cs="宋体"/>
          <w:color w:val="auto"/>
          <w:sz w:val="21"/>
          <w:szCs w:val="21"/>
          <w:highlight w:val="none"/>
          <w:lang w:eastAsia="zh-CN"/>
        </w:rPr>
        <w:t>。</w:t>
      </w:r>
    </w:p>
    <w:p>
      <w:pPr>
        <w:pStyle w:val="17"/>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安全保障和罚责要求：</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1信息安全保密要求</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须严格遵守国家税务总局广西壮族自治区税务局的安全保密制度。</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投入的项目人员须保证遵守国家有关版权和知识产权保护的政策、法律、法规和制度。</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投入的项目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应负有连带责任。</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须与国家税务总局广西壮族自治区税务局签署合同项目实施期间的信息保密协议。</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投入的项目人员须与国家税务总局广西壮族自治区税务局签署合同项目实施期间的信息保密承诺书。</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2供应链安全管理要求</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在项目采购需求中，</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必须严格按照税务系统供应链安全管理的各项规定要求开展运维服务，包括但不限于：</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销售的产品具备销售许可证、满足国家认可的网络安全规范和认证要求；</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销售产品满足业务持续稳定运行时限需求的使用授权；</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采用安全可控的方式、渠道，交付产品或开展服务等；</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必须明确产品安全性，如不可利用产品的便利条件非法获取用户数据、控制和操纵用户系统和设备，不得在未授权情况下对产品进行升级或更新换代等；</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必须明确安全责任和义务，如供应商对软硬件产品和服务的设计、研发、生产、交付等关键环节加强安全管理；</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必须按照国家法律法规开展的安全审查、安全评估、渗透测试等；</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必须设置声明条款，说明采购第三方产品、开源限制性、知识产权等情况。</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3网络安全和数据安全管理要求</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投入的项目人员在合同期间应严格按采购人的网络安全和数据安全相关规定开展工作，由于</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投入的项目人员网络安全工作落实不到位引发安全事件的，采购人将视安全事件严重情况按合同</w:t>
      </w:r>
      <w:r>
        <w:rPr>
          <w:rFonts w:hint="eastAsia" w:ascii="宋体" w:hAnsi="宋体" w:cs="宋体"/>
          <w:snapToGrid w:val="0"/>
          <w:color w:val="auto"/>
          <w:kern w:val="0"/>
          <w:szCs w:val="21"/>
          <w:lang w:eastAsia="zh-CN"/>
        </w:rPr>
        <w:t>总</w:t>
      </w:r>
      <w:r>
        <w:rPr>
          <w:rFonts w:hint="eastAsia" w:ascii="宋体" w:hAnsi="宋体" w:eastAsia="宋体" w:cs="宋体"/>
          <w:b w:val="0"/>
          <w:bCs w:val="0"/>
          <w:color w:val="auto"/>
          <w:sz w:val="21"/>
          <w:szCs w:val="21"/>
        </w:rPr>
        <w:t>金额的20%-30%的比例进行扣减。</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安全事件具体内容主要包括(但不限于)以下内容：</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（1）因补丁升级、漏洞修复、系统杀毒、数据备份、应用监控、网络监控等工作未落实到位，发生服务器被控制和应用系统被攻破的安全事件，被主管部门通报的。</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（2）因违规进行税费数据查询、导出和拷出等操作造成敏感数据泄漏，以及发生非法窃取数据行为。</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（3）因运维操作处置不当导致重要应用系统发生严重卡顿、停用的重大事件。</w:t>
      </w:r>
    </w:p>
    <w:p>
      <w:pPr>
        <w:pStyle w:val="17"/>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7.4</w:t>
      </w:r>
      <w:r>
        <w:rPr>
          <w:rFonts w:hint="eastAsia" w:ascii="宋体" w:hAnsi="宋体" w:eastAsia="宋体" w:cs="宋体"/>
          <w:b w:val="0"/>
          <w:bCs w:val="0"/>
          <w:color w:val="auto"/>
          <w:sz w:val="21"/>
          <w:szCs w:val="21"/>
        </w:rPr>
        <w:t>罚责条款</w:t>
      </w:r>
    </w:p>
    <w:p>
      <w:pPr>
        <w:pStyle w:val="58"/>
        <w:spacing w:line="360" w:lineRule="auto"/>
        <w:ind w:firstLine="457" w:firstLineChars="218"/>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项目建设和运维过程中，因系统在对接、运行等服务中，导致其他系统受到影响的，由</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负责组织相关服务厂商共同排查，明确问题根源、责任并报告采购人。</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无法判定问题根源的，由</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承担全部责任。采购人将根据问题的轻重、</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责任的大小，扣除不高于合同款5%服务金额。</w:t>
      </w:r>
    </w:p>
    <w:p>
      <w:pPr>
        <w:pStyle w:val="58"/>
        <w:spacing w:line="360" w:lineRule="auto"/>
        <w:ind w:firstLine="457" w:firstLineChars="218"/>
        <w:rPr>
          <w:rFonts w:hint="eastAsia" w:ascii="宋体" w:hAnsi="宋体" w:eastAsia="宋体" w:cs="宋体"/>
          <w:b w:val="0"/>
          <w:bCs w:val="0"/>
          <w:color w:val="auto"/>
          <w:sz w:val="21"/>
          <w:szCs w:val="21"/>
          <w:lang w:eastAsia="zh-CN"/>
        </w:rPr>
      </w:pPr>
    </w:p>
    <w:p>
      <w:pPr>
        <w:pStyle w:val="58"/>
        <w:spacing w:line="360" w:lineRule="auto"/>
        <w:ind w:firstLine="457" w:firstLineChars="218"/>
        <w:rPr>
          <w:rFonts w:hint="eastAsia" w:ascii="宋体" w:hAnsi="宋体" w:cs="宋体" w:eastAsiaTheme="minorEastAsia"/>
          <w:b w:val="0"/>
          <w:bCs w:val="0"/>
          <w:color w:val="auto"/>
          <w:sz w:val="21"/>
          <w:szCs w:val="21"/>
          <w:lang w:eastAsia="zh-CN"/>
        </w:rPr>
      </w:pPr>
      <w:r>
        <w:rPr>
          <w:rFonts w:hint="eastAsia" w:ascii="宋体" w:hAnsi="宋体" w:eastAsia="宋体" w:cs="宋体"/>
          <w:b w:val="0"/>
          <w:bCs w:val="0"/>
          <w:color w:val="auto"/>
          <w:sz w:val="21"/>
          <w:szCs w:val="21"/>
          <w:lang w:eastAsia="zh-CN"/>
        </w:rPr>
        <w:t>二、</w:t>
      </w:r>
      <w:r>
        <w:rPr>
          <w:rFonts w:hint="eastAsia" w:asciiTheme="minorEastAsia" w:hAnsiTheme="minorEastAsia" w:eastAsiaTheme="minorEastAsia" w:cstheme="minorEastAsia"/>
          <w:b/>
          <w:color w:val="auto"/>
          <w:szCs w:val="21"/>
        </w:rPr>
        <w:t>商务</w:t>
      </w:r>
      <w:r>
        <w:rPr>
          <w:rFonts w:hint="eastAsia" w:asciiTheme="minorEastAsia" w:hAnsiTheme="minorEastAsia" w:eastAsiaTheme="minorEastAsia" w:cstheme="minorEastAsia"/>
          <w:b/>
          <w:color w:val="auto"/>
          <w:szCs w:val="21"/>
          <w:lang w:val="en-US" w:eastAsia="zh-CN"/>
        </w:rPr>
        <w:t>要求</w:t>
      </w:r>
    </w:p>
    <w:p>
      <w:pPr>
        <w:pStyle w:val="58"/>
        <w:spacing w:line="360" w:lineRule="auto"/>
        <w:ind w:firstLine="457" w:firstLineChars="218"/>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★1.交货时间、地点：（1）交货时间：合同签订后2个月内完成本项目要求的通信许可等软件产品安装；（2）交货地点：</w:t>
      </w:r>
      <w:r>
        <w:rPr>
          <w:rFonts w:hint="eastAsia"/>
          <w:color w:val="auto"/>
          <w:lang w:eastAsia="zh-CN"/>
        </w:rPr>
        <w:t>南宁市区甲方指定地点</w:t>
      </w:r>
      <w:r>
        <w:rPr>
          <w:rFonts w:hint="eastAsia" w:ascii="宋体" w:hAnsi="宋体" w:eastAsia="宋体" w:cs="宋体"/>
          <w:b w:val="0"/>
          <w:bCs w:val="0"/>
          <w:color w:val="auto"/>
          <w:sz w:val="21"/>
          <w:szCs w:val="21"/>
          <w:lang w:val="en-US" w:eastAsia="zh-CN"/>
        </w:rPr>
        <w:t>。</w:t>
      </w:r>
    </w:p>
    <w:p>
      <w:pPr>
        <w:spacing w:line="400" w:lineRule="exact"/>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w:t>
      </w:r>
      <w:r>
        <w:rPr>
          <w:rFonts w:hint="eastAsia" w:ascii="宋体" w:hAnsi="宋体" w:eastAsia="宋体" w:cs="宋体"/>
          <w:b w:val="0"/>
          <w:bCs w:val="0"/>
          <w:color w:val="auto"/>
          <w:sz w:val="21"/>
          <w:szCs w:val="21"/>
          <w:lang w:val="en-US" w:eastAsia="zh-CN"/>
        </w:rPr>
        <w:t>2.</w:t>
      </w:r>
      <w:r>
        <w:rPr>
          <w:rFonts w:hint="eastAsia" w:asciiTheme="minorEastAsia" w:hAnsiTheme="minorEastAsia" w:eastAsiaTheme="minorEastAsia" w:cstheme="minorEastAsia"/>
          <w:color w:val="auto"/>
          <w:szCs w:val="21"/>
        </w:rPr>
        <w:t>报价要求</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响应报价为采购人指定地点的现场交货价，包括：（1）货物的价格；（2）货物的标准附件、备品备件、专用工具的价格</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（3）运输、装卸、</w:t>
      </w:r>
      <w:r>
        <w:rPr>
          <w:rFonts w:hint="eastAsia" w:asciiTheme="minorEastAsia" w:hAnsiTheme="minorEastAsia" w:eastAsiaTheme="minorEastAsia" w:cstheme="minorEastAsia"/>
          <w:color w:val="auto"/>
          <w:szCs w:val="21"/>
          <w:lang w:eastAsia="zh-CN"/>
        </w:rPr>
        <w:t>安装</w:t>
      </w:r>
      <w:r>
        <w:rPr>
          <w:rFonts w:hint="eastAsia" w:asciiTheme="minorEastAsia" w:hAnsiTheme="minorEastAsia" w:eastAsiaTheme="minorEastAsia" w:cstheme="minorEastAsia"/>
          <w:color w:val="auto"/>
          <w:szCs w:val="21"/>
        </w:rPr>
        <w:t>调试、培训、技术支持、售后服务费</w:t>
      </w:r>
      <w:r>
        <w:rPr>
          <w:rFonts w:hint="eastAsia" w:asciiTheme="minorEastAsia" w:hAnsiTheme="minorEastAsia" w:eastAsiaTheme="minorEastAsia" w:cstheme="minorEastAsia"/>
          <w:color w:val="auto"/>
          <w:szCs w:val="21"/>
          <w:lang w:eastAsia="zh-CN"/>
        </w:rPr>
        <w:t>、利润、税金等所有费用</w:t>
      </w:r>
      <w:r>
        <w:rPr>
          <w:rFonts w:hint="eastAsia" w:asciiTheme="minorEastAsia" w:hAnsiTheme="minorEastAsia" w:eastAsiaTheme="minorEastAsia" w:cstheme="minorEastAsia"/>
          <w:color w:val="auto"/>
          <w:szCs w:val="21"/>
        </w:rPr>
        <w:t>。响应报价中应包含全部内容，成交后采购人不再另行支付额外费用。</w:t>
      </w:r>
    </w:p>
    <w:p>
      <w:pPr>
        <w:tabs>
          <w:tab w:val="center" w:pos="4890"/>
        </w:tabs>
        <w:spacing w:line="360" w:lineRule="auto"/>
        <w:ind w:firstLine="422" w:firstLineChars="200"/>
        <w:rPr>
          <w:rFonts w:ascii="宋体" w:hAnsi="宋体" w:cs="宋体"/>
          <w:color w:val="auto"/>
          <w:szCs w:val="21"/>
        </w:rPr>
      </w:pPr>
      <w:r>
        <w:rPr>
          <w:rFonts w:hint="eastAsia" w:asciiTheme="minorEastAsia" w:hAnsiTheme="minorEastAsia" w:eastAsiaTheme="minorEastAsia" w:cstheme="minorEastAsia"/>
          <w:b/>
          <w:color w:val="auto"/>
          <w:szCs w:val="21"/>
        </w:rPr>
        <w:t>★</w:t>
      </w:r>
      <w:r>
        <w:rPr>
          <w:rFonts w:hint="eastAsia" w:ascii="宋体" w:hAnsi="宋体" w:eastAsia="宋体" w:cs="宋体"/>
          <w:b w:val="0"/>
          <w:bCs w:val="0"/>
          <w:color w:val="auto"/>
          <w:sz w:val="21"/>
          <w:szCs w:val="21"/>
          <w:lang w:val="en-US" w:eastAsia="zh-CN"/>
        </w:rPr>
        <w:t>3.</w:t>
      </w:r>
      <w:r>
        <w:rPr>
          <w:rFonts w:hint="eastAsia" w:asciiTheme="minorEastAsia" w:hAnsiTheme="minorEastAsia" w:eastAsiaTheme="minorEastAsia" w:cstheme="minorEastAsia"/>
          <w:color w:val="auto"/>
          <w:szCs w:val="21"/>
        </w:rPr>
        <w:t>付款方式</w:t>
      </w:r>
      <w:r>
        <w:rPr>
          <w:rFonts w:hint="eastAsia" w:asciiTheme="minorEastAsia" w:hAnsiTheme="minorEastAsia" w:eastAsiaTheme="minorEastAsia" w:cstheme="minorEastAsia"/>
          <w:color w:val="auto"/>
          <w:szCs w:val="21"/>
          <w:lang w:eastAsia="zh-CN"/>
        </w:rPr>
        <w:t>：</w:t>
      </w:r>
      <w:r>
        <w:rPr>
          <w:rFonts w:hint="eastAsia" w:ascii="宋体" w:hAnsi="宋体" w:cs="宋体"/>
          <w:snapToGrid w:val="0"/>
          <w:color w:val="auto"/>
          <w:kern w:val="0"/>
          <w:szCs w:val="21"/>
        </w:rPr>
        <w:t>本项目分3个阶段支付</w:t>
      </w:r>
      <w:r>
        <w:rPr>
          <w:rFonts w:hint="eastAsia"/>
          <w:color w:val="auto"/>
        </w:rPr>
        <w:t>合同</w:t>
      </w:r>
      <w:r>
        <w:rPr>
          <w:rFonts w:hint="eastAsia" w:ascii="宋体" w:hAnsi="宋体" w:cs="宋体"/>
          <w:snapToGrid w:val="0"/>
          <w:color w:val="auto"/>
          <w:kern w:val="0"/>
          <w:szCs w:val="21"/>
          <w:lang w:eastAsia="zh-CN"/>
        </w:rPr>
        <w:t>总</w:t>
      </w:r>
      <w:r>
        <w:rPr>
          <w:rFonts w:hint="eastAsia"/>
          <w:color w:val="auto"/>
        </w:rPr>
        <w:t>金额</w:t>
      </w:r>
      <w:r>
        <w:rPr>
          <w:rFonts w:hint="eastAsia" w:ascii="宋体" w:hAnsi="宋体" w:cs="宋体"/>
          <w:snapToGrid w:val="0"/>
          <w:color w:val="auto"/>
          <w:kern w:val="0"/>
          <w:szCs w:val="21"/>
        </w:rPr>
        <w:t>，在合同签订后10个工作日内支付合同</w:t>
      </w:r>
      <w:r>
        <w:rPr>
          <w:rFonts w:hint="eastAsia" w:ascii="宋体" w:hAnsi="宋体" w:cs="宋体"/>
          <w:snapToGrid w:val="0"/>
          <w:color w:val="auto"/>
          <w:kern w:val="0"/>
          <w:szCs w:val="21"/>
          <w:lang w:eastAsia="zh-CN"/>
        </w:rPr>
        <w:t>总</w:t>
      </w:r>
      <w:r>
        <w:rPr>
          <w:rFonts w:hint="eastAsia" w:ascii="宋体" w:hAnsi="宋体" w:cs="宋体"/>
          <w:snapToGrid w:val="0"/>
          <w:color w:val="auto"/>
          <w:kern w:val="0"/>
          <w:szCs w:val="21"/>
        </w:rPr>
        <w:t>金额的50%；</w:t>
      </w:r>
      <w:r>
        <w:rPr>
          <w:rFonts w:hint="eastAsia"/>
          <w:color w:val="auto"/>
        </w:rPr>
        <w:t>产品安装完成</w:t>
      </w:r>
      <w:r>
        <w:rPr>
          <w:rFonts w:hint="eastAsia" w:ascii="宋体" w:hAnsi="宋体" w:cs="宋体"/>
          <w:snapToGrid w:val="0"/>
          <w:color w:val="auto"/>
          <w:kern w:val="0"/>
          <w:szCs w:val="21"/>
        </w:rPr>
        <w:t>，初步验收合格后10个工作日内，支付项目合同</w:t>
      </w:r>
      <w:r>
        <w:rPr>
          <w:rFonts w:hint="eastAsia" w:ascii="宋体" w:hAnsi="宋体" w:cs="宋体"/>
          <w:snapToGrid w:val="0"/>
          <w:color w:val="auto"/>
          <w:kern w:val="0"/>
          <w:szCs w:val="21"/>
          <w:lang w:eastAsia="zh-CN"/>
        </w:rPr>
        <w:t>总</w:t>
      </w:r>
      <w:r>
        <w:rPr>
          <w:rFonts w:hint="eastAsia" w:ascii="宋体" w:hAnsi="宋体" w:cs="宋体"/>
          <w:snapToGrid w:val="0"/>
          <w:color w:val="auto"/>
          <w:kern w:val="0"/>
          <w:szCs w:val="21"/>
        </w:rPr>
        <w:t>金额的20%；</w:t>
      </w:r>
      <w:r>
        <w:rPr>
          <w:rFonts w:hint="eastAsia"/>
          <w:color w:val="auto"/>
        </w:rPr>
        <w:t>质量保证期满</w:t>
      </w:r>
      <w:r>
        <w:rPr>
          <w:rFonts w:hint="eastAsia" w:ascii="宋体" w:hAnsi="宋体" w:cs="宋体"/>
          <w:snapToGrid w:val="0"/>
          <w:color w:val="auto"/>
          <w:kern w:val="0"/>
          <w:szCs w:val="21"/>
        </w:rPr>
        <w:t>满，根据项目验收标准以及合同罚责</w:t>
      </w:r>
      <w:r>
        <w:rPr>
          <w:rFonts w:hint="eastAsia" w:ascii="宋体" w:hAnsi="宋体" w:cs="宋体"/>
          <w:snapToGrid w:val="0"/>
          <w:color w:val="auto"/>
          <w:kern w:val="0"/>
          <w:szCs w:val="21"/>
        </w:rPr>
        <w:t>进行终验，终验合格后10个工作日内，支付剩余款项。</w:t>
      </w:r>
    </w:p>
    <w:p>
      <w:pPr>
        <w:tabs>
          <w:tab w:val="center" w:pos="4890"/>
        </w:tabs>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eastAsia="zh-CN"/>
        </w:rPr>
        <w:t>采购人</w:t>
      </w:r>
      <w:r>
        <w:rPr>
          <w:rFonts w:hint="eastAsia" w:ascii="宋体" w:hAnsi="宋体" w:eastAsia="宋体" w:cs="宋体"/>
          <w:color w:val="auto"/>
          <w:szCs w:val="21"/>
        </w:rPr>
        <w:t>付款前，</w:t>
      </w:r>
      <w:r>
        <w:rPr>
          <w:rFonts w:hint="eastAsia" w:ascii="宋体" w:hAnsi="宋体" w:eastAsia="宋体" w:cs="宋体"/>
          <w:color w:val="auto"/>
          <w:szCs w:val="21"/>
          <w:lang w:eastAsia="zh-CN"/>
        </w:rPr>
        <w:t>供应商</w:t>
      </w:r>
      <w:r>
        <w:rPr>
          <w:rFonts w:hint="eastAsia" w:ascii="宋体" w:hAnsi="宋体" w:eastAsia="宋体" w:cs="宋体"/>
          <w:color w:val="auto"/>
          <w:szCs w:val="21"/>
        </w:rPr>
        <w:t>应向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开具等额有效的增值税发票，</w:t>
      </w:r>
      <w:r>
        <w:rPr>
          <w:rFonts w:hint="eastAsia" w:ascii="宋体" w:hAnsi="宋体" w:eastAsia="宋体" w:cs="宋体"/>
          <w:color w:val="auto"/>
          <w:szCs w:val="21"/>
          <w:lang w:eastAsia="zh-CN"/>
        </w:rPr>
        <w:t>采购人</w:t>
      </w:r>
      <w:r>
        <w:rPr>
          <w:rFonts w:hint="eastAsia" w:ascii="宋体" w:hAnsi="宋体" w:eastAsia="宋体" w:cs="宋体"/>
          <w:color w:val="auto"/>
          <w:szCs w:val="21"/>
        </w:rPr>
        <w:t>未收到发票的，有权不予支付相应款项直至</w:t>
      </w:r>
      <w:r>
        <w:rPr>
          <w:rFonts w:hint="eastAsia" w:ascii="宋体" w:hAnsi="宋体" w:eastAsia="宋体" w:cs="宋体"/>
          <w:color w:val="auto"/>
          <w:szCs w:val="21"/>
          <w:lang w:eastAsia="zh-CN"/>
        </w:rPr>
        <w:t>供应商</w:t>
      </w:r>
      <w:r>
        <w:rPr>
          <w:rFonts w:hint="eastAsia" w:ascii="宋体" w:hAnsi="宋体" w:eastAsia="宋体" w:cs="宋体"/>
          <w:color w:val="auto"/>
          <w:szCs w:val="21"/>
        </w:rPr>
        <w:t>提供合格发票，并不承担延迟付款责任。</w:t>
      </w:r>
    </w:p>
    <w:p>
      <w:pPr>
        <w:tabs>
          <w:tab w:val="center" w:pos="4890"/>
        </w:tabs>
        <w:spacing w:line="360" w:lineRule="auto"/>
        <w:ind w:firstLine="422" w:firstLineChars="200"/>
        <w:rPr>
          <w:rFonts w:hint="eastAsia" w:ascii="宋体" w:hAnsi="宋体" w:eastAsia="宋体" w:cs="宋体"/>
          <w:b w:val="0"/>
          <w:bCs w:val="0"/>
          <w:color w:val="auto"/>
          <w:szCs w:val="21"/>
          <w:lang w:val="en-US" w:eastAsia="zh-CN"/>
        </w:rPr>
      </w:pP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szCs w:val="21"/>
          <w:lang w:val="en-US" w:eastAsia="zh-CN"/>
        </w:rPr>
        <w:t>4.</w:t>
      </w:r>
      <w:r>
        <w:rPr>
          <w:rFonts w:hint="eastAsia" w:asciiTheme="minorEastAsia" w:hAnsiTheme="minorEastAsia" w:eastAsiaTheme="minorEastAsia" w:cstheme="minorEastAsia"/>
          <w:b/>
          <w:color w:val="auto"/>
          <w:szCs w:val="21"/>
        </w:rPr>
        <w:t>技术支持、售后服务及质量保证期</w:t>
      </w:r>
      <w:r>
        <w:rPr>
          <w:rFonts w:hint="eastAsia" w:asciiTheme="minorEastAsia" w:hAnsiTheme="minorEastAsia" w:eastAsiaTheme="minorEastAsia" w:cstheme="minorEastAsia"/>
          <w:b/>
          <w:color w:val="auto"/>
          <w:szCs w:val="21"/>
          <w:lang w:val="en-US" w:eastAsia="zh-CN"/>
        </w:rPr>
        <w:t>：产品安装调试通过后12个月。</w:t>
      </w:r>
    </w:p>
    <w:p>
      <w:pPr>
        <w:tabs>
          <w:tab w:val="center" w:pos="4890"/>
        </w:tabs>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5.售后服务要求</w:t>
      </w:r>
    </w:p>
    <w:p>
      <w:pPr>
        <w:tabs>
          <w:tab w:val="center" w:pos="4890"/>
        </w:tabs>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供应商需为本项目提供全面完善的售后技术支持服务，系统稳定保障措施包括系统巡检、升级（包含业务规范调整的系统更新等）、现场故障检测及修复等。质量保证期满后可同时提供终身有偿维修保养服务。</w:t>
      </w:r>
    </w:p>
    <w:p>
      <w:pPr>
        <w:tabs>
          <w:tab w:val="center" w:pos="4890"/>
        </w:tabs>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（1）供应商在项目执行期间设立7×24小时响应服务热线，并安排有经验的工程师随时提供</w:t>
      </w:r>
      <w:r>
        <w:rPr>
          <w:rFonts w:hint="eastAsia" w:ascii="宋体" w:hAnsi="宋体" w:cs="宋体"/>
          <w:color w:val="auto"/>
          <w:szCs w:val="21"/>
          <w:lang w:val="en-US" w:eastAsia="zh-CN"/>
        </w:rPr>
        <w:t>服务</w:t>
      </w:r>
      <w:r>
        <w:rPr>
          <w:rFonts w:hint="eastAsia" w:ascii="宋体" w:hAnsi="宋体" w:eastAsia="宋体" w:cs="宋体"/>
          <w:color w:val="auto"/>
          <w:szCs w:val="21"/>
          <w:lang w:val="en-US" w:eastAsia="zh-CN"/>
        </w:rPr>
        <w:t>。</w:t>
      </w:r>
    </w:p>
    <w:p>
      <w:pPr>
        <w:tabs>
          <w:tab w:val="center" w:pos="4890"/>
        </w:tabs>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（2）因故障导致的系统业务中断一般不能超过30分钟，故障必须在24小时内解决，无法在24小时内解决的，必须提供解决时间表。</w:t>
      </w:r>
    </w:p>
    <w:p>
      <w:pPr>
        <w:tabs>
          <w:tab w:val="center" w:pos="4890"/>
        </w:tabs>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（3）处理故障时不能影响设备的正常运行，在必须进行系统重装或系统重启等重大操作时，须经采购人批准并协同处理。</w:t>
      </w:r>
    </w:p>
    <w:p>
      <w:pPr>
        <w:tabs>
          <w:tab w:val="center" w:pos="4890"/>
        </w:tabs>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（4）故障发生时，应按时限要求恢复系统正常运转，并查明故障原因，提出实施解决方案，在3个工作日内提交故障分析处理报告。</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422" w:firstLineChars="200"/>
        <w:jc w:val="both"/>
        <w:textAlignment w:val="baseline"/>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四、其他要求</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420" w:firstLineChars="200"/>
        <w:jc w:val="both"/>
        <w:textAlignment w:val="baseline"/>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供应商应依据项目需求提供需求响应服务方案，内容一般包括项目需求理解、</w:t>
      </w:r>
      <w:r>
        <w:rPr>
          <w:rFonts w:hint="eastAsia" w:ascii="宋体" w:hAnsi="宋体" w:cs="宋体"/>
          <w:color w:val="auto"/>
          <w:szCs w:val="21"/>
          <w:lang w:val="en-US" w:eastAsia="zh-CN"/>
        </w:rPr>
        <w:t>售后</w:t>
      </w:r>
      <w:r>
        <w:rPr>
          <w:rFonts w:hint="eastAsia" w:ascii="宋体" w:hAnsi="宋体" w:eastAsia="宋体" w:cs="宋体"/>
          <w:color w:val="auto"/>
          <w:szCs w:val="21"/>
          <w:lang w:val="en-US" w:eastAsia="zh-CN"/>
        </w:rPr>
        <w:t>服务方案、实施方案、验收方案、知识转移方案等，并列明供应商响应各个方案的具体内容。</w:t>
      </w:r>
    </w:p>
    <w:bookmarkEnd w:id="68"/>
    <w:p>
      <w:pPr>
        <w:pStyle w:val="17"/>
        <w:spacing w:after="0" w:line="400" w:lineRule="exact"/>
        <w:rPr>
          <w:rFonts w:asciiTheme="minorEastAsia" w:hAnsiTheme="minorEastAsia" w:eastAsiaTheme="minorEastAsia" w:cstheme="minorEastAsia"/>
          <w:color w:val="auto"/>
          <w:kern w:val="0"/>
          <w:sz w:val="24"/>
        </w:rPr>
      </w:pPr>
    </w:p>
    <w:p>
      <w:pPr>
        <w:pStyle w:val="58"/>
        <w:rPr>
          <w:rFonts w:ascii="宋体" w:hAnsi="宋体" w:cs="宋体"/>
          <w:b/>
          <w:color w:val="auto"/>
          <w:sz w:val="24"/>
        </w:rPr>
      </w:pPr>
    </w:p>
    <w:p>
      <w:pPr>
        <w:pStyle w:val="58"/>
        <w:rPr>
          <w:rFonts w:ascii="宋体" w:hAnsi="宋体" w:cs="宋体"/>
          <w:b/>
          <w:color w:val="auto"/>
          <w:sz w:val="24"/>
        </w:rPr>
      </w:pPr>
    </w:p>
    <w:p>
      <w:pPr>
        <w:rPr>
          <w:rFonts w:ascii="宋体" w:hAnsi="宋体" w:cs="宋体"/>
          <w:color w:val="auto"/>
          <w:sz w:val="24"/>
        </w:rPr>
      </w:pPr>
    </w:p>
    <w:p>
      <w:pPr>
        <w:ind w:firstLine="480" w:firstLineChars="200"/>
        <w:rPr>
          <w:rFonts w:ascii="宋体" w:hAnsi="宋体" w:cs="宋体"/>
          <w:color w:val="auto"/>
          <w:sz w:val="24"/>
        </w:rPr>
      </w:pPr>
    </w:p>
    <w:p>
      <w:pPr>
        <w:pStyle w:val="17"/>
        <w:spacing w:after="0" w:line="400" w:lineRule="exact"/>
        <w:rPr>
          <w:rFonts w:asciiTheme="minorEastAsia" w:hAnsiTheme="minorEastAsia" w:eastAsiaTheme="minorEastAsia" w:cstheme="minorEastAsia"/>
          <w:color w:val="auto"/>
          <w:kern w:val="0"/>
          <w:sz w:val="24"/>
        </w:rPr>
      </w:pPr>
    </w:p>
    <w:sectPr>
      <w:headerReference r:id="rId8" w:type="first"/>
      <w:footerReference r:id="rId11" w:type="first"/>
      <w:headerReference r:id="rId7" w:type="default"/>
      <w:footerReference r:id="rId9" w:type="default"/>
      <w:footerReference r:id="rId10" w:type="even"/>
      <w:pgSz w:w="11906" w:h="16838"/>
      <w:pgMar w:top="1417" w:right="1417" w:bottom="1417" w:left="1417" w:header="680" w:footer="680" w:gutter="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560" w:hanging="560"/>
      <w:jc w:val="center"/>
    </w:pPr>
  </w:p>
  <w:p>
    <w:pPr>
      <w:pStyle w:val="27"/>
      <w:ind w:left="560" w:hanging="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560" w:hanging="560"/>
      <w:jc w:val="center"/>
    </w:pP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560" w:hanging="560"/>
      <w:jc w:val="center"/>
    </w:pPr>
    <w:r>
      <mc:AlternateContent>
        <mc:Choice Requires="wps">
          <w:drawing>
            <wp:anchor distT="0" distB="0" distL="114300" distR="114300" simplePos="0" relativeHeight="251662336" behindDoc="0" locked="0" layoutInCell="1" allowOverlap="1">
              <wp:simplePos x="0" y="0"/>
              <wp:positionH relativeFrom="margin">
                <wp:posOffset>2600960</wp:posOffset>
              </wp:positionH>
              <wp:positionV relativeFrom="paragraph">
                <wp:posOffset>0</wp:posOffset>
              </wp:positionV>
              <wp:extent cx="3159760" cy="147955"/>
              <wp:effectExtent l="0" t="0" r="0" b="0"/>
              <wp:wrapNone/>
              <wp:docPr id="2" name="文本框 7"/>
              <wp:cNvGraphicFramePr/>
              <a:graphic xmlns:a="http://schemas.openxmlformats.org/drawingml/2006/main">
                <a:graphicData uri="http://schemas.microsoft.com/office/word/2010/wordprocessingShape">
                  <wps:wsp>
                    <wps:cNvSpPr txBox="1"/>
                    <wps:spPr>
                      <a:xfrm>
                        <a:off x="0" y="0"/>
                        <a:ext cx="3159760" cy="147955"/>
                      </a:xfrm>
                      <a:prstGeom prst="rect">
                        <a:avLst/>
                      </a:prstGeom>
                      <a:noFill/>
                      <a:ln>
                        <a:noFill/>
                      </a:ln>
                    </wps:spPr>
                    <wps:txbx>
                      <w:txbxContent>
                        <w:p>
                          <w:pPr>
                            <w:pStyle w:val="27"/>
                            <w:ind w:left="560" w:hanging="560"/>
                          </w:pPr>
                          <w:r>
                            <w:fldChar w:fldCharType="begin"/>
                          </w:r>
                          <w:r>
                            <w:instrText xml:space="preserve"> PAGE  \* MERGEFORMAT </w:instrText>
                          </w:r>
                          <w:r>
                            <w:fldChar w:fldCharType="separate"/>
                          </w:r>
                          <w:r>
                            <w:t>19</w:t>
                          </w:r>
                          <w:r>
                            <w:fldChar w:fldCharType="end"/>
                          </w:r>
                        </w:p>
                      </w:txbxContent>
                    </wps:txbx>
                    <wps:bodyPr lIns="0" tIns="0" rIns="0" bIns="0" upright="1">
                      <a:spAutoFit/>
                    </wps:bodyPr>
                  </wps:wsp>
                </a:graphicData>
              </a:graphic>
            </wp:anchor>
          </w:drawing>
        </mc:Choice>
        <mc:Fallback>
          <w:pict>
            <v:shape id="文本框 7" o:spid="_x0000_s1026" o:spt="202" type="#_x0000_t202" style="position:absolute;left:0pt;margin-left:204.8pt;margin-top:0pt;height:11.65pt;width:248.8pt;mso-position-horizontal-relative:margin;z-index:251662336;mso-width-relative:page;mso-height-relative:page;" filled="f" stroked="f" coordsize="21600,21600" o:gfxdata="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ZMHMbUAAAABwEAAA8AAAAAAAAAAQAgAAAAIgAAAGRycy9kb3ducmV2&#10;LnhtbFBLAQIUABQAAAAIAIdO4kDF9FDAxwEAAIwDAAAOAAAAAAAAAAEAIAAAACMBAABkcnMvZTJv&#10;RG9jLnhtbFBLBQYAAAAABgAGAFkBAABcBQAAAAA=&#10;">
              <v:fill on="f" focussize="0,0"/>
              <v:stroke on="f"/>
              <v:imagedata o:title=""/>
              <o:lock v:ext="edit" aspectratio="f"/>
              <v:textbox inset="0mm,0mm,0mm,0mm" style="mso-fit-shape-to-text:t;">
                <w:txbxContent>
                  <w:p>
                    <w:pPr>
                      <w:pStyle w:val="27"/>
                      <w:ind w:left="560" w:hanging="560"/>
                    </w:pPr>
                    <w:r>
                      <w:fldChar w:fldCharType="begin"/>
                    </w:r>
                    <w:r>
                      <w:instrText xml:space="preserve"> PAGE  \* MERGEFORMAT </w:instrText>
                    </w:r>
                    <w:r>
                      <w:fldChar w:fldCharType="separate"/>
                    </w:r>
                    <w:r>
                      <w:t>19</w:t>
                    </w:r>
                    <w:r>
                      <w:fldChar w:fldCharType="end"/>
                    </w:r>
                  </w:p>
                </w:txbxContent>
              </v:textbox>
            </v:shape>
          </w:pict>
        </mc:Fallback>
      </mc:AlternateContent>
    </w:r>
  </w:p>
  <w:p>
    <w:pPr>
      <w:pStyle w:val="27"/>
      <w:ind w:left="560" w:hanging="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jc w:val="center"/>
                          </w:pPr>
                          <w:r>
                            <w:fldChar w:fldCharType="begin"/>
                          </w:r>
                          <w:r>
                            <w:instrText xml:space="preserve"> PAGE   \* MERGEFORMAT </w:instrText>
                          </w:r>
                          <w:r>
                            <w:fldChar w:fldCharType="separate"/>
                          </w:r>
                          <w:r>
                            <w:rPr>
                              <w:lang w:val="zh-CN"/>
                            </w:rPr>
                            <w:t>28</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fill on="f" focussize="0,0"/>
              <v:stroke on="f"/>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28</w:t>
                    </w:r>
                    <w:r>
                      <w:fldChar w:fldCharType="end"/>
                    </w:r>
                  </w:p>
                </w:txbxContent>
              </v:textbox>
            </v:shape>
          </w:pict>
        </mc:Fallback>
      </mc:AlternateContent>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55880" cy="147955"/>
              <wp:effectExtent l="0" t="0" r="0" b="0"/>
              <wp:wrapSquare wrapText="bothSides"/>
              <wp:docPr id="1" name="文本框 1028"/>
              <wp:cNvGraphicFramePr/>
              <a:graphic xmlns:a="http://schemas.openxmlformats.org/drawingml/2006/main">
                <a:graphicData uri="http://schemas.microsoft.com/office/word/2010/wordprocessingShape">
                  <wps:wsp>
                    <wps:cNvSpPr txBox="1"/>
                    <wps:spPr>
                      <a:xfrm>
                        <a:off x="0" y="0"/>
                        <a:ext cx="55880" cy="147955"/>
                      </a:xfrm>
                      <a:prstGeom prst="rect">
                        <a:avLst/>
                      </a:prstGeom>
                      <a:noFill/>
                      <a:ln>
                        <a:noFill/>
                      </a:ln>
                      <a:effectLst/>
                    </wps:spPr>
                    <wps:txbx>
                      <w:txbxContent>
                        <w:p>
                          <w:pPr>
                            <w:pStyle w:val="27"/>
                            <w:rPr>
                              <w:rStyle w:val="50"/>
                            </w:rPr>
                          </w:pPr>
                          <w:r>
                            <w:rPr>
                              <w:rStyle w:val="50"/>
                            </w:rPr>
                            <w:fldChar w:fldCharType="begin"/>
                          </w:r>
                          <w:r>
                            <w:rPr>
                              <w:rStyle w:val="50"/>
                            </w:rPr>
                            <w:instrText xml:space="preserve">PAGE  </w:instrText>
                          </w:r>
                          <w:r>
                            <w:rPr>
                              <w:rStyle w:val="50"/>
                            </w:rPr>
                            <w:fldChar w:fldCharType="separate"/>
                          </w:r>
                          <w:r>
                            <w:rPr>
                              <w:rStyle w:val="50"/>
                            </w:rPr>
                            <w:t>1</w:t>
                          </w:r>
                          <w:r>
                            <w:rPr>
                              <w:rStyle w:val="50"/>
                            </w:rPr>
                            <w:fldChar w:fldCharType="end"/>
                          </w:r>
                        </w:p>
                      </w:txbxContent>
                    </wps:txbx>
                    <wps:bodyPr lIns="0" tIns="0" rIns="0" bIns="0" upright="1"/>
                  </wps:wsp>
                </a:graphicData>
              </a:graphic>
            </wp:anchor>
          </w:drawing>
        </mc:Choice>
        <mc:Fallback>
          <w:pict>
            <v:shape id="文本框 1028" o:spid="_x0000_s1026"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o:gfxdata="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gqqbTAAAAAgEAAA8AAAAAAAAAAQAgAAAAIgAAAGRycy9kb3ducmV2LnhtbFBLAQIU&#10;ABQAAAAIAIdO4kDEtU8jvwEAAIEDAAAOAAAAAAAAAAEAIAAAACIBAABkcnMvZTJvRG9jLnhtbFBL&#10;BQYAAAAABgAGAFkBAABTBQAAAAA=&#10;">
              <v:fill on="f" focussize="0,0"/>
              <v:stroke on="f"/>
              <v:imagedata o:title=""/>
              <o:lock v:ext="edit" aspectratio="f"/>
              <v:textbox inset="0mm,0mm,0mm,0mm">
                <w:txbxContent>
                  <w:p>
                    <w:pPr>
                      <w:pStyle w:val="27"/>
                      <w:rPr>
                        <w:rStyle w:val="50"/>
                      </w:rPr>
                    </w:pPr>
                    <w:r>
                      <w:rPr>
                        <w:rStyle w:val="50"/>
                      </w:rPr>
                      <w:fldChar w:fldCharType="begin"/>
                    </w:r>
                    <w:r>
                      <w:rPr>
                        <w:rStyle w:val="50"/>
                      </w:rPr>
                      <w:instrText xml:space="preserve">PAGE  </w:instrText>
                    </w:r>
                    <w:r>
                      <w:rPr>
                        <w:rStyle w:val="50"/>
                      </w:rPr>
                      <w:fldChar w:fldCharType="separate"/>
                    </w:r>
                    <w:r>
                      <w:rPr>
                        <w:rStyle w:val="50"/>
                      </w:rPr>
                      <w:t>1</w:t>
                    </w:r>
                    <w:r>
                      <w:rPr>
                        <w:rStyle w:val="50"/>
                      </w:rPr>
                      <w:fldChar w:fldCharType="end"/>
                    </w:r>
                  </w:p>
                </w:txbxContent>
              </v:textbox>
              <w10:wrap type="squar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GRyM8BAACqAwAADgAAAGRycy9lMm9Eb2MueG1srVPNjtMwEL4j8Q6W&#10;7zRph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WW5&#10;ukkK9R4rKrz3VBqHt26gvZnjSMFEfGiDSV+ixChP+p6v+sIQmUyX1qv1uqSUpNzsEH7xcN0HjO/A&#10;GZaMmgd6wKyrOH3AOJbOJambdXdK6/yI2v4VIMwxAnkLptuJyThxsuKwHyZ6e9eciV1Pm1BzS4vP&#10;mX5vSei0NLMRZmM/G0cf1KHLW5W6o39zjDRSnjR1GGGJYXLoCTPXad3Sjjz2c9XDL7b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csZHIzwEAAKoDAAAOAAAAAAAAAAEAIAAAAB4BAABkcnMv&#10;ZTJvRG9jLnhtbFBLBQYAAAAABgAGAFkBAABf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center" w:pos="0"/>
        <w:tab w:val="lef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B0357"/>
    <w:multiLevelType w:val="singleLevel"/>
    <w:tmpl w:val="F28B0357"/>
    <w:lvl w:ilvl="0" w:tentative="0">
      <w:start w:val="1"/>
      <w:numFmt w:val="decimal"/>
      <w:pStyle w:val="14"/>
      <w:lvlText w:val="%1."/>
      <w:lvlJc w:val="left"/>
      <w:pPr>
        <w:tabs>
          <w:tab w:val="left" w:pos="780"/>
        </w:tabs>
        <w:ind w:left="780" w:hanging="360"/>
      </w:pPr>
    </w:lvl>
  </w:abstractNum>
  <w:abstractNum w:abstractNumId="1">
    <w:nsid w:val="011665DF"/>
    <w:multiLevelType w:val="singleLevel"/>
    <w:tmpl w:val="011665DF"/>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s>
  <w:rsids>
    <w:rsidRoot w:val="00172A27"/>
    <w:rsid w:val="00000960"/>
    <w:rsid w:val="00003934"/>
    <w:rsid w:val="000046D1"/>
    <w:rsid w:val="000142D2"/>
    <w:rsid w:val="00014708"/>
    <w:rsid w:val="0001578C"/>
    <w:rsid w:val="00015E99"/>
    <w:rsid w:val="00017405"/>
    <w:rsid w:val="00021194"/>
    <w:rsid w:val="00021FCF"/>
    <w:rsid w:val="00022B7F"/>
    <w:rsid w:val="00022CFD"/>
    <w:rsid w:val="0002357F"/>
    <w:rsid w:val="0002410C"/>
    <w:rsid w:val="00025159"/>
    <w:rsid w:val="0002718B"/>
    <w:rsid w:val="000273A6"/>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1F9"/>
    <w:rsid w:val="00055B11"/>
    <w:rsid w:val="0005713B"/>
    <w:rsid w:val="000577C1"/>
    <w:rsid w:val="0006022C"/>
    <w:rsid w:val="00061984"/>
    <w:rsid w:val="00065FDD"/>
    <w:rsid w:val="00070B9D"/>
    <w:rsid w:val="00072475"/>
    <w:rsid w:val="00074F7C"/>
    <w:rsid w:val="00075373"/>
    <w:rsid w:val="00075756"/>
    <w:rsid w:val="00076F2E"/>
    <w:rsid w:val="0008771B"/>
    <w:rsid w:val="00087E83"/>
    <w:rsid w:val="0009232A"/>
    <w:rsid w:val="00094CF1"/>
    <w:rsid w:val="00094DE1"/>
    <w:rsid w:val="00095950"/>
    <w:rsid w:val="000972D3"/>
    <w:rsid w:val="000A06DB"/>
    <w:rsid w:val="000A09C2"/>
    <w:rsid w:val="000A10AD"/>
    <w:rsid w:val="000A24A8"/>
    <w:rsid w:val="000A31E5"/>
    <w:rsid w:val="000A3CB3"/>
    <w:rsid w:val="000A4217"/>
    <w:rsid w:val="000A4669"/>
    <w:rsid w:val="000A4A74"/>
    <w:rsid w:val="000B232F"/>
    <w:rsid w:val="000B2A1B"/>
    <w:rsid w:val="000B35F9"/>
    <w:rsid w:val="000B5DE0"/>
    <w:rsid w:val="000B5F88"/>
    <w:rsid w:val="000B60AB"/>
    <w:rsid w:val="000B74D6"/>
    <w:rsid w:val="000B7917"/>
    <w:rsid w:val="000C0F9C"/>
    <w:rsid w:val="000C4CED"/>
    <w:rsid w:val="000D0531"/>
    <w:rsid w:val="000D4435"/>
    <w:rsid w:val="000D4A3D"/>
    <w:rsid w:val="000E0CD4"/>
    <w:rsid w:val="000E632D"/>
    <w:rsid w:val="000F1938"/>
    <w:rsid w:val="000F23E8"/>
    <w:rsid w:val="000F3111"/>
    <w:rsid w:val="000F532A"/>
    <w:rsid w:val="000F5C3C"/>
    <w:rsid w:val="000F600E"/>
    <w:rsid w:val="000F7E48"/>
    <w:rsid w:val="001010AD"/>
    <w:rsid w:val="00101A39"/>
    <w:rsid w:val="001026ED"/>
    <w:rsid w:val="00102DE9"/>
    <w:rsid w:val="00103508"/>
    <w:rsid w:val="0010421E"/>
    <w:rsid w:val="00105F0C"/>
    <w:rsid w:val="0010767E"/>
    <w:rsid w:val="00113C18"/>
    <w:rsid w:val="00114D66"/>
    <w:rsid w:val="00114F05"/>
    <w:rsid w:val="0011654B"/>
    <w:rsid w:val="00121BDF"/>
    <w:rsid w:val="001223B1"/>
    <w:rsid w:val="0012250B"/>
    <w:rsid w:val="001239EB"/>
    <w:rsid w:val="001266AC"/>
    <w:rsid w:val="0013021D"/>
    <w:rsid w:val="001321B0"/>
    <w:rsid w:val="001331EA"/>
    <w:rsid w:val="00146C0D"/>
    <w:rsid w:val="00150F3C"/>
    <w:rsid w:val="0015199A"/>
    <w:rsid w:val="001536C8"/>
    <w:rsid w:val="00155472"/>
    <w:rsid w:val="001632C9"/>
    <w:rsid w:val="00163355"/>
    <w:rsid w:val="00165006"/>
    <w:rsid w:val="00171026"/>
    <w:rsid w:val="00172A27"/>
    <w:rsid w:val="001733A3"/>
    <w:rsid w:val="00174813"/>
    <w:rsid w:val="00174F3B"/>
    <w:rsid w:val="0017557A"/>
    <w:rsid w:val="00177125"/>
    <w:rsid w:val="00177132"/>
    <w:rsid w:val="00180171"/>
    <w:rsid w:val="00181513"/>
    <w:rsid w:val="00183C2B"/>
    <w:rsid w:val="00184AC7"/>
    <w:rsid w:val="00184E2B"/>
    <w:rsid w:val="0018575E"/>
    <w:rsid w:val="00185A2A"/>
    <w:rsid w:val="0018797D"/>
    <w:rsid w:val="00191E07"/>
    <w:rsid w:val="001921DE"/>
    <w:rsid w:val="00192C6A"/>
    <w:rsid w:val="00192C88"/>
    <w:rsid w:val="00192F7E"/>
    <w:rsid w:val="001939EE"/>
    <w:rsid w:val="001A0B6F"/>
    <w:rsid w:val="001A407A"/>
    <w:rsid w:val="001A6CCF"/>
    <w:rsid w:val="001B239D"/>
    <w:rsid w:val="001B2A1F"/>
    <w:rsid w:val="001B3678"/>
    <w:rsid w:val="001B43CB"/>
    <w:rsid w:val="001B43F9"/>
    <w:rsid w:val="001B59EA"/>
    <w:rsid w:val="001B6E16"/>
    <w:rsid w:val="001C0123"/>
    <w:rsid w:val="001C1B95"/>
    <w:rsid w:val="001C48BA"/>
    <w:rsid w:val="001C64A3"/>
    <w:rsid w:val="001C67E0"/>
    <w:rsid w:val="001C749A"/>
    <w:rsid w:val="001D3642"/>
    <w:rsid w:val="001D3BEA"/>
    <w:rsid w:val="001D6B85"/>
    <w:rsid w:val="001E0038"/>
    <w:rsid w:val="001E0EE8"/>
    <w:rsid w:val="001E123D"/>
    <w:rsid w:val="001E1D82"/>
    <w:rsid w:val="001E2172"/>
    <w:rsid w:val="001E3426"/>
    <w:rsid w:val="001E40A9"/>
    <w:rsid w:val="001E42A5"/>
    <w:rsid w:val="001E45FD"/>
    <w:rsid w:val="001F0359"/>
    <w:rsid w:val="001F050A"/>
    <w:rsid w:val="001F2A66"/>
    <w:rsid w:val="001F55B7"/>
    <w:rsid w:val="001F6BCF"/>
    <w:rsid w:val="001F7378"/>
    <w:rsid w:val="001F7F94"/>
    <w:rsid w:val="002046DE"/>
    <w:rsid w:val="00204D53"/>
    <w:rsid w:val="0021170C"/>
    <w:rsid w:val="00212F28"/>
    <w:rsid w:val="0021341F"/>
    <w:rsid w:val="00215ED1"/>
    <w:rsid w:val="002161BC"/>
    <w:rsid w:val="002217BE"/>
    <w:rsid w:val="00225101"/>
    <w:rsid w:val="00226238"/>
    <w:rsid w:val="002275C5"/>
    <w:rsid w:val="00227B5F"/>
    <w:rsid w:val="002312CF"/>
    <w:rsid w:val="00231531"/>
    <w:rsid w:val="00231BD2"/>
    <w:rsid w:val="00231DA6"/>
    <w:rsid w:val="00231F3C"/>
    <w:rsid w:val="0023229F"/>
    <w:rsid w:val="00232460"/>
    <w:rsid w:val="002332C2"/>
    <w:rsid w:val="002338EA"/>
    <w:rsid w:val="00234799"/>
    <w:rsid w:val="00235C65"/>
    <w:rsid w:val="0023774B"/>
    <w:rsid w:val="00237865"/>
    <w:rsid w:val="00237AB5"/>
    <w:rsid w:val="002412C8"/>
    <w:rsid w:val="00241912"/>
    <w:rsid w:val="00242780"/>
    <w:rsid w:val="002448DF"/>
    <w:rsid w:val="002456EF"/>
    <w:rsid w:val="00250F63"/>
    <w:rsid w:val="00251173"/>
    <w:rsid w:val="00251DFC"/>
    <w:rsid w:val="00251E91"/>
    <w:rsid w:val="00252B76"/>
    <w:rsid w:val="0025309D"/>
    <w:rsid w:val="002541E9"/>
    <w:rsid w:val="00255B80"/>
    <w:rsid w:val="00257541"/>
    <w:rsid w:val="0026048F"/>
    <w:rsid w:val="002619DF"/>
    <w:rsid w:val="002631F8"/>
    <w:rsid w:val="00263B6D"/>
    <w:rsid w:val="00265D56"/>
    <w:rsid w:val="00265E27"/>
    <w:rsid w:val="00270871"/>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2FE2"/>
    <w:rsid w:val="002941F9"/>
    <w:rsid w:val="002951DC"/>
    <w:rsid w:val="002A3424"/>
    <w:rsid w:val="002A392A"/>
    <w:rsid w:val="002A3EED"/>
    <w:rsid w:val="002A5179"/>
    <w:rsid w:val="002B0F69"/>
    <w:rsid w:val="002B51A0"/>
    <w:rsid w:val="002B5FDF"/>
    <w:rsid w:val="002C03F9"/>
    <w:rsid w:val="002C3239"/>
    <w:rsid w:val="002C54B9"/>
    <w:rsid w:val="002C6AE0"/>
    <w:rsid w:val="002C7A90"/>
    <w:rsid w:val="002D1C4F"/>
    <w:rsid w:val="002D4D6A"/>
    <w:rsid w:val="002D584E"/>
    <w:rsid w:val="002D5C2E"/>
    <w:rsid w:val="002D690A"/>
    <w:rsid w:val="002E0238"/>
    <w:rsid w:val="002E048B"/>
    <w:rsid w:val="002E270A"/>
    <w:rsid w:val="002E29FC"/>
    <w:rsid w:val="002E2E60"/>
    <w:rsid w:val="002E3CDF"/>
    <w:rsid w:val="002E4E6E"/>
    <w:rsid w:val="002E7EC2"/>
    <w:rsid w:val="002F1614"/>
    <w:rsid w:val="002F17F3"/>
    <w:rsid w:val="002F4F40"/>
    <w:rsid w:val="0030206C"/>
    <w:rsid w:val="00304234"/>
    <w:rsid w:val="00304A81"/>
    <w:rsid w:val="00304BA2"/>
    <w:rsid w:val="00305C86"/>
    <w:rsid w:val="0030771C"/>
    <w:rsid w:val="00307DC5"/>
    <w:rsid w:val="00310172"/>
    <w:rsid w:val="0031577C"/>
    <w:rsid w:val="003162DB"/>
    <w:rsid w:val="003201A1"/>
    <w:rsid w:val="00322210"/>
    <w:rsid w:val="0032478C"/>
    <w:rsid w:val="0032731A"/>
    <w:rsid w:val="00327522"/>
    <w:rsid w:val="00331B36"/>
    <w:rsid w:val="003342E3"/>
    <w:rsid w:val="00337B20"/>
    <w:rsid w:val="00340B4C"/>
    <w:rsid w:val="00343058"/>
    <w:rsid w:val="003432ED"/>
    <w:rsid w:val="00343DED"/>
    <w:rsid w:val="00344B87"/>
    <w:rsid w:val="00346332"/>
    <w:rsid w:val="00346B05"/>
    <w:rsid w:val="00347A69"/>
    <w:rsid w:val="003514B5"/>
    <w:rsid w:val="00351912"/>
    <w:rsid w:val="003543CA"/>
    <w:rsid w:val="00356326"/>
    <w:rsid w:val="00361526"/>
    <w:rsid w:val="003637C2"/>
    <w:rsid w:val="00370A92"/>
    <w:rsid w:val="0037135D"/>
    <w:rsid w:val="003714D2"/>
    <w:rsid w:val="003735D6"/>
    <w:rsid w:val="00373739"/>
    <w:rsid w:val="00373D5F"/>
    <w:rsid w:val="00374D50"/>
    <w:rsid w:val="00375816"/>
    <w:rsid w:val="00376208"/>
    <w:rsid w:val="003767DE"/>
    <w:rsid w:val="00377947"/>
    <w:rsid w:val="00381D20"/>
    <w:rsid w:val="00384A87"/>
    <w:rsid w:val="00385816"/>
    <w:rsid w:val="0039036C"/>
    <w:rsid w:val="0039087F"/>
    <w:rsid w:val="00391A8A"/>
    <w:rsid w:val="003926AE"/>
    <w:rsid w:val="00392D34"/>
    <w:rsid w:val="0039314E"/>
    <w:rsid w:val="003932BC"/>
    <w:rsid w:val="00393554"/>
    <w:rsid w:val="00393FFC"/>
    <w:rsid w:val="00397158"/>
    <w:rsid w:val="00397360"/>
    <w:rsid w:val="003A0914"/>
    <w:rsid w:val="003A0D8C"/>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402C"/>
    <w:rsid w:val="003C5091"/>
    <w:rsid w:val="003C7C0C"/>
    <w:rsid w:val="003D1C01"/>
    <w:rsid w:val="003D21F0"/>
    <w:rsid w:val="003D5297"/>
    <w:rsid w:val="003E10B1"/>
    <w:rsid w:val="003E2B5D"/>
    <w:rsid w:val="003E3083"/>
    <w:rsid w:val="003E3208"/>
    <w:rsid w:val="003E358C"/>
    <w:rsid w:val="003E3AD0"/>
    <w:rsid w:val="003E76DC"/>
    <w:rsid w:val="003E7B69"/>
    <w:rsid w:val="003F04C6"/>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48E4"/>
    <w:rsid w:val="00415B26"/>
    <w:rsid w:val="0041614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04C1"/>
    <w:rsid w:val="00441F42"/>
    <w:rsid w:val="00443154"/>
    <w:rsid w:val="004433E7"/>
    <w:rsid w:val="00443B6C"/>
    <w:rsid w:val="00445710"/>
    <w:rsid w:val="00445E17"/>
    <w:rsid w:val="00446DA4"/>
    <w:rsid w:val="004503AF"/>
    <w:rsid w:val="00450ED6"/>
    <w:rsid w:val="00451A42"/>
    <w:rsid w:val="00452491"/>
    <w:rsid w:val="004524E2"/>
    <w:rsid w:val="00452B03"/>
    <w:rsid w:val="0045342F"/>
    <w:rsid w:val="004545B6"/>
    <w:rsid w:val="004547FC"/>
    <w:rsid w:val="004549E0"/>
    <w:rsid w:val="004576BB"/>
    <w:rsid w:val="00460930"/>
    <w:rsid w:val="00461248"/>
    <w:rsid w:val="00462E7E"/>
    <w:rsid w:val="00463408"/>
    <w:rsid w:val="00465E4E"/>
    <w:rsid w:val="004663B2"/>
    <w:rsid w:val="004664C6"/>
    <w:rsid w:val="00467160"/>
    <w:rsid w:val="00473E7D"/>
    <w:rsid w:val="0048190A"/>
    <w:rsid w:val="00485167"/>
    <w:rsid w:val="0048749D"/>
    <w:rsid w:val="00487E46"/>
    <w:rsid w:val="00490498"/>
    <w:rsid w:val="00491CBD"/>
    <w:rsid w:val="0049318F"/>
    <w:rsid w:val="00494B94"/>
    <w:rsid w:val="004958A1"/>
    <w:rsid w:val="00496112"/>
    <w:rsid w:val="004973C7"/>
    <w:rsid w:val="004A1144"/>
    <w:rsid w:val="004A20D8"/>
    <w:rsid w:val="004B0A78"/>
    <w:rsid w:val="004B42EE"/>
    <w:rsid w:val="004B5C32"/>
    <w:rsid w:val="004B5CE4"/>
    <w:rsid w:val="004C16BB"/>
    <w:rsid w:val="004C214D"/>
    <w:rsid w:val="004C2176"/>
    <w:rsid w:val="004C3576"/>
    <w:rsid w:val="004C5463"/>
    <w:rsid w:val="004C5ADF"/>
    <w:rsid w:val="004C655C"/>
    <w:rsid w:val="004C76AF"/>
    <w:rsid w:val="004D1420"/>
    <w:rsid w:val="004D2E46"/>
    <w:rsid w:val="004D3259"/>
    <w:rsid w:val="004D326F"/>
    <w:rsid w:val="004D412B"/>
    <w:rsid w:val="004D5383"/>
    <w:rsid w:val="004E38E6"/>
    <w:rsid w:val="004E61CF"/>
    <w:rsid w:val="004E6F3E"/>
    <w:rsid w:val="004F07A5"/>
    <w:rsid w:val="004F0C60"/>
    <w:rsid w:val="004F2286"/>
    <w:rsid w:val="00502584"/>
    <w:rsid w:val="00503206"/>
    <w:rsid w:val="0050470E"/>
    <w:rsid w:val="00510164"/>
    <w:rsid w:val="00511EE4"/>
    <w:rsid w:val="00516D65"/>
    <w:rsid w:val="0052201E"/>
    <w:rsid w:val="0053115F"/>
    <w:rsid w:val="005328E3"/>
    <w:rsid w:val="005334B2"/>
    <w:rsid w:val="00535142"/>
    <w:rsid w:val="005352A6"/>
    <w:rsid w:val="00536795"/>
    <w:rsid w:val="00536CDB"/>
    <w:rsid w:val="00537CE9"/>
    <w:rsid w:val="00540CDA"/>
    <w:rsid w:val="00545C33"/>
    <w:rsid w:val="005479EF"/>
    <w:rsid w:val="00547ACC"/>
    <w:rsid w:val="00550638"/>
    <w:rsid w:val="00553217"/>
    <w:rsid w:val="005553D5"/>
    <w:rsid w:val="00556177"/>
    <w:rsid w:val="0055688A"/>
    <w:rsid w:val="00556A6B"/>
    <w:rsid w:val="00557310"/>
    <w:rsid w:val="00561D85"/>
    <w:rsid w:val="00563159"/>
    <w:rsid w:val="005647E9"/>
    <w:rsid w:val="00564CE8"/>
    <w:rsid w:val="00566865"/>
    <w:rsid w:val="00566A1D"/>
    <w:rsid w:val="0057165E"/>
    <w:rsid w:val="005722FB"/>
    <w:rsid w:val="00573A73"/>
    <w:rsid w:val="00574209"/>
    <w:rsid w:val="00574696"/>
    <w:rsid w:val="00577D13"/>
    <w:rsid w:val="00580CEC"/>
    <w:rsid w:val="00580DAD"/>
    <w:rsid w:val="00583E39"/>
    <w:rsid w:val="00584289"/>
    <w:rsid w:val="005848C6"/>
    <w:rsid w:val="005857B8"/>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4176"/>
    <w:rsid w:val="005B4AB1"/>
    <w:rsid w:val="005B5E3A"/>
    <w:rsid w:val="005B5FA2"/>
    <w:rsid w:val="005C24E2"/>
    <w:rsid w:val="005C2F54"/>
    <w:rsid w:val="005C43B1"/>
    <w:rsid w:val="005C49EA"/>
    <w:rsid w:val="005C6648"/>
    <w:rsid w:val="005C7EA5"/>
    <w:rsid w:val="005D1FAF"/>
    <w:rsid w:val="005D2705"/>
    <w:rsid w:val="005D2E42"/>
    <w:rsid w:val="005D2F91"/>
    <w:rsid w:val="005D4399"/>
    <w:rsid w:val="005D6E65"/>
    <w:rsid w:val="005E259B"/>
    <w:rsid w:val="005E3506"/>
    <w:rsid w:val="005E7C5C"/>
    <w:rsid w:val="005E7EB2"/>
    <w:rsid w:val="005F0B39"/>
    <w:rsid w:val="005F1E51"/>
    <w:rsid w:val="005F524C"/>
    <w:rsid w:val="005F65D1"/>
    <w:rsid w:val="006007A8"/>
    <w:rsid w:val="00600F3F"/>
    <w:rsid w:val="00602378"/>
    <w:rsid w:val="00605DEB"/>
    <w:rsid w:val="006061C8"/>
    <w:rsid w:val="00606E84"/>
    <w:rsid w:val="00611A13"/>
    <w:rsid w:val="00613429"/>
    <w:rsid w:val="00613D41"/>
    <w:rsid w:val="00614DF2"/>
    <w:rsid w:val="0061564E"/>
    <w:rsid w:val="00615AC0"/>
    <w:rsid w:val="00616293"/>
    <w:rsid w:val="0062357D"/>
    <w:rsid w:val="00623A74"/>
    <w:rsid w:val="00624245"/>
    <w:rsid w:val="00624796"/>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3E7A"/>
    <w:rsid w:val="00674A72"/>
    <w:rsid w:val="00675057"/>
    <w:rsid w:val="00675CC0"/>
    <w:rsid w:val="006763C2"/>
    <w:rsid w:val="00677346"/>
    <w:rsid w:val="00683123"/>
    <w:rsid w:val="0068437B"/>
    <w:rsid w:val="0068637D"/>
    <w:rsid w:val="006879B5"/>
    <w:rsid w:val="006906EB"/>
    <w:rsid w:val="006916CF"/>
    <w:rsid w:val="00691ABC"/>
    <w:rsid w:val="00691C62"/>
    <w:rsid w:val="00691E89"/>
    <w:rsid w:val="00691F68"/>
    <w:rsid w:val="00692276"/>
    <w:rsid w:val="006A060C"/>
    <w:rsid w:val="006A344C"/>
    <w:rsid w:val="006A5A3A"/>
    <w:rsid w:val="006A62DB"/>
    <w:rsid w:val="006A7033"/>
    <w:rsid w:val="006A7738"/>
    <w:rsid w:val="006B1642"/>
    <w:rsid w:val="006B1C9B"/>
    <w:rsid w:val="006B238F"/>
    <w:rsid w:val="006B2925"/>
    <w:rsid w:val="006B350C"/>
    <w:rsid w:val="006B4F71"/>
    <w:rsid w:val="006B63A7"/>
    <w:rsid w:val="006B794A"/>
    <w:rsid w:val="006C1ABC"/>
    <w:rsid w:val="006C2B78"/>
    <w:rsid w:val="006C635B"/>
    <w:rsid w:val="006C6FF8"/>
    <w:rsid w:val="006C7A71"/>
    <w:rsid w:val="006D0501"/>
    <w:rsid w:val="006D3C5D"/>
    <w:rsid w:val="006D4018"/>
    <w:rsid w:val="006E05BE"/>
    <w:rsid w:val="006E1662"/>
    <w:rsid w:val="006E2CCA"/>
    <w:rsid w:val="006E4A7B"/>
    <w:rsid w:val="006E4D26"/>
    <w:rsid w:val="006E4FD4"/>
    <w:rsid w:val="006E5221"/>
    <w:rsid w:val="006E675C"/>
    <w:rsid w:val="006F5049"/>
    <w:rsid w:val="00700327"/>
    <w:rsid w:val="00700E47"/>
    <w:rsid w:val="00700FE8"/>
    <w:rsid w:val="00701DBF"/>
    <w:rsid w:val="00703309"/>
    <w:rsid w:val="00703D06"/>
    <w:rsid w:val="007041B5"/>
    <w:rsid w:val="0071055F"/>
    <w:rsid w:val="007125C4"/>
    <w:rsid w:val="00716413"/>
    <w:rsid w:val="00720E80"/>
    <w:rsid w:val="00721587"/>
    <w:rsid w:val="007231BC"/>
    <w:rsid w:val="00723CCA"/>
    <w:rsid w:val="00724EF4"/>
    <w:rsid w:val="00727936"/>
    <w:rsid w:val="007317A0"/>
    <w:rsid w:val="00733CBF"/>
    <w:rsid w:val="00735188"/>
    <w:rsid w:val="007402CA"/>
    <w:rsid w:val="00740AB3"/>
    <w:rsid w:val="00741EDC"/>
    <w:rsid w:val="00744B5E"/>
    <w:rsid w:val="00746396"/>
    <w:rsid w:val="00750C3E"/>
    <w:rsid w:val="007517A1"/>
    <w:rsid w:val="00751DF6"/>
    <w:rsid w:val="00752440"/>
    <w:rsid w:val="00752F7B"/>
    <w:rsid w:val="00756017"/>
    <w:rsid w:val="007575C1"/>
    <w:rsid w:val="00760CA4"/>
    <w:rsid w:val="00760E7F"/>
    <w:rsid w:val="00763BA1"/>
    <w:rsid w:val="00764AC5"/>
    <w:rsid w:val="00765034"/>
    <w:rsid w:val="00767BBB"/>
    <w:rsid w:val="007714C8"/>
    <w:rsid w:val="0077346B"/>
    <w:rsid w:val="00775435"/>
    <w:rsid w:val="00775D69"/>
    <w:rsid w:val="00776DCD"/>
    <w:rsid w:val="00777F15"/>
    <w:rsid w:val="00781F2C"/>
    <w:rsid w:val="00787779"/>
    <w:rsid w:val="00787D84"/>
    <w:rsid w:val="00791AB6"/>
    <w:rsid w:val="00791EB9"/>
    <w:rsid w:val="007929D4"/>
    <w:rsid w:val="00793F35"/>
    <w:rsid w:val="007959E8"/>
    <w:rsid w:val="0079617B"/>
    <w:rsid w:val="007A0CE4"/>
    <w:rsid w:val="007A267B"/>
    <w:rsid w:val="007A7CD6"/>
    <w:rsid w:val="007B01DB"/>
    <w:rsid w:val="007B0B37"/>
    <w:rsid w:val="007B147C"/>
    <w:rsid w:val="007B23B8"/>
    <w:rsid w:val="007B274B"/>
    <w:rsid w:val="007B53E5"/>
    <w:rsid w:val="007B6C04"/>
    <w:rsid w:val="007B7EBF"/>
    <w:rsid w:val="007C0031"/>
    <w:rsid w:val="007C288F"/>
    <w:rsid w:val="007C2AC8"/>
    <w:rsid w:val="007C5B4C"/>
    <w:rsid w:val="007C5E07"/>
    <w:rsid w:val="007C5F3E"/>
    <w:rsid w:val="007C730E"/>
    <w:rsid w:val="007D0E8A"/>
    <w:rsid w:val="007D3408"/>
    <w:rsid w:val="007D5A8C"/>
    <w:rsid w:val="007D690D"/>
    <w:rsid w:val="007D696D"/>
    <w:rsid w:val="007E42D2"/>
    <w:rsid w:val="007E676B"/>
    <w:rsid w:val="007F01BA"/>
    <w:rsid w:val="007F0602"/>
    <w:rsid w:val="007F1CF2"/>
    <w:rsid w:val="007F29CF"/>
    <w:rsid w:val="007F3E98"/>
    <w:rsid w:val="007F6FAC"/>
    <w:rsid w:val="0080305C"/>
    <w:rsid w:val="008045D3"/>
    <w:rsid w:val="0081046D"/>
    <w:rsid w:val="008111E4"/>
    <w:rsid w:val="00815A01"/>
    <w:rsid w:val="0081671B"/>
    <w:rsid w:val="00816EE7"/>
    <w:rsid w:val="0081775B"/>
    <w:rsid w:val="00820D36"/>
    <w:rsid w:val="008218E4"/>
    <w:rsid w:val="00821D38"/>
    <w:rsid w:val="008257A5"/>
    <w:rsid w:val="00827786"/>
    <w:rsid w:val="00833B73"/>
    <w:rsid w:val="00834099"/>
    <w:rsid w:val="0083631D"/>
    <w:rsid w:val="00840843"/>
    <w:rsid w:val="00842AED"/>
    <w:rsid w:val="00850EA4"/>
    <w:rsid w:val="0085304B"/>
    <w:rsid w:val="008538E8"/>
    <w:rsid w:val="008568C2"/>
    <w:rsid w:val="008619D8"/>
    <w:rsid w:val="008659F5"/>
    <w:rsid w:val="00866035"/>
    <w:rsid w:val="0086765D"/>
    <w:rsid w:val="00870302"/>
    <w:rsid w:val="0087044E"/>
    <w:rsid w:val="00870C11"/>
    <w:rsid w:val="00873468"/>
    <w:rsid w:val="0087354E"/>
    <w:rsid w:val="00873C96"/>
    <w:rsid w:val="00880AB1"/>
    <w:rsid w:val="008820EE"/>
    <w:rsid w:val="0088603E"/>
    <w:rsid w:val="008877CE"/>
    <w:rsid w:val="00887A24"/>
    <w:rsid w:val="00887D47"/>
    <w:rsid w:val="00891A6E"/>
    <w:rsid w:val="00891CDD"/>
    <w:rsid w:val="00891E59"/>
    <w:rsid w:val="00892992"/>
    <w:rsid w:val="00894195"/>
    <w:rsid w:val="00894C91"/>
    <w:rsid w:val="00896117"/>
    <w:rsid w:val="00897BC2"/>
    <w:rsid w:val="008A34CF"/>
    <w:rsid w:val="008A6C9F"/>
    <w:rsid w:val="008A6EAE"/>
    <w:rsid w:val="008A7FBE"/>
    <w:rsid w:val="008B1220"/>
    <w:rsid w:val="008B315A"/>
    <w:rsid w:val="008B567D"/>
    <w:rsid w:val="008B74B2"/>
    <w:rsid w:val="008C14BC"/>
    <w:rsid w:val="008C543E"/>
    <w:rsid w:val="008C6CD4"/>
    <w:rsid w:val="008D23B0"/>
    <w:rsid w:val="008D45B6"/>
    <w:rsid w:val="008D5500"/>
    <w:rsid w:val="008D66C0"/>
    <w:rsid w:val="008D7B54"/>
    <w:rsid w:val="008E110B"/>
    <w:rsid w:val="008E2B92"/>
    <w:rsid w:val="008E34FD"/>
    <w:rsid w:val="008E5DE8"/>
    <w:rsid w:val="008F0524"/>
    <w:rsid w:val="008F08FE"/>
    <w:rsid w:val="008F155E"/>
    <w:rsid w:val="008F19C1"/>
    <w:rsid w:val="008F1B34"/>
    <w:rsid w:val="00900C6D"/>
    <w:rsid w:val="0090215A"/>
    <w:rsid w:val="00902B5D"/>
    <w:rsid w:val="00903526"/>
    <w:rsid w:val="00904233"/>
    <w:rsid w:val="009051B9"/>
    <w:rsid w:val="00914AF3"/>
    <w:rsid w:val="00914F20"/>
    <w:rsid w:val="009157B1"/>
    <w:rsid w:val="00915DDA"/>
    <w:rsid w:val="009167E8"/>
    <w:rsid w:val="009171F1"/>
    <w:rsid w:val="00917372"/>
    <w:rsid w:val="0092044A"/>
    <w:rsid w:val="00920DC1"/>
    <w:rsid w:val="00921361"/>
    <w:rsid w:val="00922511"/>
    <w:rsid w:val="00922970"/>
    <w:rsid w:val="0092332C"/>
    <w:rsid w:val="00923BF5"/>
    <w:rsid w:val="00924543"/>
    <w:rsid w:val="009245AE"/>
    <w:rsid w:val="009262E2"/>
    <w:rsid w:val="00930C89"/>
    <w:rsid w:val="00932F4D"/>
    <w:rsid w:val="0093397E"/>
    <w:rsid w:val="009340E0"/>
    <w:rsid w:val="00935075"/>
    <w:rsid w:val="009351E8"/>
    <w:rsid w:val="0093552F"/>
    <w:rsid w:val="009369D7"/>
    <w:rsid w:val="00937E74"/>
    <w:rsid w:val="009407E1"/>
    <w:rsid w:val="009407E3"/>
    <w:rsid w:val="00940A5D"/>
    <w:rsid w:val="00940E1F"/>
    <w:rsid w:val="00942C5C"/>
    <w:rsid w:val="00945EA0"/>
    <w:rsid w:val="0095001E"/>
    <w:rsid w:val="00950417"/>
    <w:rsid w:val="0095091B"/>
    <w:rsid w:val="00950937"/>
    <w:rsid w:val="0095354D"/>
    <w:rsid w:val="00953B07"/>
    <w:rsid w:val="0095606D"/>
    <w:rsid w:val="009561A0"/>
    <w:rsid w:val="00957C3C"/>
    <w:rsid w:val="0096129C"/>
    <w:rsid w:val="00961D33"/>
    <w:rsid w:val="009626AB"/>
    <w:rsid w:val="009669FD"/>
    <w:rsid w:val="00967F11"/>
    <w:rsid w:val="00970B19"/>
    <w:rsid w:val="00971884"/>
    <w:rsid w:val="00972A65"/>
    <w:rsid w:val="009743F1"/>
    <w:rsid w:val="009748E2"/>
    <w:rsid w:val="00982B91"/>
    <w:rsid w:val="00983820"/>
    <w:rsid w:val="009845D1"/>
    <w:rsid w:val="00984FA4"/>
    <w:rsid w:val="00985F17"/>
    <w:rsid w:val="009910F2"/>
    <w:rsid w:val="00993D82"/>
    <w:rsid w:val="009945C3"/>
    <w:rsid w:val="00996E8B"/>
    <w:rsid w:val="009A16D6"/>
    <w:rsid w:val="009A2EAF"/>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0A85"/>
    <w:rsid w:val="009D1487"/>
    <w:rsid w:val="009D2416"/>
    <w:rsid w:val="009D41C3"/>
    <w:rsid w:val="009E0DC1"/>
    <w:rsid w:val="009E18B7"/>
    <w:rsid w:val="009E299D"/>
    <w:rsid w:val="009E4FA6"/>
    <w:rsid w:val="009E644E"/>
    <w:rsid w:val="009F030A"/>
    <w:rsid w:val="009F0563"/>
    <w:rsid w:val="009F310A"/>
    <w:rsid w:val="009F393E"/>
    <w:rsid w:val="009F3E0D"/>
    <w:rsid w:val="009F44C2"/>
    <w:rsid w:val="009F5287"/>
    <w:rsid w:val="009F7988"/>
    <w:rsid w:val="00A01E30"/>
    <w:rsid w:val="00A02658"/>
    <w:rsid w:val="00A06AB4"/>
    <w:rsid w:val="00A06ACA"/>
    <w:rsid w:val="00A06DED"/>
    <w:rsid w:val="00A07A6E"/>
    <w:rsid w:val="00A119F2"/>
    <w:rsid w:val="00A1255F"/>
    <w:rsid w:val="00A15738"/>
    <w:rsid w:val="00A16804"/>
    <w:rsid w:val="00A171F0"/>
    <w:rsid w:val="00A172F6"/>
    <w:rsid w:val="00A17575"/>
    <w:rsid w:val="00A17B9D"/>
    <w:rsid w:val="00A208B6"/>
    <w:rsid w:val="00A20FB5"/>
    <w:rsid w:val="00A22FC6"/>
    <w:rsid w:val="00A30D37"/>
    <w:rsid w:val="00A3341F"/>
    <w:rsid w:val="00A335A7"/>
    <w:rsid w:val="00A35228"/>
    <w:rsid w:val="00A370EC"/>
    <w:rsid w:val="00A376BD"/>
    <w:rsid w:val="00A379BB"/>
    <w:rsid w:val="00A405DD"/>
    <w:rsid w:val="00A407D1"/>
    <w:rsid w:val="00A43071"/>
    <w:rsid w:val="00A43785"/>
    <w:rsid w:val="00A44400"/>
    <w:rsid w:val="00A4650B"/>
    <w:rsid w:val="00A46B96"/>
    <w:rsid w:val="00A46CD4"/>
    <w:rsid w:val="00A47081"/>
    <w:rsid w:val="00A47953"/>
    <w:rsid w:val="00A53FAB"/>
    <w:rsid w:val="00A56B0D"/>
    <w:rsid w:val="00A56F48"/>
    <w:rsid w:val="00A573E9"/>
    <w:rsid w:val="00A57BCD"/>
    <w:rsid w:val="00A57CE6"/>
    <w:rsid w:val="00A6086E"/>
    <w:rsid w:val="00A647A9"/>
    <w:rsid w:val="00A65061"/>
    <w:rsid w:val="00A652D0"/>
    <w:rsid w:val="00A675B9"/>
    <w:rsid w:val="00A70043"/>
    <w:rsid w:val="00A71677"/>
    <w:rsid w:val="00A71E6D"/>
    <w:rsid w:val="00A74CF5"/>
    <w:rsid w:val="00A753D3"/>
    <w:rsid w:val="00A76424"/>
    <w:rsid w:val="00A7679D"/>
    <w:rsid w:val="00A767B6"/>
    <w:rsid w:val="00A76EDD"/>
    <w:rsid w:val="00A77EF6"/>
    <w:rsid w:val="00A8143C"/>
    <w:rsid w:val="00A82103"/>
    <w:rsid w:val="00A84ECE"/>
    <w:rsid w:val="00A871EA"/>
    <w:rsid w:val="00A8759C"/>
    <w:rsid w:val="00A9051C"/>
    <w:rsid w:val="00A90881"/>
    <w:rsid w:val="00A916E2"/>
    <w:rsid w:val="00A919F0"/>
    <w:rsid w:val="00A922A3"/>
    <w:rsid w:val="00A95664"/>
    <w:rsid w:val="00A96E37"/>
    <w:rsid w:val="00A96E8B"/>
    <w:rsid w:val="00A97B90"/>
    <w:rsid w:val="00AA2735"/>
    <w:rsid w:val="00AA2F82"/>
    <w:rsid w:val="00AA3ACC"/>
    <w:rsid w:val="00AA61AC"/>
    <w:rsid w:val="00AA716D"/>
    <w:rsid w:val="00AB1743"/>
    <w:rsid w:val="00AB4CE8"/>
    <w:rsid w:val="00AB62EC"/>
    <w:rsid w:val="00AC07F4"/>
    <w:rsid w:val="00AC0ECA"/>
    <w:rsid w:val="00AC2499"/>
    <w:rsid w:val="00AC2A5E"/>
    <w:rsid w:val="00AC4097"/>
    <w:rsid w:val="00AC5AAF"/>
    <w:rsid w:val="00AD1994"/>
    <w:rsid w:val="00AD6E44"/>
    <w:rsid w:val="00AD774E"/>
    <w:rsid w:val="00AE2C94"/>
    <w:rsid w:val="00AE39C1"/>
    <w:rsid w:val="00AE4566"/>
    <w:rsid w:val="00AE4CF3"/>
    <w:rsid w:val="00AE559D"/>
    <w:rsid w:val="00AE55A6"/>
    <w:rsid w:val="00AF1650"/>
    <w:rsid w:val="00AF35D6"/>
    <w:rsid w:val="00AF62B9"/>
    <w:rsid w:val="00AF6B2D"/>
    <w:rsid w:val="00B02C35"/>
    <w:rsid w:val="00B03B87"/>
    <w:rsid w:val="00B056D9"/>
    <w:rsid w:val="00B057AC"/>
    <w:rsid w:val="00B0714E"/>
    <w:rsid w:val="00B10BCB"/>
    <w:rsid w:val="00B13583"/>
    <w:rsid w:val="00B13CF9"/>
    <w:rsid w:val="00B13D86"/>
    <w:rsid w:val="00B1414E"/>
    <w:rsid w:val="00B20D17"/>
    <w:rsid w:val="00B2107E"/>
    <w:rsid w:val="00B2168D"/>
    <w:rsid w:val="00B219F0"/>
    <w:rsid w:val="00B21EF5"/>
    <w:rsid w:val="00B22FAD"/>
    <w:rsid w:val="00B23720"/>
    <w:rsid w:val="00B24BB2"/>
    <w:rsid w:val="00B255DD"/>
    <w:rsid w:val="00B26FEF"/>
    <w:rsid w:val="00B27C3E"/>
    <w:rsid w:val="00B27C6E"/>
    <w:rsid w:val="00B30270"/>
    <w:rsid w:val="00B31CCE"/>
    <w:rsid w:val="00B326E3"/>
    <w:rsid w:val="00B33538"/>
    <w:rsid w:val="00B33C20"/>
    <w:rsid w:val="00B3746C"/>
    <w:rsid w:val="00B37D3A"/>
    <w:rsid w:val="00B41327"/>
    <w:rsid w:val="00B4169B"/>
    <w:rsid w:val="00B42153"/>
    <w:rsid w:val="00B42DF9"/>
    <w:rsid w:val="00B45AEB"/>
    <w:rsid w:val="00B46A09"/>
    <w:rsid w:val="00B55E47"/>
    <w:rsid w:val="00B56037"/>
    <w:rsid w:val="00B562F0"/>
    <w:rsid w:val="00B6043D"/>
    <w:rsid w:val="00B60D88"/>
    <w:rsid w:val="00B61B55"/>
    <w:rsid w:val="00B622BE"/>
    <w:rsid w:val="00B637D8"/>
    <w:rsid w:val="00B6596D"/>
    <w:rsid w:val="00B728F1"/>
    <w:rsid w:val="00B73473"/>
    <w:rsid w:val="00B738D5"/>
    <w:rsid w:val="00B74D75"/>
    <w:rsid w:val="00B750A9"/>
    <w:rsid w:val="00B76104"/>
    <w:rsid w:val="00B80EF1"/>
    <w:rsid w:val="00B80EFF"/>
    <w:rsid w:val="00B844E6"/>
    <w:rsid w:val="00B85AF5"/>
    <w:rsid w:val="00B85EF0"/>
    <w:rsid w:val="00B90035"/>
    <w:rsid w:val="00B904C1"/>
    <w:rsid w:val="00B91E3F"/>
    <w:rsid w:val="00B91FC3"/>
    <w:rsid w:val="00B933B4"/>
    <w:rsid w:val="00BA0071"/>
    <w:rsid w:val="00BA24D7"/>
    <w:rsid w:val="00BA3DF8"/>
    <w:rsid w:val="00BA4BD6"/>
    <w:rsid w:val="00BA6B6C"/>
    <w:rsid w:val="00BB0B16"/>
    <w:rsid w:val="00BB43CA"/>
    <w:rsid w:val="00BC1570"/>
    <w:rsid w:val="00BC4916"/>
    <w:rsid w:val="00BC52C5"/>
    <w:rsid w:val="00BC586A"/>
    <w:rsid w:val="00BC5BED"/>
    <w:rsid w:val="00BC7762"/>
    <w:rsid w:val="00BD1900"/>
    <w:rsid w:val="00BD1F95"/>
    <w:rsid w:val="00BD1FAD"/>
    <w:rsid w:val="00BD3FDB"/>
    <w:rsid w:val="00BD427A"/>
    <w:rsid w:val="00BE0A19"/>
    <w:rsid w:val="00BE0DA3"/>
    <w:rsid w:val="00BE2263"/>
    <w:rsid w:val="00BE3139"/>
    <w:rsid w:val="00BE3E8D"/>
    <w:rsid w:val="00BE4BC5"/>
    <w:rsid w:val="00BE526F"/>
    <w:rsid w:val="00BE6B4C"/>
    <w:rsid w:val="00BE747D"/>
    <w:rsid w:val="00BE7797"/>
    <w:rsid w:val="00BE782D"/>
    <w:rsid w:val="00BE7C41"/>
    <w:rsid w:val="00BF0992"/>
    <w:rsid w:val="00BF359A"/>
    <w:rsid w:val="00BF46C3"/>
    <w:rsid w:val="00C02DCF"/>
    <w:rsid w:val="00C03EA4"/>
    <w:rsid w:val="00C05368"/>
    <w:rsid w:val="00C053D9"/>
    <w:rsid w:val="00C05D97"/>
    <w:rsid w:val="00C060A8"/>
    <w:rsid w:val="00C10903"/>
    <w:rsid w:val="00C11A6E"/>
    <w:rsid w:val="00C12D1A"/>
    <w:rsid w:val="00C136AE"/>
    <w:rsid w:val="00C15A01"/>
    <w:rsid w:val="00C17544"/>
    <w:rsid w:val="00C21345"/>
    <w:rsid w:val="00C21BD8"/>
    <w:rsid w:val="00C21DB2"/>
    <w:rsid w:val="00C2733C"/>
    <w:rsid w:val="00C30E57"/>
    <w:rsid w:val="00C3244E"/>
    <w:rsid w:val="00C355F5"/>
    <w:rsid w:val="00C35BD1"/>
    <w:rsid w:val="00C35E4D"/>
    <w:rsid w:val="00C3605F"/>
    <w:rsid w:val="00C36092"/>
    <w:rsid w:val="00C361E6"/>
    <w:rsid w:val="00C4046B"/>
    <w:rsid w:val="00C415FB"/>
    <w:rsid w:val="00C4385E"/>
    <w:rsid w:val="00C4492B"/>
    <w:rsid w:val="00C44DEE"/>
    <w:rsid w:val="00C45E79"/>
    <w:rsid w:val="00C46241"/>
    <w:rsid w:val="00C46CD0"/>
    <w:rsid w:val="00C475BF"/>
    <w:rsid w:val="00C528D1"/>
    <w:rsid w:val="00C52F53"/>
    <w:rsid w:val="00C55236"/>
    <w:rsid w:val="00C56087"/>
    <w:rsid w:val="00C568C5"/>
    <w:rsid w:val="00C57E52"/>
    <w:rsid w:val="00C60162"/>
    <w:rsid w:val="00C73177"/>
    <w:rsid w:val="00C740BC"/>
    <w:rsid w:val="00C74502"/>
    <w:rsid w:val="00C745EE"/>
    <w:rsid w:val="00C75ECA"/>
    <w:rsid w:val="00C77A6C"/>
    <w:rsid w:val="00C80D86"/>
    <w:rsid w:val="00C82089"/>
    <w:rsid w:val="00C82B07"/>
    <w:rsid w:val="00C8674D"/>
    <w:rsid w:val="00C8729F"/>
    <w:rsid w:val="00C90AA1"/>
    <w:rsid w:val="00C90F1C"/>
    <w:rsid w:val="00C91244"/>
    <w:rsid w:val="00C913A9"/>
    <w:rsid w:val="00C92E47"/>
    <w:rsid w:val="00C96124"/>
    <w:rsid w:val="00C96CB3"/>
    <w:rsid w:val="00C96DB7"/>
    <w:rsid w:val="00C9714A"/>
    <w:rsid w:val="00C974C6"/>
    <w:rsid w:val="00CA0455"/>
    <w:rsid w:val="00CA0979"/>
    <w:rsid w:val="00CA2EC9"/>
    <w:rsid w:val="00CA3FF1"/>
    <w:rsid w:val="00CA4C39"/>
    <w:rsid w:val="00CA502C"/>
    <w:rsid w:val="00CA5C50"/>
    <w:rsid w:val="00CA7400"/>
    <w:rsid w:val="00CA7EC1"/>
    <w:rsid w:val="00CB0328"/>
    <w:rsid w:val="00CB0379"/>
    <w:rsid w:val="00CB2278"/>
    <w:rsid w:val="00CB4BCE"/>
    <w:rsid w:val="00CB754B"/>
    <w:rsid w:val="00CB7F26"/>
    <w:rsid w:val="00CC03F2"/>
    <w:rsid w:val="00CC2ED1"/>
    <w:rsid w:val="00CC318E"/>
    <w:rsid w:val="00CC3687"/>
    <w:rsid w:val="00CC39DF"/>
    <w:rsid w:val="00CC3B7D"/>
    <w:rsid w:val="00CC4D58"/>
    <w:rsid w:val="00CC637D"/>
    <w:rsid w:val="00CC6DCD"/>
    <w:rsid w:val="00CD0B56"/>
    <w:rsid w:val="00CD104A"/>
    <w:rsid w:val="00CD2692"/>
    <w:rsid w:val="00CD28E2"/>
    <w:rsid w:val="00CD38BE"/>
    <w:rsid w:val="00CD3B78"/>
    <w:rsid w:val="00CD3ED0"/>
    <w:rsid w:val="00CD65AD"/>
    <w:rsid w:val="00CD75C2"/>
    <w:rsid w:val="00CE3180"/>
    <w:rsid w:val="00CE3A48"/>
    <w:rsid w:val="00CE3A6F"/>
    <w:rsid w:val="00CE5182"/>
    <w:rsid w:val="00CE51BB"/>
    <w:rsid w:val="00CE5FC1"/>
    <w:rsid w:val="00CE7B40"/>
    <w:rsid w:val="00CF02C9"/>
    <w:rsid w:val="00CF06F8"/>
    <w:rsid w:val="00CF11D1"/>
    <w:rsid w:val="00CF2583"/>
    <w:rsid w:val="00CF421C"/>
    <w:rsid w:val="00CF5E5C"/>
    <w:rsid w:val="00CF6DB0"/>
    <w:rsid w:val="00D051CC"/>
    <w:rsid w:val="00D0669C"/>
    <w:rsid w:val="00D07B02"/>
    <w:rsid w:val="00D07D28"/>
    <w:rsid w:val="00D07F66"/>
    <w:rsid w:val="00D1043A"/>
    <w:rsid w:val="00D205C9"/>
    <w:rsid w:val="00D21DE5"/>
    <w:rsid w:val="00D22F30"/>
    <w:rsid w:val="00D23CE6"/>
    <w:rsid w:val="00D23FA5"/>
    <w:rsid w:val="00D3019A"/>
    <w:rsid w:val="00D30D8A"/>
    <w:rsid w:val="00D30EE2"/>
    <w:rsid w:val="00D31567"/>
    <w:rsid w:val="00D32F72"/>
    <w:rsid w:val="00D33663"/>
    <w:rsid w:val="00D33822"/>
    <w:rsid w:val="00D34606"/>
    <w:rsid w:val="00D3680D"/>
    <w:rsid w:val="00D37EE1"/>
    <w:rsid w:val="00D40446"/>
    <w:rsid w:val="00D43B93"/>
    <w:rsid w:val="00D45F42"/>
    <w:rsid w:val="00D50CC9"/>
    <w:rsid w:val="00D51F9E"/>
    <w:rsid w:val="00D525EA"/>
    <w:rsid w:val="00D534A3"/>
    <w:rsid w:val="00D5354D"/>
    <w:rsid w:val="00D5392E"/>
    <w:rsid w:val="00D54920"/>
    <w:rsid w:val="00D56E24"/>
    <w:rsid w:val="00D60ACE"/>
    <w:rsid w:val="00D652AF"/>
    <w:rsid w:val="00D65A79"/>
    <w:rsid w:val="00D65D9F"/>
    <w:rsid w:val="00D6745C"/>
    <w:rsid w:val="00D7013A"/>
    <w:rsid w:val="00D71987"/>
    <w:rsid w:val="00D72684"/>
    <w:rsid w:val="00D72A23"/>
    <w:rsid w:val="00D73045"/>
    <w:rsid w:val="00D74385"/>
    <w:rsid w:val="00D75947"/>
    <w:rsid w:val="00D7633F"/>
    <w:rsid w:val="00D804D4"/>
    <w:rsid w:val="00D80926"/>
    <w:rsid w:val="00D815FF"/>
    <w:rsid w:val="00D84225"/>
    <w:rsid w:val="00D940E9"/>
    <w:rsid w:val="00DA1041"/>
    <w:rsid w:val="00DA1913"/>
    <w:rsid w:val="00DA28B1"/>
    <w:rsid w:val="00DA6C19"/>
    <w:rsid w:val="00DA6F28"/>
    <w:rsid w:val="00DA78FA"/>
    <w:rsid w:val="00DB32D4"/>
    <w:rsid w:val="00DB3E1E"/>
    <w:rsid w:val="00DB5015"/>
    <w:rsid w:val="00DB5D6F"/>
    <w:rsid w:val="00DB64BF"/>
    <w:rsid w:val="00DC0364"/>
    <w:rsid w:val="00DC055E"/>
    <w:rsid w:val="00DC06ED"/>
    <w:rsid w:val="00DC21F3"/>
    <w:rsid w:val="00DC2A88"/>
    <w:rsid w:val="00DC5B5B"/>
    <w:rsid w:val="00DC6AC3"/>
    <w:rsid w:val="00DC7B2E"/>
    <w:rsid w:val="00DC7E78"/>
    <w:rsid w:val="00DD0A7A"/>
    <w:rsid w:val="00DD1BAC"/>
    <w:rsid w:val="00DD2722"/>
    <w:rsid w:val="00DD400A"/>
    <w:rsid w:val="00DD51FA"/>
    <w:rsid w:val="00DD7452"/>
    <w:rsid w:val="00DE01D2"/>
    <w:rsid w:val="00DE1CFE"/>
    <w:rsid w:val="00DE3011"/>
    <w:rsid w:val="00DE3841"/>
    <w:rsid w:val="00DE3A79"/>
    <w:rsid w:val="00DE4331"/>
    <w:rsid w:val="00DE46E6"/>
    <w:rsid w:val="00DF0033"/>
    <w:rsid w:val="00DF1C74"/>
    <w:rsid w:val="00DF34CA"/>
    <w:rsid w:val="00DF3F6A"/>
    <w:rsid w:val="00DF56A3"/>
    <w:rsid w:val="00DF6E3C"/>
    <w:rsid w:val="00DF704C"/>
    <w:rsid w:val="00E007CB"/>
    <w:rsid w:val="00E0113C"/>
    <w:rsid w:val="00E02BB1"/>
    <w:rsid w:val="00E053D0"/>
    <w:rsid w:val="00E05960"/>
    <w:rsid w:val="00E05CBB"/>
    <w:rsid w:val="00E05D80"/>
    <w:rsid w:val="00E103D7"/>
    <w:rsid w:val="00E10A5C"/>
    <w:rsid w:val="00E13570"/>
    <w:rsid w:val="00E13C58"/>
    <w:rsid w:val="00E1459D"/>
    <w:rsid w:val="00E14B7A"/>
    <w:rsid w:val="00E1532B"/>
    <w:rsid w:val="00E154FF"/>
    <w:rsid w:val="00E20CEB"/>
    <w:rsid w:val="00E21647"/>
    <w:rsid w:val="00E2242F"/>
    <w:rsid w:val="00E3275D"/>
    <w:rsid w:val="00E3299F"/>
    <w:rsid w:val="00E367DB"/>
    <w:rsid w:val="00E37C61"/>
    <w:rsid w:val="00E40250"/>
    <w:rsid w:val="00E425A4"/>
    <w:rsid w:val="00E43CB6"/>
    <w:rsid w:val="00E512CA"/>
    <w:rsid w:val="00E54236"/>
    <w:rsid w:val="00E54D6C"/>
    <w:rsid w:val="00E576DB"/>
    <w:rsid w:val="00E61291"/>
    <w:rsid w:val="00E615A4"/>
    <w:rsid w:val="00E62D08"/>
    <w:rsid w:val="00E64213"/>
    <w:rsid w:val="00E6512A"/>
    <w:rsid w:val="00E73082"/>
    <w:rsid w:val="00E731EE"/>
    <w:rsid w:val="00E74089"/>
    <w:rsid w:val="00E742A0"/>
    <w:rsid w:val="00E76848"/>
    <w:rsid w:val="00E77840"/>
    <w:rsid w:val="00E8188B"/>
    <w:rsid w:val="00E8342D"/>
    <w:rsid w:val="00E84A2E"/>
    <w:rsid w:val="00E850A7"/>
    <w:rsid w:val="00E8755E"/>
    <w:rsid w:val="00E918F0"/>
    <w:rsid w:val="00E936B7"/>
    <w:rsid w:val="00E946F1"/>
    <w:rsid w:val="00E97230"/>
    <w:rsid w:val="00E97EB9"/>
    <w:rsid w:val="00EA03A8"/>
    <w:rsid w:val="00EA2BAC"/>
    <w:rsid w:val="00EA3434"/>
    <w:rsid w:val="00EA4590"/>
    <w:rsid w:val="00EA7002"/>
    <w:rsid w:val="00EA7722"/>
    <w:rsid w:val="00EB074F"/>
    <w:rsid w:val="00EB0BD3"/>
    <w:rsid w:val="00EB1553"/>
    <w:rsid w:val="00EB3F98"/>
    <w:rsid w:val="00EB4870"/>
    <w:rsid w:val="00EB605B"/>
    <w:rsid w:val="00EB6C8A"/>
    <w:rsid w:val="00EB7190"/>
    <w:rsid w:val="00EC05DC"/>
    <w:rsid w:val="00EC1044"/>
    <w:rsid w:val="00EC34A9"/>
    <w:rsid w:val="00EC5162"/>
    <w:rsid w:val="00EC7D02"/>
    <w:rsid w:val="00EC7DD2"/>
    <w:rsid w:val="00ED40FF"/>
    <w:rsid w:val="00ED6381"/>
    <w:rsid w:val="00ED6AAC"/>
    <w:rsid w:val="00ED7F15"/>
    <w:rsid w:val="00EE12BB"/>
    <w:rsid w:val="00EE346C"/>
    <w:rsid w:val="00EE680D"/>
    <w:rsid w:val="00EE756F"/>
    <w:rsid w:val="00EF186F"/>
    <w:rsid w:val="00EF3A61"/>
    <w:rsid w:val="00EF3A70"/>
    <w:rsid w:val="00EF52F1"/>
    <w:rsid w:val="00F005AC"/>
    <w:rsid w:val="00F01CB3"/>
    <w:rsid w:val="00F033EC"/>
    <w:rsid w:val="00F03BB8"/>
    <w:rsid w:val="00F05049"/>
    <w:rsid w:val="00F05ACA"/>
    <w:rsid w:val="00F105B2"/>
    <w:rsid w:val="00F10B78"/>
    <w:rsid w:val="00F117B3"/>
    <w:rsid w:val="00F11E32"/>
    <w:rsid w:val="00F12E19"/>
    <w:rsid w:val="00F13D8F"/>
    <w:rsid w:val="00F16D1F"/>
    <w:rsid w:val="00F20796"/>
    <w:rsid w:val="00F21376"/>
    <w:rsid w:val="00F23A55"/>
    <w:rsid w:val="00F25E0C"/>
    <w:rsid w:val="00F3029B"/>
    <w:rsid w:val="00F331ED"/>
    <w:rsid w:val="00F33D91"/>
    <w:rsid w:val="00F33F00"/>
    <w:rsid w:val="00F348B0"/>
    <w:rsid w:val="00F34EA3"/>
    <w:rsid w:val="00F3567F"/>
    <w:rsid w:val="00F35E02"/>
    <w:rsid w:val="00F367F5"/>
    <w:rsid w:val="00F36881"/>
    <w:rsid w:val="00F40C93"/>
    <w:rsid w:val="00F45862"/>
    <w:rsid w:val="00F467D0"/>
    <w:rsid w:val="00F5043A"/>
    <w:rsid w:val="00F50CDF"/>
    <w:rsid w:val="00F517E7"/>
    <w:rsid w:val="00F53388"/>
    <w:rsid w:val="00F53C43"/>
    <w:rsid w:val="00F557B0"/>
    <w:rsid w:val="00F57B45"/>
    <w:rsid w:val="00F61650"/>
    <w:rsid w:val="00F62801"/>
    <w:rsid w:val="00F67180"/>
    <w:rsid w:val="00F679A3"/>
    <w:rsid w:val="00F73F2B"/>
    <w:rsid w:val="00F75ED3"/>
    <w:rsid w:val="00F80747"/>
    <w:rsid w:val="00F81620"/>
    <w:rsid w:val="00F869BD"/>
    <w:rsid w:val="00F87406"/>
    <w:rsid w:val="00F90614"/>
    <w:rsid w:val="00F92B0A"/>
    <w:rsid w:val="00F93A3F"/>
    <w:rsid w:val="00F93BA6"/>
    <w:rsid w:val="00F94B95"/>
    <w:rsid w:val="00F96497"/>
    <w:rsid w:val="00F96F80"/>
    <w:rsid w:val="00FA044B"/>
    <w:rsid w:val="00FA37B8"/>
    <w:rsid w:val="00FA37D9"/>
    <w:rsid w:val="00FA3843"/>
    <w:rsid w:val="00FA5B2D"/>
    <w:rsid w:val="00FB0EF5"/>
    <w:rsid w:val="00FB1D84"/>
    <w:rsid w:val="00FB21FD"/>
    <w:rsid w:val="00FB4589"/>
    <w:rsid w:val="00FB6A89"/>
    <w:rsid w:val="00FC025D"/>
    <w:rsid w:val="00FC0905"/>
    <w:rsid w:val="00FC1C98"/>
    <w:rsid w:val="00FC2455"/>
    <w:rsid w:val="00FC24FD"/>
    <w:rsid w:val="00FC4FB4"/>
    <w:rsid w:val="00FC5152"/>
    <w:rsid w:val="00FC520C"/>
    <w:rsid w:val="00FD0807"/>
    <w:rsid w:val="00FD2231"/>
    <w:rsid w:val="00FD4433"/>
    <w:rsid w:val="00FD4ECA"/>
    <w:rsid w:val="00FD5ADD"/>
    <w:rsid w:val="00FD7E69"/>
    <w:rsid w:val="00FE0B05"/>
    <w:rsid w:val="00FE0FDB"/>
    <w:rsid w:val="00FE1466"/>
    <w:rsid w:val="00FE19E5"/>
    <w:rsid w:val="00FE2170"/>
    <w:rsid w:val="00FE2181"/>
    <w:rsid w:val="00FE2F65"/>
    <w:rsid w:val="00FE56F3"/>
    <w:rsid w:val="00FE5D1D"/>
    <w:rsid w:val="00FE6B9F"/>
    <w:rsid w:val="00FF2B20"/>
    <w:rsid w:val="00FF2D70"/>
    <w:rsid w:val="00FF40AC"/>
    <w:rsid w:val="00FF5456"/>
    <w:rsid w:val="00FF7472"/>
    <w:rsid w:val="01046724"/>
    <w:rsid w:val="010F3B4F"/>
    <w:rsid w:val="012D2EC5"/>
    <w:rsid w:val="014A4B87"/>
    <w:rsid w:val="015A0376"/>
    <w:rsid w:val="015C0A67"/>
    <w:rsid w:val="015C230F"/>
    <w:rsid w:val="01635C49"/>
    <w:rsid w:val="017D14E1"/>
    <w:rsid w:val="018207C5"/>
    <w:rsid w:val="01866661"/>
    <w:rsid w:val="018F6336"/>
    <w:rsid w:val="01A8004E"/>
    <w:rsid w:val="01AE3368"/>
    <w:rsid w:val="01C11008"/>
    <w:rsid w:val="01CA216C"/>
    <w:rsid w:val="01F134FE"/>
    <w:rsid w:val="01FE1C4E"/>
    <w:rsid w:val="020411DA"/>
    <w:rsid w:val="020715C0"/>
    <w:rsid w:val="02281ACB"/>
    <w:rsid w:val="022C0F8C"/>
    <w:rsid w:val="023E5953"/>
    <w:rsid w:val="023F2E8C"/>
    <w:rsid w:val="02683BFC"/>
    <w:rsid w:val="026E518C"/>
    <w:rsid w:val="028E4F47"/>
    <w:rsid w:val="02A35ADD"/>
    <w:rsid w:val="02A53259"/>
    <w:rsid w:val="02CA601E"/>
    <w:rsid w:val="02D07463"/>
    <w:rsid w:val="02D84A36"/>
    <w:rsid w:val="02F93F6A"/>
    <w:rsid w:val="03013312"/>
    <w:rsid w:val="03215DBB"/>
    <w:rsid w:val="032B3EDA"/>
    <w:rsid w:val="032B76C9"/>
    <w:rsid w:val="03463A74"/>
    <w:rsid w:val="03492D42"/>
    <w:rsid w:val="034E4CD5"/>
    <w:rsid w:val="03655802"/>
    <w:rsid w:val="0374238F"/>
    <w:rsid w:val="037F54DC"/>
    <w:rsid w:val="038D5656"/>
    <w:rsid w:val="03960557"/>
    <w:rsid w:val="03A33348"/>
    <w:rsid w:val="03BB4DD3"/>
    <w:rsid w:val="03BD27FE"/>
    <w:rsid w:val="03E033DF"/>
    <w:rsid w:val="03F340CA"/>
    <w:rsid w:val="04066C4F"/>
    <w:rsid w:val="04071455"/>
    <w:rsid w:val="04094FA1"/>
    <w:rsid w:val="041F5699"/>
    <w:rsid w:val="04267B2D"/>
    <w:rsid w:val="042934D9"/>
    <w:rsid w:val="042E209F"/>
    <w:rsid w:val="043751C1"/>
    <w:rsid w:val="044516F7"/>
    <w:rsid w:val="044D1A30"/>
    <w:rsid w:val="04713603"/>
    <w:rsid w:val="047343F5"/>
    <w:rsid w:val="048C54B6"/>
    <w:rsid w:val="04966335"/>
    <w:rsid w:val="049931E9"/>
    <w:rsid w:val="04AD01DD"/>
    <w:rsid w:val="04DF6E7A"/>
    <w:rsid w:val="04F512AE"/>
    <w:rsid w:val="04F55CCC"/>
    <w:rsid w:val="04FC6AE0"/>
    <w:rsid w:val="0506170D"/>
    <w:rsid w:val="0513049B"/>
    <w:rsid w:val="05252676"/>
    <w:rsid w:val="052E3215"/>
    <w:rsid w:val="05353DA0"/>
    <w:rsid w:val="05357951"/>
    <w:rsid w:val="053611B5"/>
    <w:rsid w:val="0564417B"/>
    <w:rsid w:val="057A575A"/>
    <w:rsid w:val="05904AE5"/>
    <w:rsid w:val="05B51136"/>
    <w:rsid w:val="05E13666"/>
    <w:rsid w:val="05E4299A"/>
    <w:rsid w:val="05EC445F"/>
    <w:rsid w:val="05EE2D3C"/>
    <w:rsid w:val="06043DDA"/>
    <w:rsid w:val="06051ED1"/>
    <w:rsid w:val="06076ACF"/>
    <w:rsid w:val="061816F7"/>
    <w:rsid w:val="061D3517"/>
    <w:rsid w:val="063956A6"/>
    <w:rsid w:val="063B6DE4"/>
    <w:rsid w:val="063F1604"/>
    <w:rsid w:val="064431F7"/>
    <w:rsid w:val="064908D3"/>
    <w:rsid w:val="06562220"/>
    <w:rsid w:val="067C1487"/>
    <w:rsid w:val="068943A3"/>
    <w:rsid w:val="068C1203"/>
    <w:rsid w:val="068E1EF4"/>
    <w:rsid w:val="06AF3EC0"/>
    <w:rsid w:val="06C113BF"/>
    <w:rsid w:val="06C54CB0"/>
    <w:rsid w:val="06D5473A"/>
    <w:rsid w:val="06D82C35"/>
    <w:rsid w:val="06D849E3"/>
    <w:rsid w:val="06DE46EF"/>
    <w:rsid w:val="06E635A4"/>
    <w:rsid w:val="070B6B66"/>
    <w:rsid w:val="072E6CF9"/>
    <w:rsid w:val="07313D72"/>
    <w:rsid w:val="073A5D06"/>
    <w:rsid w:val="074327A4"/>
    <w:rsid w:val="07620132"/>
    <w:rsid w:val="0763320F"/>
    <w:rsid w:val="076B2344"/>
    <w:rsid w:val="076F6933"/>
    <w:rsid w:val="07701841"/>
    <w:rsid w:val="07921036"/>
    <w:rsid w:val="079C1EB4"/>
    <w:rsid w:val="07A174CB"/>
    <w:rsid w:val="07A25101"/>
    <w:rsid w:val="07A46044"/>
    <w:rsid w:val="07A75779"/>
    <w:rsid w:val="07D478A0"/>
    <w:rsid w:val="07E03283"/>
    <w:rsid w:val="07E36F2F"/>
    <w:rsid w:val="07E6158B"/>
    <w:rsid w:val="081B70E2"/>
    <w:rsid w:val="081D1247"/>
    <w:rsid w:val="081D144E"/>
    <w:rsid w:val="08324EFA"/>
    <w:rsid w:val="08397703"/>
    <w:rsid w:val="08453799"/>
    <w:rsid w:val="084D31AF"/>
    <w:rsid w:val="084E325B"/>
    <w:rsid w:val="08586570"/>
    <w:rsid w:val="08664722"/>
    <w:rsid w:val="087210F5"/>
    <w:rsid w:val="08892065"/>
    <w:rsid w:val="088B26A9"/>
    <w:rsid w:val="08A15F80"/>
    <w:rsid w:val="08A50F20"/>
    <w:rsid w:val="08BA0844"/>
    <w:rsid w:val="08BB1B88"/>
    <w:rsid w:val="08C30259"/>
    <w:rsid w:val="08C5090C"/>
    <w:rsid w:val="08D631A4"/>
    <w:rsid w:val="08EC29C7"/>
    <w:rsid w:val="09105882"/>
    <w:rsid w:val="0916003C"/>
    <w:rsid w:val="095443A2"/>
    <w:rsid w:val="0958411A"/>
    <w:rsid w:val="09633CCB"/>
    <w:rsid w:val="096C41C6"/>
    <w:rsid w:val="098B21E0"/>
    <w:rsid w:val="0995305F"/>
    <w:rsid w:val="09A426F2"/>
    <w:rsid w:val="09A45050"/>
    <w:rsid w:val="09B434E5"/>
    <w:rsid w:val="09B64B81"/>
    <w:rsid w:val="09BB0DD7"/>
    <w:rsid w:val="09C545F1"/>
    <w:rsid w:val="09FE0C04"/>
    <w:rsid w:val="0A085BCC"/>
    <w:rsid w:val="0A401C14"/>
    <w:rsid w:val="0A5847B8"/>
    <w:rsid w:val="0A613935"/>
    <w:rsid w:val="0A7B1588"/>
    <w:rsid w:val="0A8248C7"/>
    <w:rsid w:val="0A880F73"/>
    <w:rsid w:val="0A8D2745"/>
    <w:rsid w:val="0AA03A6A"/>
    <w:rsid w:val="0ABB456B"/>
    <w:rsid w:val="0AD25578"/>
    <w:rsid w:val="0AD329BB"/>
    <w:rsid w:val="0AE6579C"/>
    <w:rsid w:val="0AEA2F37"/>
    <w:rsid w:val="0B323947"/>
    <w:rsid w:val="0B37192D"/>
    <w:rsid w:val="0B3C3E6E"/>
    <w:rsid w:val="0B3D6B55"/>
    <w:rsid w:val="0B4765DB"/>
    <w:rsid w:val="0B5E54D2"/>
    <w:rsid w:val="0B756CA4"/>
    <w:rsid w:val="0B953549"/>
    <w:rsid w:val="0B971310"/>
    <w:rsid w:val="0B9974CC"/>
    <w:rsid w:val="0B9C4D21"/>
    <w:rsid w:val="0BA143F0"/>
    <w:rsid w:val="0BBF6493"/>
    <w:rsid w:val="0BC27D09"/>
    <w:rsid w:val="0BD37B23"/>
    <w:rsid w:val="0BE03407"/>
    <w:rsid w:val="0BE24A03"/>
    <w:rsid w:val="0BE6560D"/>
    <w:rsid w:val="0BF94486"/>
    <w:rsid w:val="0BF95F1B"/>
    <w:rsid w:val="0C0661EF"/>
    <w:rsid w:val="0C3E344F"/>
    <w:rsid w:val="0C4B5C57"/>
    <w:rsid w:val="0C5E57F4"/>
    <w:rsid w:val="0C6C13F0"/>
    <w:rsid w:val="0C923886"/>
    <w:rsid w:val="0C931AD8"/>
    <w:rsid w:val="0C961E3C"/>
    <w:rsid w:val="0CB101B0"/>
    <w:rsid w:val="0CB82A8F"/>
    <w:rsid w:val="0CCA51A5"/>
    <w:rsid w:val="0CD93263"/>
    <w:rsid w:val="0CE80310"/>
    <w:rsid w:val="0CEC61B0"/>
    <w:rsid w:val="0CF06A9D"/>
    <w:rsid w:val="0CFB40D6"/>
    <w:rsid w:val="0D033E3A"/>
    <w:rsid w:val="0D2941EA"/>
    <w:rsid w:val="0D2F2A34"/>
    <w:rsid w:val="0D4234FE"/>
    <w:rsid w:val="0D813AA8"/>
    <w:rsid w:val="0D8460E5"/>
    <w:rsid w:val="0D927FE1"/>
    <w:rsid w:val="0D990F99"/>
    <w:rsid w:val="0DBA12E6"/>
    <w:rsid w:val="0DCE517E"/>
    <w:rsid w:val="0DCF202E"/>
    <w:rsid w:val="0DFE5677"/>
    <w:rsid w:val="0E06452B"/>
    <w:rsid w:val="0E1924B1"/>
    <w:rsid w:val="0E1A69D0"/>
    <w:rsid w:val="0E232996"/>
    <w:rsid w:val="0E2C18AC"/>
    <w:rsid w:val="0E372618"/>
    <w:rsid w:val="0E5F16BF"/>
    <w:rsid w:val="0E6D7980"/>
    <w:rsid w:val="0E845210"/>
    <w:rsid w:val="0EA612FA"/>
    <w:rsid w:val="0EB21FBD"/>
    <w:rsid w:val="0ECA37AB"/>
    <w:rsid w:val="0EDD23BC"/>
    <w:rsid w:val="0EF632FA"/>
    <w:rsid w:val="0EFD148A"/>
    <w:rsid w:val="0F0517F9"/>
    <w:rsid w:val="0F087E2F"/>
    <w:rsid w:val="0F20786F"/>
    <w:rsid w:val="0F2E1D22"/>
    <w:rsid w:val="0F313033"/>
    <w:rsid w:val="0F3B6457"/>
    <w:rsid w:val="0F4E5291"/>
    <w:rsid w:val="0F5258A1"/>
    <w:rsid w:val="0F5C5D99"/>
    <w:rsid w:val="0F622E98"/>
    <w:rsid w:val="0F733B7E"/>
    <w:rsid w:val="0F73556C"/>
    <w:rsid w:val="0F7D25CB"/>
    <w:rsid w:val="0F802C2A"/>
    <w:rsid w:val="0F9931A8"/>
    <w:rsid w:val="0FA52275"/>
    <w:rsid w:val="0FAB538A"/>
    <w:rsid w:val="0FB277A7"/>
    <w:rsid w:val="0FCF0106"/>
    <w:rsid w:val="0FF71687"/>
    <w:rsid w:val="0FFC7994"/>
    <w:rsid w:val="10073A12"/>
    <w:rsid w:val="10435D19"/>
    <w:rsid w:val="10534F50"/>
    <w:rsid w:val="10567490"/>
    <w:rsid w:val="105A7039"/>
    <w:rsid w:val="10756549"/>
    <w:rsid w:val="10924860"/>
    <w:rsid w:val="10993885"/>
    <w:rsid w:val="109E4EEF"/>
    <w:rsid w:val="10AA42C7"/>
    <w:rsid w:val="10B25489"/>
    <w:rsid w:val="10B77D5E"/>
    <w:rsid w:val="10C948EA"/>
    <w:rsid w:val="10D770AE"/>
    <w:rsid w:val="10FB5E9E"/>
    <w:rsid w:val="110F29EB"/>
    <w:rsid w:val="11154DB3"/>
    <w:rsid w:val="11186236"/>
    <w:rsid w:val="111C620F"/>
    <w:rsid w:val="111D4066"/>
    <w:rsid w:val="1125578F"/>
    <w:rsid w:val="1142151C"/>
    <w:rsid w:val="114952B5"/>
    <w:rsid w:val="11584547"/>
    <w:rsid w:val="116457F1"/>
    <w:rsid w:val="116752E1"/>
    <w:rsid w:val="11691059"/>
    <w:rsid w:val="118C11EC"/>
    <w:rsid w:val="11936FD1"/>
    <w:rsid w:val="11B74C56"/>
    <w:rsid w:val="11B75974"/>
    <w:rsid w:val="11B803E3"/>
    <w:rsid w:val="11D81D3B"/>
    <w:rsid w:val="11E313AE"/>
    <w:rsid w:val="12110957"/>
    <w:rsid w:val="1211524D"/>
    <w:rsid w:val="121F5337"/>
    <w:rsid w:val="122431D2"/>
    <w:rsid w:val="122D2087"/>
    <w:rsid w:val="123316D9"/>
    <w:rsid w:val="12370282"/>
    <w:rsid w:val="124F0F2C"/>
    <w:rsid w:val="126161D4"/>
    <w:rsid w:val="12700445"/>
    <w:rsid w:val="129850BF"/>
    <w:rsid w:val="12985786"/>
    <w:rsid w:val="12B97DBE"/>
    <w:rsid w:val="12C922EB"/>
    <w:rsid w:val="12F92FCD"/>
    <w:rsid w:val="12FE3A23"/>
    <w:rsid w:val="131436AB"/>
    <w:rsid w:val="13163595"/>
    <w:rsid w:val="132C67E2"/>
    <w:rsid w:val="13347A20"/>
    <w:rsid w:val="134A3213"/>
    <w:rsid w:val="13520775"/>
    <w:rsid w:val="135544CB"/>
    <w:rsid w:val="135C2F68"/>
    <w:rsid w:val="13AD07AC"/>
    <w:rsid w:val="13EB21F9"/>
    <w:rsid w:val="13F50E66"/>
    <w:rsid w:val="14032BEA"/>
    <w:rsid w:val="140A5109"/>
    <w:rsid w:val="140E6FD4"/>
    <w:rsid w:val="14257D29"/>
    <w:rsid w:val="14261A0B"/>
    <w:rsid w:val="142838C5"/>
    <w:rsid w:val="1430497C"/>
    <w:rsid w:val="1439119C"/>
    <w:rsid w:val="145A4EB4"/>
    <w:rsid w:val="145E7FA1"/>
    <w:rsid w:val="14627B07"/>
    <w:rsid w:val="14753F33"/>
    <w:rsid w:val="14777FBE"/>
    <w:rsid w:val="147F0940"/>
    <w:rsid w:val="14902DA1"/>
    <w:rsid w:val="1495642C"/>
    <w:rsid w:val="14A91FC6"/>
    <w:rsid w:val="14B44CE1"/>
    <w:rsid w:val="14D503D0"/>
    <w:rsid w:val="14DE562A"/>
    <w:rsid w:val="14E51C16"/>
    <w:rsid w:val="14EA3B12"/>
    <w:rsid w:val="14F41582"/>
    <w:rsid w:val="14F564FC"/>
    <w:rsid w:val="14FB7CE6"/>
    <w:rsid w:val="15436065"/>
    <w:rsid w:val="15995C85"/>
    <w:rsid w:val="159A56D1"/>
    <w:rsid w:val="15A379E8"/>
    <w:rsid w:val="15AF3F51"/>
    <w:rsid w:val="15BB5BFB"/>
    <w:rsid w:val="15DD32CF"/>
    <w:rsid w:val="15DF7B3C"/>
    <w:rsid w:val="15E772F2"/>
    <w:rsid w:val="15ED499E"/>
    <w:rsid w:val="161C56E2"/>
    <w:rsid w:val="16377998"/>
    <w:rsid w:val="164A105E"/>
    <w:rsid w:val="164C2546"/>
    <w:rsid w:val="16621811"/>
    <w:rsid w:val="166E0EC0"/>
    <w:rsid w:val="16812655"/>
    <w:rsid w:val="16840578"/>
    <w:rsid w:val="16B54C35"/>
    <w:rsid w:val="16B9038D"/>
    <w:rsid w:val="16D50880"/>
    <w:rsid w:val="16EE5052"/>
    <w:rsid w:val="16F77107"/>
    <w:rsid w:val="16F9460E"/>
    <w:rsid w:val="17010E58"/>
    <w:rsid w:val="17051824"/>
    <w:rsid w:val="17605A59"/>
    <w:rsid w:val="17732C32"/>
    <w:rsid w:val="17776CCA"/>
    <w:rsid w:val="178A1D29"/>
    <w:rsid w:val="17AC2888"/>
    <w:rsid w:val="17B20AB6"/>
    <w:rsid w:val="17B52555"/>
    <w:rsid w:val="17BE5E36"/>
    <w:rsid w:val="17D67188"/>
    <w:rsid w:val="17E70F2A"/>
    <w:rsid w:val="17EE05A8"/>
    <w:rsid w:val="18273A1C"/>
    <w:rsid w:val="18274990"/>
    <w:rsid w:val="18346094"/>
    <w:rsid w:val="185B5474"/>
    <w:rsid w:val="187327BD"/>
    <w:rsid w:val="187A77EE"/>
    <w:rsid w:val="187D2346"/>
    <w:rsid w:val="18825DCA"/>
    <w:rsid w:val="189A41EE"/>
    <w:rsid w:val="189F60DC"/>
    <w:rsid w:val="18A11F85"/>
    <w:rsid w:val="18B76B4E"/>
    <w:rsid w:val="18BB236B"/>
    <w:rsid w:val="18C10D8C"/>
    <w:rsid w:val="18C354F3"/>
    <w:rsid w:val="18C64FE3"/>
    <w:rsid w:val="18D034C0"/>
    <w:rsid w:val="18D33856"/>
    <w:rsid w:val="18E401B4"/>
    <w:rsid w:val="18EB67F8"/>
    <w:rsid w:val="19033B41"/>
    <w:rsid w:val="19233AB4"/>
    <w:rsid w:val="194A0DEE"/>
    <w:rsid w:val="19515F00"/>
    <w:rsid w:val="19720CC7"/>
    <w:rsid w:val="19731ACA"/>
    <w:rsid w:val="198C7FDB"/>
    <w:rsid w:val="19940F13"/>
    <w:rsid w:val="199B6470"/>
    <w:rsid w:val="19A05834"/>
    <w:rsid w:val="19AD62C4"/>
    <w:rsid w:val="19B00719"/>
    <w:rsid w:val="19B80DD0"/>
    <w:rsid w:val="19B9490E"/>
    <w:rsid w:val="19C1474B"/>
    <w:rsid w:val="19C16617"/>
    <w:rsid w:val="19CF77AC"/>
    <w:rsid w:val="19D607CF"/>
    <w:rsid w:val="19D9534F"/>
    <w:rsid w:val="19E60A93"/>
    <w:rsid w:val="19EC4058"/>
    <w:rsid w:val="1A192F67"/>
    <w:rsid w:val="1A1D50D7"/>
    <w:rsid w:val="1A2A2353"/>
    <w:rsid w:val="1A36786B"/>
    <w:rsid w:val="1A3D2403"/>
    <w:rsid w:val="1A55661F"/>
    <w:rsid w:val="1A5959E3"/>
    <w:rsid w:val="1A5D3725"/>
    <w:rsid w:val="1A662FB1"/>
    <w:rsid w:val="1A7016AA"/>
    <w:rsid w:val="1A7C77D9"/>
    <w:rsid w:val="1A8B2040"/>
    <w:rsid w:val="1AA66E7A"/>
    <w:rsid w:val="1AA80E44"/>
    <w:rsid w:val="1AA95B4C"/>
    <w:rsid w:val="1AC02F34"/>
    <w:rsid w:val="1AE407D4"/>
    <w:rsid w:val="1AE87493"/>
    <w:rsid w:val="1B09565B"/>
    <w:rsid w:val="1B157ABC"/>
    <w:rsid w:val="1B2304CB"/>
    <w:rsid w:val="1B350F77"/>
    <w:rsid w:val="1B3568BA"/>
    <w:rsid w:val="1B450C16"/>
    <w:rsid w:val="1B48781E"/>
    <w:rsid w:val="1B534286"/>
    <w:rsid w:val="1B5779D5"/>
    <w:rsid w:val="1B5A05FF"/>
    <w:rsid w:val="1B5F2B71"/>
    <w:rsid w:val="1B5F5BC3"/>
    <w:rsid w:val="1B6457BA"/>
    <w:rsid w:val="1B662708"/>
    <w:rsid w:val="1B742AD4"/>
    <w:rsid w:val="1B7435BE"/>
    <w:rsid w:val="1B886580"/>
    <w:rsid w:val="1B974A15"/>
    <w:rsid w:val="1BA27980"/>
    <w:rsid w:val="1BA553F0"/>
    <w:rsid w:val="1BA70DE8"/>
    <w:rsid w:val="1BA91E9F"/>
    <w:rsid w:val="1BAA0BEC"/>
    <w:rsid w:val="1BAC3858"/>
    <w:rsid w:val="1BB235FD"/>
    <w:rsid w:val="1BB6538A"/>
    <w:rsid w:val="1BD45C69"/>
    <w:rsid w:val="1BDE2644"/>
    <w:rsid w:val="1C056887"/>
    <w:rsid w:val="1C0A0F65"/>
    <w:rsid w:val="1C4A7CD9"/>
    <w:rsid w:val="1C534A25"/>
    <w:rsid w:val="1C5C2829"/>
    <w:rsid w:val="1C5F0C09"/>
    <w:rsid w:val="1C6110A8"/>
    <w:rsid w:val="1C6136F5"/>
    <w:rsid w:val="1C67088B"/>
    <w:rsid w:val="1C6963B1"/>
    <w:rsid w:val="1C6C3E02"/>
    <w:rsid w:val="1C6C3F05"/>
    <w:rsid w:val="1C6C40F3"/>
    <w:rsid w:val="1C803656"/>
    <w:rsid w:val="1C8036FB"/>
    <w:rsid w:val="1C904157"/>
    <w:rsid w:val="1C940F54"/>
    <w:rsid w:val="1CAC2742"/>
    <w:rsid w:val="1CAE64BA"/>
    <w:rsid w:val="1CCC7816"/>
    <w:rsid w:val="1CE2791E"/>
    <w:rsid w:val="1CE3453F"/>
    <w:rsid w:val="1CF612D8"/>
    <w:rsid w:val="1CF7783C"/>
    <w:rsid w:val="1CF850F8"/>
    <w:rsid w:val="1D047E88"/>
    <w:rsid w:val="1D0C4EF2"/>
    <w:rsid w:val="1D2B14A4"/>
    <w:rsid w:val="1D2D14EE"/>
    <w:rsid w:val="1D2D3883"/>
    <w:rsid w:val="1D523EBC"/>
    <w:rsid w:val="1D5864FD"/>
    <w:rsid w:val="1D7262CF"/>
    <w:rsid w:val="1D7B7EAB"/>
    <w:rsid w:val="1DA833DE"/>
    <w:rsid w:val="1DAB47A7"/>
    <w:rsid w:val="1DAC507B"/>
    <w:rsid w:val="1DB77EC3"/>
    <w:rsid w:val="1DC04F9F"/>
    <w:rsid w:val="1DEB181E"/>
    <w:rsid w:val="1E0E75D4"/>
    <w:rsid w:val="1E1A3531"/>
    <w:rsid w:val="1E3D18A3"/>
    <w:rsid w:val="1E4002A6"/>
    <w:rsid w:val="1E4055E5"/>
    <w:rsid w:val="1E4C75DC"/>
    <w:rsid w:val="1E71154D"/>
    <w:rsid w:val="1E7F257C"/>
    <w:rsid w:val="1E914041"/>
    <w:rsid w:val="1E930A45"/>
    <w:rsid w:val="1EAC1126"/>
    <w:rsid w:val="1EAC679B"/>
    <w:rsid w:val="1EAD5731"/>
    <w:rsid w:val="1EC0236C"/>
    <w:rsid w:val="1ECF0652"/>
    <w:rsid w:val="1EDB577A"/>
    <w:rsid w:val="1EDD4E34"/>
    <w:rsid w:val="1EDE1A0F"/>
    <w:rsid w:val="1EE75CB3"/>
    <w:rsid w:val="1EED3903"/>
    <w:rsid w:val="1EFA7794"/>
    <w:rsid w:val="1F0B5B77"/>
    <w:rsid w:val="1F1C0141"/>
    <w:rsid w:val="1F3F0D5D"/>
    <w:rsid w:val="1F402D72"/>
    <w:rsid w:val="1F652BCD"/>
    <w:rsid w:val="1F6B2440"/>
    <w:rsid w:val="1F707A57"/>
    <w:rsid w:val="1F746F81"/>
    <w:rsid w:val="1F787F4B"/>
    <w:rsid w:val="1F7D1043"/>
    <w:rsid w:val="1F8452B0"/>
    <w:rsid w:val="1F96177A"/>
    <w:rsid w:val="1F9B395F"/>
    <w:rsid w:val="1FA013B8"/>
    <w:rsid w:val="1FBC0EEE"/>
    <w:rsid w:val="1FCB7383"/>
    <w:rsid w:val="1FD46237"/>
    <w:rsid w:val="1FD9384E"/>
    <w:rsid w:val="1FED2B80"/>
    <w:rsid w:val="1FFB37C4"/>
    <w:rsid w:val="20032679"/>
    <w:rsid w:val="20354072"/>
    <w:rsid w:val="203B62B7"/>
    <w:rsid w:val="203C38FA"/>
    <w:rsid w:val="20452C91"/>
    <w:rsid w:val="20487A22"/>
    <w:rsid w:val="204B2662"/>
    <w:rsid w:val="205E0EA8"/>
    <w:rsid w:val="206316B5"/>
    <w:rsid w:val="207B2B57"/>
    <w:rsid w:val="208539D6"/>
    <w:rsid w:val="209A2588"/>
    <w:rsid w:val="209F0895"/>
    <w:rsid w:val="20AA2037"/>
    <w:rsid w:val="20D12777"/>
    <w:rsid w:val="20D22B9B"/>
    <w:rsid w:val="20DA0DBE"/>
    <w:rsid w:val="20FD531A"/>
    <w:rsid w:val="210B1554"/>
    <w:rsid w:val="21135088"/>
    <w:rsid w:val="21156B39"/>
    <w:rsid w:val="21635684"/>
    <w:rsid w:val="216900D7"/>
    <w:rsid w:val="21782E02"/>
    <w:rsid w:val="21880846"/>
    <w:rsid w:val="219043E0"/>
    <w:rsid w:val="21AF72FD"/>
    <w:rsid w:val="21C45B13"/>
    <w:rsid w:val="21C66054"/>
    <w:rsid w:val="21CC5BCB"/>
    <w:rsid w:val="21E06736"/>
    <w:rsid w:val="21E36C06"/>
    <w:rsid w:val="21F23E92"/>
    <w:rsid w:val="21FD34F6"/>
    <w:rsid w:val="220162EC"/>
    <w:rsid w:val="220472DB"/>
    <w:rsid w:val="22254C4D"/>
    <w:rsid w:val="222F4433"/>
    <w:rsid w:val="223E7944"/>
    <w:rsid w:val="22576682"/>
    <w:rsid w:val="22582656"/>
    <w:rsid w:val="225D1039"/>
    <w:rsid w:val="22605614"/>
    <w:rsid w:val="226A4799"/>
    <w:rsid w:val="22970399"/>
    <w:rsid w:val="22B24A96"/>
    <w:rsid w:val="22B660C8"/>
    <w:rsid w:val="22C349B5"/>
    <w:rsid w:val="22FE594F"/>
    <w:rsid w:val="230B5CEC"/>
    <w:rsid w:val="232474D6"/>
    <w:rsid w:val="232A11FC"/>
    <w:rsid w:val="232D22B0"/>
    <w:rsid w:val="232D3F23"/>
    <w:rsid w:val="2332351B"/>
    <w:rsid w:val="233510EB"/>
    <w:rsid w:val="2338088B"/>
    <w:rsid w:val="233D2450"/>
    <w:rsid w:val="23430C50"/>
    <w:rsid w:val="235002CB"/>
    <w:rsid w:val="23505A2B"/>
    <w:rsid w:val="235C0A1E"/>
    <w:rsid w:val="2368614C"/>
    <w:rsid w:val="238A38FD"/>
    <w:rsid w:val="23906722"/>
    <w:rsid w:val="23964150"/>
    <w:rsid w:val="23A06920"/>
    <w:rsid w:val="23CE7442"/>
    <w:rsid w:val="23D06D16"/>
    <w:rsid w:val="23DD452A"/>
    <w:rsid w:val="23F20755"/>
    <w:rsid w:val="23F8159E"/>
    <w:rsid w:val="23FC5D5D"/>
    <w:rsid w:val="24004303"/>
    <w:rsid w:val="2403533D"/>
    <w:rsid w:val="24101808"/>
    <w:rsid w:val="24145536"/>
    <w:rsid w:val="241767A2"/>
    <w:rsid w:val="2423582F"/>
    <w:rsid w:val="24264393"/>
    <w:rsid w:val="24265FB9"/>
    <w:rsid w:val="24416CE3"/>
    <w:rsid w:val="244E3994"/>
    <w:rsid w:val="2460453E"/>
    <w:rsid w:val="24713D8A"/>
    <w:rsid w:val="247955FF"/>
    <w:rsid w:val="247C577A"/>
    <w:rsid w:val="247E3093"/>
    <w:rsid w:val="247F5174"/>
    <w:rsid w:val="24822706"/>
    <w:rsid w:val="24981C1B"/>
    <w:rsid w:val="249B5576"/>
    <w:rsid w:val="24AD2296"/>
    <w:rsid w:val="24DA64B5"/>
    <w:rsid w:val="250E3F9A"/>
    <w:rsid w:val="252058CD"/>
    <w:rsid w:val="2522399C"/>
    <w:rsid w:val="252B6B5B"/>
    <w:rsid w:val="25317C88"/>
    <w:rsid w:val="25333A00"/>
    <w:rsid w:val="25357778"/>
    <w:rsid w:val="254327E0"/>
    <w:rsid w:val="256A384A"/>
    <w:rsid w:val="257829F7"/>
    <w:rsid w:val="258C7EDA"/>
    <w:rsid w:val="25AC55EF"/>
    <w:rsid w:val="25C076DC"/>
    <w:rsid w:val="25DD52F2"/>
    <w:rsid w:val="25FA476A"/>
    <w:rsid w:val="261D245F"/>
    <w:rsid w:val="26270381"/>
    <w:rsid w:val="262B471E"/>
    <w:rsid w:val="262F1EEF"/>
    <w:rsid w:val="264650B1"/>
    <w:rsid w:val="26543C2E"/>
    <w:rsid w:val="26604556"/>
    <w:rsid w:val="26630315"/>
    <w:rsid w:val="26953D9E"/>
    <w:rsid w:val="26B266E2"/>
    <w:rsid w:val="26CF22BE"/>
    <w:rsid w:val="26D42403"/>
    <w:rsid w:val="26D468DF"/>
    <w:rsid w:val="26DE72B5"/>
    <w:rsid w:val="26EF621A"/>
    <w:rsid w:val="27061801"/>
    <w:rsid w:val="270846C4"/>
    <w:rsid w:val="270B43EA"/>
    <w:rsid w:val="270F5DA7"/>
    <w:rsid w:val="271632FA"/>
    <w:rsid w:val="27421CD9"/>
    <w:rsid w:val="274261F5"/>
    <w:rsid w:val="27440760"/>
    <w:rsid w:val="274836A8"/>
    <w:rsid w:val="274C2C9A"/>
    <w:rsid w:val="276E6E06"/>
    <w:rsid w:val="27732217"/>
    <w:rsid w:val="27840543"/>
    <w:rsid w:val="2786250D"/>
    <w:rsid w:val="2793048E"/>
    <w:rsid w:val="27A21BA5"/>
    <w:rsid w:val="27A75FE0"/>
    <w:rsid w:val="27AC3F6A"/>
    <w:rsid w:val="27B23302"/>
    <w:rsid w:val="27BA21B7"/>
    <w:rsid w:val="27C43035"/>
    <w:rsid w:val="27C75DAF"/>
    <w:rsid w:val="27C900F3"/>
    <w:rsid w:val="27CE5C62"/>
    <w:rsid w:val="27D012B3"/>
    <w:rsid w:val="27DC36B5"/>
    <w:rsid w:val="27E05A24"/>
    <w:rsid w:val="27E106FE"/>
    <w:rsid w:val="27E70979"/>
    <w:rsid w:val="27E92A9C"/>
    <w:rsid w:val="280A7203"/>
    <w:rsid w:val="28173165"/>
    <w:rsid w:val="281E47ED"/>
    <w:rsid w:val="28216FD2"/>
    <w:rsid w:val="2830013E"/>
    <w:rsid w:val="284C2B12"/>
    <w:rsid w:val="287C746C"/>
    <w:rsid w:val="288325A9"/>
    <w:rsid w:val="288C0DA8"/>
    <w:rsid w:val="289C18BC"/>
    <w:rsid w:val="28AD1946"/>
    <w:rsid w:val="28B27007"/>
    <w:rsid w:val="28B60BD0"/>
    <w:rsid w:val="28C130D1"/>
    <w:rsid w:val="28EA3406"/>
    <w:rsid w:val="28EF38E5"/>
    <w:rsid w:val="29006482"/>
    <w:rsid w:val="290336EA"/>
    <w:rsid w:val="290C02AF"/>
    <w:rsid w:val="292656AF"/>
    <w:rsid w:val="29425C46"/>
    <w:rsid w:val="294D5D55"/>
    <w:rsid w:val="29597F12"/>
    <w:rsid w:val="296E3259"/>
    <w:rsid w:val="29741B40"/>
    <w:rsid w:val="297D4D3B"/>
    <w:rsid w:val="29915199"/>
    <w:rsid w:val="29BC7BB3"/>
    <w:rsid w:val="29BE36B4"/>
    <w:rsid w:val="29C4731D"/>
    <w:rsid w:val="29D97536"/>
    <w:rsid w:val="29F23E8A"/>
    <w:rsid w:val="2A10072A"/>
    <w:rsid w:val="2A3323A7"/>
    <w:rsid w:val="2A336250"/>
    <w:rsid w:val="2A375D41"/>
    <w:rsid w:val="2A436327"/>
    <w:rsid w:val="2A470BC4"/>
    <w:rsid w:val="2A546C19"/>
    <w:rsid w:val="2A624569"/>
    <w:rsid w:val="2A682B5C"/>
    <w:rsid w:val="2A6C52BE"/>
    <w:rsid w:val="2A77438F"/>
    <w:rsid w:val="2A95784F"/>
    <w:rsid w:val="2A9B6C10"/>
    <w:rsid w:val="2AC07B49"/>
    <w:rsid w:val="2AC463B4"/>
    <w:rsid w:val="2AD76BDC"/>
    <w:rsid w:val="2ADF3CE2"/>
    <w:rsid w:val="2AE0599B"/>
    <w:rsid w:val="2AE13EFE"/>
    <w:rsid w:val="2B364C3B"/>
    <w:rsid w:val="2B3E0F1E"/>
    <w:rsid w:val="2B4D2282"/>
    <w:rsid w:val="2B5B4633"/>
    <w:rsid w:val="2B63714B"/>
    <w:rsid w:val="2B651FA4"/>
    <w:rsid w:val="2B7900FB"/>
    <w:rsid w:val="2B853484"/>
    <w:rsid w:val="2B862C9E"/>
    <w:rsid w:val="2B9952EB"/>
    <w:rsid w:val="2BA7274F"/>
    <w:rsid w:val="2BB55721"/>
    <w:rsid w:val="2BD4634C"/>
    <w:rsid w:val="2BDA4BD6"/>
    <w:rsid w:val="2C170833"/>
    <w:rsid w:val="2C204E94"/>
    <w:rsid w:val="2C2220D9"/>
    <w:rsid w:val="2C2737F0"/>
    <w:rsid w:val="2C296585"/>
    <w:rsid w:val="2C3649BE"/>
    <w:rsid w:val="2C3C5F50"/>
    <w:rsid w:val="2C433161"/>
    <w:rsid w:val="2C4617FF"/>
    <w:rsid w:val="2C4F5E7E"/>
    <w:rsid w:val="2C544F4B"/>
    <w:rsid w:val="2C574478"/>
    <w:rsid w:val="2C6A3874"/>
    <w:rsid w:val="2C952E57"/>
    <w:rsid w:val="2C9810A7"/>
    <w:rsid w:val="2CAE0B17"/>
    <w:rsid w:val="2CB203AC"/>
    <w:rsid w:val="2CEA239D"/>
    <w:rsid w:val="2CED21B3"/>
    <w:rsid w:val="2D0C6072"/>
    <w:rsid w:val="2D0D0FDB"/>
    <w:rsid w:val="2D134D45"/>
    <w:rsid w:val="2D1C121E"/>
    <w:rsid w:val="2D2219EF"/>
    <w:rsid w:val="2D27747B"/>
    <w:rsid w:val="2D2F5925"/>
    <w:rsid w:val="2D343226"/>
    <w:rsid w:val="2D376058"/>
    <w:rsid w:val="2D3D4DD6"/>
    <w:rsid w:val="2D3F54E0"/>
    <w:rsid w:val="2D4010AF"/>
    <w:rsid w:val="2D434BC4"/>
    <w:rsid w:val="2D4C133D"/>
    <w:rsid w:val="2D6C3F53"/>
    <w:rsid w:val="2D994590"/>
    <w:rsid w:val="2D9D59EE"/>
    <w:rsid w:val="2DA134D1"/>
    <w:rsid w:val="2DA17AFE"/>
    <w:rsid w:val="2DA51213"/>
    <w:rsid w:val="2DBA2F11"/>
    <w:rsid w:val="2DD90EBD"/>
    <w:rsid w:val="2DE735DA"/>
    <w:rsid w:val="2DEA4459"/>
    <w:rsid w:val="2DEA48C3"/>
    <w:rsid w:val="2DF66D0E"/>
    <w:rsid w:val="2DF67CC1"/>
    <w:rsid w:val="2E02284B"/>
    <w:rsid w:val="2E132621"/>
    <w:rsid w:val="2E1B7662"/>
    <w:rsid w:val="2E1E5F27"/>
    <w:rsid w:val="2E2D383B"/>
    <w:rsid w:val="2E5418F8"/>
    <w:rsid w:val="2E635E79"/>
    <w:rsid w:val="2E8E6ACF"/>
    <w:rsid w:val="2EA51E87"/>
    <w:rsid w:val="2EB82F6E"/>
    <w:rsid w:val="2EBB5F72"/>
    <w:rsid w:val="2EBC27AA"/>
    <w:rsid w:val="2EBF4557"/>
    <w:rsid w:val="2ED527B3"/>
    <w:rsid w:val="2ED718A0"/>
    <w:rsid w:val="2F3A280F"/>
    <w:rsid w:val="2F3A781F"/>
    <w:rsid w:val="2F3C1A2D"/>
    <w:rsid w:val="2F4A2787"/>
    <w:rsid w:val="2F522C18"/>
    <w:rsid w:val="2F5279CC"/>
    <w:rsid w:val="2F6B4286"/>
    <w:rsid w:val="2F782477"/>
    <w:rsid w:val="2F8337D6"/>
    <w:rsid w:val="2F884699"/>
    <w:rsid w:val="2F990904"/>
    <w:rsid w:val="2F9F707E"/>
    <w:rsid w:val="2FA572A9"/>
    <w:rsid w:val="2FA84FEB"/>
    <w:rsid w:val="2FB56E77"/>
    <w:rsid w:val="2FEB7044"/>
    <w:rsid w:val="2FF14450"/>
    <w:rsid w:val="2FFB51B0"/>
    <w:rsid w:val="30052BF7"/>
    <w:rsid w:val="30423A77"/>
    <w:rsid w:val="30493B8F"/>
    <w:rsid w:val="3050190A"/>
    <w:rsid w:val="30543732"/>
    <w:rsid w:val="305C2C5A"/>
    <w:rsid w:val="305F1531"/>
    <w:rsid w:val="30683D24"/>
    <w:rsid w:val="30716517"/>
    <w:rsid w:val="30724C45"/>
    <w:rsid w:val="307A5F46"/>
    <w:rsid w:val="308F23A0"/>
    <w:rsid w:val="30963C22"/>
    <w:rsid w:val="30B64A61"/>
    <w:rsid w:val="30CB0F91"/>
    <w:rsid w:val="30D53BBD"/>
    <w:rsid w:val="30EE7B24"/>
    <w:rsid w:val="30F75AD5"/>
    <w:rsid w:val="31221663"/>
    <w:rsid w:val="312C4ED8"/>
    <w:rsid w:val="312E0459"/>
    <w:rsid w:val="313205A1"/>
    <w:rsid w:val="313D44E3"/>
    <w:rsid w:val="315E1E05"/>
    <w:rsid w:val="316B5337"/>
    <w:rsid w:val="318252F5"/>
    <w:rsid w:val="3190076F"/>
    <w:rsid w:val="31C372AC"/>
    <w:rsid w:val="31C76297"/>
    <w:rsid w:val="31CE0B2E"/>
    <w:rsid w:val="31DF196B"/>
    <w:rsid w:val="320720C4"/>
    <w:rsid w:val="322F6D90"/>
    <w:rsid w:val="323A4870"/>
    <w:rsid w:val="323E59E8"/>
    <w:rsid w:val="324D017F"/>
    <w:rsid w:val="325029B8"/>
    <w:rsid w:val="32517AFD"/>
    <w:rsid w:val="32520100"/>
    <w:rsid w:val="32612242"/>
    <w:rsid w:val="32761481"/>
    <w:rsid w:val="328E4F76"/>
    <w:rsid w:val="32A63A63"/>
    <w:rsid w:val="32AD5A91"/>
    <w:rsid w:val="32B141B6"/>
    <w:rsid w:val="32B37F2E"/>
    <w:rsid w:val="32D05453"/>
    <w:rsid w:val="32EA22E0"/>
    <w:rsid w:val="32F43AC2"/>
    <w:rsid w:val="32FF7967"/>
    <w:rsid w:val="330737B2"/>
    <w:rsid w:val="330C5ADD"/>
    <w:rsid w:val="331704BD"/>
    <w:rsid w:val="331C66A1"/>
    <w:rsid w:val="33245CBD"/>
    <w:rsid w:val="3328091C"/>
    <w:rsid w:val="332A19CE"/>
    <w:rsid w:val="333077D1"/>
    <w:rsid w:val="33312C0E"/>
    <w:rsid w:val="33487687"/>
    <w:rsid w:val="3352708F"/>
    <w:rsid w:val="33562B12"/>
    <w:rsid w:val="335C4122"/>
    <w:rsid w:val="3369209D"/>
    <w:rsid w:val="33743B62"/>
    <w:rsid w:val="337641DE"/>
    <w:rsid w:val="33825082"/>
    <w:rsid w:val="338843BB"/>
    <w:rsid w:val="33BF2A46"/>
    <w:rsid w:val="33C64164"/>
    <w:rsid w:val="33EC43DC"/>
    <w:rsid w:val="33FB6A7E"/>
    <w:rsid w:val="33FD35F7"/>
    <w:rsid w:val="34033421"/>
    <w:rsid w:val="340622E0"/>
    <w:rsid w:val="343B01DB"/>
    <w:rsid w:val="344113FF"/>
    <w:rsid w:val="34525525"/>
    <w:rsid w:val="34641D97"/>
    <w:rsid w:val="347E456C"/>
    <w:rsid w:val="348A3DF0"/>
    <w:rsid w:val="34912EBC"/>
    <w:rsid w:val="34943D90"/>
    <w:rsid w:val="34B63D06"/>
    <w:rsid w:val="34BF5315"/>
    <w:rsid w:val="34CC5F5E"/>
    <w:rsid w:val="34D00573"/>
    <w:rsid w:val="34D0311F"/>
    <w:rsid w:val="34D93DE9"/>
    <w:rsid w:val="34EE1769"/>
    <w:rsid w:val="34FC4643"/>
    <w:rsid w:val="350D449E"/>
    <w:rsid w:val="35245113"/>
    <w:rsid w:val="35303AB8"/>
    <w:rsid w:val="355A2697"/>
    <w:rsid w:val="35893583"/>
    <w:rsid w:val="358B5193"/>
    <w:rsid w:val="35A344CB"/>
    <w:rsid w:val="35E816E7"/>
    <w:rsid w:val="36140CE4"/>
    <w:rsid w:val="36162CAE"/>
    <w:rsid w:val="361E07A0"/>
    <w:rsid w:val="3624379C"/>
    <w:rsid w:val="362A0508"/>
    <w:rsid w:val="36406334"/>
    <w:rsid w:val="364643F7"/>
    <w:rsid w:val="36471B76"/>
    <w:rsid w:val="365F4CCA"/>
    <w:rsid w:val="3660213E"/>
    <w:rsid w:val="3660217B"/>
    <w:rsid w:val="366A55B9"/>
    <w:rsid w:val="3684359A"/>
    <w:rsid w:val="36957375"/>
    <w:rsid w:val="36990952"/>
    <w:rsid w:val="36A50685"/>
    <w:rsid w:val="36AF48BF"/>
    <w:rsid w:val="36B94F52"/>
    <w:rsid w:val="36C779A2"/>
    <w:rsid w:val="36CD4364"/>
    <w:rsid w:val="36D11DD1"/>
    <w:rsid w:val="36D60263"/>
    <w:rsid w:val="36DC1193"/>
    <w:rsid w:val="36E3011C"/>
    <w:rsid w:val="36EE67C0"/>
    <w:rsid w:val="36FB3646"/>
    <w:rsid w:val="370F4869"/>
    <w:rsid w:val="37110D4C"/>
    <w:rsid w:val="371A26C2"/>
    <w:rsid w:val="371D3114"/>
    <w:rsid w:val="372D1909"/>
    <w:rsid w:val="37362EDC"/>
    <w:rsid w:val="373805A7"/>
    <w:rsid w:val="373C06F3"/>
    <w:rsid w:val="375555A5"/>
    <w:rsid w:val="37656A08"/>
    <w:rsid w:val="37751C56"/>
    <w:rsid w:val="37767AE9"/>
    <w:rsid w:val="37824373"/>
    <w:rsid w:val="37A10C9D"/>
    <w:rsid w:val="37B76AFF"/>
    <w:rsid w:val="37BD234A"/>
    <w:rsid w:val="37D3302F"/>
    <w:rsid w:val="37E86A45"/>
    <w:rsid w:val="37F70E62"/>
    <w:rsid w:val="380642E2"/>
    <w:rsid w:val="380A6843"/>
    <w:rsid w:val="380C3679"/>
    <w:rsid w:val="380D0661"/>
    <w:rsid w:val="3814321D"/>
    <w:rsid w:val="38195C80"/>
    <w:rsid w:val="382F3840"/>
    <w:rsid w:val="382F44FB"/>
    <w:rsid w:val="38375CB1"/>
    <w:rsid w:val="38393B2C"/>
    <w:rsid w:val="3843357E"/>
    <w:rsid w:val="385C2CB7"/>
    <w:rsid w:val="38804D57"/>
    <w:rsid w:val="389761C4"/>
    <w:rsid w:val="3899398B"/>
    <w:rsid w:val="38997BC6"/>
    <w:rsid w:val="38D40BFF"/>
    <w:rsid w:val="38E16F84"/>
    <w:rsid w:val="38E43E04"/>
    <w:rsid w:val="38F60F50"/>
    <w:rsid w:val="38FE5C7B"/>
    <w:rsid w:val="39054506"/>
    <w:rsid w:val="390A63CE"/>
    <w:rsid w:val="391060DB"/>
    <w:rsid w:val="39202D31"/>
    <w:rsid w:val="3923093C"/>
    <w:rsid w:val="392D58ED"/>
    <w:rsid w:val="3931195D"/>
    <w:rsid w:val="393601CD"/>
    <w:rsid w:val="39507621"/>
    <w:rsid w:val="395204F4"/>
    <w:rsid w:val="395A099E"/>
    <w:rsid w:val="395D72F1"/>
    <w:rsid w:val="396D0E78"/>
    <w:rsid w:val="39785D68"/>
    <w:rsid w:val="397F2CB0"/>
    <w:rsid w:val="39883286"/>
    <w:rsid w:val="39957334"/>
    <w:rsid w:val="399C0CED"/>
    <w:rsid w:val="39B2192F"/>
    <w:rsid w:val="39C45CA1"/>
    <w:rsid w:val="39C577C8"/>
    <w:rsid w:val="39E249FB"/>
    <w:rsid w:val="39F16552"/>
    <w:rsid w:val="39FC21BB"/>
    <w:rsid w:val="3A511C06"/>
    <w:rsid w:val="3A5A5A1A"/>
    <w:rsid w:val="3A5C6756"/>
    <w:rsid w:val="3A992100"/>
    <w:rsid w:val="3AB8583D"/>
    <w:rsid w:val="3AC510E9"/>
    <w:rsid w:val="3AC95017"/>
    <w:rsid w:val="3AEF12CB"/>
    <w:rsid w:val="3AEF1D20"/>
    <w:rsid w:val="3AF123D3"/>
    <w:rsid w:val="3AF35C5F"/>
    <w:rsid w:val="3B021A53"/>
    <w:rsid w:val="3B2001AC"/>
    <w:rsid w:val="3B2A5483"/>
    <w:rsid w:val="3B2D54EE"/>
    <w:rsid w:val="3B503504"/>
    <w:rsid w:val="3B7F2EA4"/>
    <w:rsid w:val="3B832AE2"/>
    <w:rsid w:val="3BD0670F"/>
    <w:rsid w:val="3BDE4BA7"/>
    <w:rsid w:val="3BFC6D38"/>
    <w:rsid w:val="3C187054"/>
    <w:rsid w:val="3C3E7321"/>
    <w:rsid w:val="3C41552D"/>
    <w:rsid w:val="3C5F4C83"/>
    <w:rsid w:val="3C8041A7"/>
    <w:rsid w:val="3C875606"/>
    <w:rsid w:val="3CA3737D"/>
    <w:rsid w:val="3CB7686D"/>
    <w:rsid w:val="3CB92E18"/>
    <w:rsid w:val="3CBD44CF"/>
    <w:rsid w:val="3CC01321"/>
    <w:rsid w:val="3CC80A7A"/>
    <w:rsid w:val="3CC86AC9"/>
    <w:rsid w:val="3CD2683A"/>
    <w:rsid w:val="3CD81173"/>
    <w:rsid w:val="3CD9412D"/>
    <w:rsid w:val="3CE8111C"/>
    <w:rsid w:val="3CF25AF7"/>
    <w:rsid w:val="3CF54B95"/>
    <w:rsid w:val="3CFA5D8B"/>
    <w:rsid w:val="3CFE12CE"/>
    <w:rsid w:val="3D145A6E"/>
    <w:rsid w:val="3D146E96"/>
    <w:rsid w:val="3D20760B"/>
    <w:rsid w:val="3D234E82"/>
    <w:rsid w:val="3D2C1009"/>
    <w:rsid w:val="3D3E0D3C"/>
    <w:rsid w:val="3D6109E5"/>
    <w:rsid w:val="3D687B67"/>
    <w:rsid w:val="3D6C7658"/>
    <w:rsid w:val="3D6F0922"/>
    <w:rsid w:val="3D79226F"/>
    <w:rsid w:val="3D930B3B"/>
    <w:rsid w:val="3DA02F62"/>
    <w:rsid w:val="3DCC697B"/>
    <w:rsid w:val="3DEE62B1"/>
    <w:rsid w:val="3E19700D"/>
    <w:rsid w:val="3E1B341C"/>
    <w:rsid w:val="3E2148E6"/>
    <w:rsid w:val="3E247F32"/>
    <w:rsid w:val="3E3E4744"/>
    <w:rsid w:val="3E416AFE"/>
    <w:rsid w:val="3E452B90"/>
    <w:rsid w:val="3E454730"/>
    <w:rsid w:val="3E4C7A4A"/>
    <w:rsid w:val="3E5949D3"/>
    <w:rsid w:val="3E6B5B61"/>
    <w:rsid w:val="3E6E499A"/>
    <w:rsid w:val="3E7C27CE"/>
    <w:rsid w:val="3E9926CE"/>
    <w:rsid w:val="3EB90AA2"/>
    <w:rsid w:val="3EBA1EE1"/>
    <w:rsid w:val="3EBA2508"/>
    <w:rsid w:val="3EDD647A"/>
    <w:rsid w:val="3EE63FF8"/>
    <w:rsid w:val="3F115748"/>
    <w:rsid w:val="3F123024"/>
    <w:rsid w:val="3F185CE9"/>
    <w:rsid w:val="3F1A7199"/>
    <w:rsid w:val="3F213454"/>
    <w:rsid w:val="3F322658"/>
    <w:rsid w:val="3F381343"/>
    <w:rsid w:val="3F387205"/>
    <w:rsid w:val="3F7C37F0"/>
    <w:rsid w:val="3F850EA5"/>
    <w:rsid w:val="3F942E96"/>
    <w:rsid w:val="3F9C4267"/>
    <w:rsid w:val="3FA96941"/>
    <w:rsid w:val="3FB1671B"/>
    <w:rsid w:val="3FBF43B6"/>
    <w:rsid w:val="3FC22361"/>
    <w:rsid w:val="3FF3587B"/>
    <w:rsid w:val="3FF878C8"/>
    <w:rsid w:val="400550D8"/>
    <w:rsid w:val="40055CC2"/>
    <w:rsid w:val="400920A8"/>
    <w:rsid w:val="400E0E9A"/>
    <w:rsid w:val="40153FD6"/>
    <w:rsid w:val="403C0ED4"/>
    <w:rsid w:val="403D4DEF"/>
    <w:rsid w:val="404261D3"/>
    <w:rsid w:val="404843AC"/>
    <w:rsid w:val="40550D84"/>
    <w:rsid w:val="40585659"/>
    <w:rsid w:val="40664832"/>
    <w:rsid w:val="406E7B8B"/>
    <w:rsid w:val="408D0F28"/>
    <w:rsid w:val="40CB5DFE"/>
    <w:rsid w:val="40CE6B21"/>
    <w:rsid w:val="40E03CC0"/>
    <w:rsid w:val="40EB48AF"/>
    <w:rsid w:val="40EF645B"/>
    <w:rsid w:val="40F06099"/>
    <w:rsid w:val="40FC23F7"/>
    <w:rsid w:val="40FF67DD"/>
    <w:rsid w:val="41006A35"/>
    <w:rsid w:val="41106EF3"/>
    <w:rsid w:val="4119163E"/>
    <w:rsid w:val="412344D1"/>
    <w:rsid w:val="41265D6F"/>
    <w:rsid w:val="412A4EB2"/>
    <w:rsid w:val="415154E2"/>
    <w:rsid w:val="415723CD"/>
    <w:rsid w:val="415D109C"/>
    <w:rsid w:val="416C6026"/>
    <w:rsid w:val="417534E0"/>
    <w:rsid w:val="41764F49"/>
    <w:rsid w:val="417D0085"/>
    <w:rsid w:val="417E425A"/>
    <w:rsid w:val="418D5BB6"/>
    <w:rsid w:val="41986C6D"/>
    <w:rsid w:val="419F1796"/>
    <w:rsid w:val="41B644B0"/>
    <w:rsid w:val="41B811FB"/>
    <w:rsid w:val="41B869B8"/>
    <w:rsid w:val="41C35EF5"/>
    <w:rsid w:val="41C7354F"/>
    <w:rsid w:val="41D576C0"/>
    <w:rsid w:val="41F041F6"/>
    <w:rsid w:val="41F64722"/>
    <w:rsid w:val="4218168B"/>
    <w:rsid w:val="422449A5"/>
    <w:rsid w:val="42254279"/>
    <w:rsid w:val="422C5607"/>
    <w:rsid w:val="42350960"/>
    <w:rsid w:val="424706A7"/>
    <w:rsid w:val="425C25C0"/>
    <w:rsid w:val="42700DB1"/>
    <w:rsid w:val="427E1F17"/>
    <w:rsid w:val="428E62C2"/>
    <w:rsid w:val="42927B60"/>
    <w:rsid w:val="42953BC5"/>
    <w:rsid w:val="42A15FF5"/>
    <w:rsid w:val="42A21B59"/>
    <w:rsid w:val="42A2552E"/>
    <w:rsid w:val="42A85578"/>
    <w:rsid w:val="42B74B72"/>
    <w:rsid w:val="42CD4998"/>
    <w:rsid w:val="42F04887"/>
    <w:rsid w:val="43083F43"/>
    <w:rsid w:val="430A75B4"/>
    <w:rsid w:val="430B16C1"/>
    <w:rsid w:val="43152739"/>
    <w:rsid w:val="431F6ED3"/>
    <w:rsid w:val="43211F27"/>
    <w:rsid w:val="43272DE2"/>
    <w:rsid w:val="43296D0F"/>
    <w:rsid w:val="432D5ADB"/>
    <w:rsid w:val="43413633"/>
    <w:rsid w:val="43421586"/>
    <w:rsid w:val="43434FEC"/>
    <w:rsid w:val="43877624"/>
    <w:rsid w:val="43995082"/>
    <w:rsid w:val="43AF3D56"/>
    <w:rsid w:val="43B104BA"/>
    <w:rsid w:val="43B237DA"/>
    <w:rsid w:val="43E268C5"/>
    <w:rsid w:val="43EA542E"/>
    <w:rsid w:val="43F66A11"/>
    <w:rsid w:val="43F67539"/>
    <w:rsid w:val="440C17E1"/>
    <w:rsid w:val="440D7B75"/>
    <w:rsid w:val="440E1D91"/>
    <w:rsid w:val="443631D6"/>
    <w:rsid w:val="444C3F55"/>
    <w:rsid w:val="44542398"/>
    <w:rsid w:val="445B21D4"/>
    <w:rsid w:val="445E65C3"/>
    <w:rsid w:val="44867251"/>
    <w:rsid w:val="44892376"/>
    <w:rsid w:val="449E56EB"/>
    <w:rsid w:val="44A80DF9"/>
    <w:rsid w:val="44AF034E"/>
    <w:rsid w:val="44B13A3F"/>
    <w:rsid w:val="44BF2DBC"/>
    <w:rsid w:val="44CA6470"/>
    <w:rsid w:val="44D34721"/>
    <w:rsid w:val="44F85B8E"/>
    <w:rsid w:val="44F92DD9"/>
    <w:rsid w:val="45091B37"/>
    <w:rsid w:val="451612EF"/>
    <w:rsid w:val="451C265C"/>
    <w:rsid w:val="452D0E88"/>
    <w:rsid w:val="452F2B51"/>
    <w:rsid w:val="452F5D1D"/>
    <w:rsid w:val="452F78E8"/>
    <w:rsid w:val="454427DD"/>
    <w:rsid w:val="454669E0"/>
    <w:rsid w:val="45704EA4"/>
    <w:rsid w:val="45725A27"/>
    <w:rsid w:val="45833790"/>
    <w:rsid w:val="45933D41"/>
    <w:rsid w:val="459B4F7E"/>
    <w:rsid w:val="459E3CA7"/>
    <w:rsid w:val="459E681C"/>
    <w:rsid w:val="45A70684"/>
    <w:rsid w:val="45C612D4"/>
    <w:rsid w:val="45C7207A"/>
    <w:rsid w:val="45C73FC5"/>
    <w:rsid w:val="45CC2A41"/>
    <w:rsid w:val="45D165D5"/>
    <w:rsid w:val="45DB083F"/>
    <w:rsid w:val="45DB408C"/>
    <w:rsid w:val="45DF5D89"/>
    <w:rsid w:val="46184428"/>
    <w:rsid w:val="461B60BF"/>
    <w:rsid w:val="46317496"/>
    <w:rsid w:val="463F0F1F"/>
    <w:rsid w:val="46414AF3"/>
    <w:rsid w:val="46546B21"/>
    <w:rsid w:val="46674E60"/>
    <w:rsid w:val="46676821"/>
    <w:rsid w:val="4668255C"/>
    <w:rsid w:val="4685178A"/>
    <w:rsid w:val="469B2D5C"/>
    <w:rsid w:val="469F0A9E"/>
    <w:rsid w:val="469F39B5"/>
    <w:rsid w:val="46AE27FB"/>
    <w:rsid w:val="46BE496C"/>
    <w:rsid w:val="46CC73B9"/>
    <w:rsid w:val="46D83FB0"/>
    <w:rsid w:val="46E53C65"/>
    <w:rsid w:val="46EB7044"/>
    <w:rsid w:val="46F05992"/>
    <w:rsid w:val="472B3A85"/>
    <w:rsid w:val="473A2B57"/>
    <w:rsid w:val="473B1332"/>
    <w:rsid w:val="474C147D"/>
    <w:rsid w:val="475C0D8B"/>
    <w:rsid w:val="475C24EB"/>
    <w:rsid w:val="476270E8"/>
    <w:rsid w:val="476615BC"/>
    <w:rsid w:val="47663A31"/>
    <w:rsid w:val="476D2079"/>
    <w:rsid w:val="477F0D17"/>
    <w:rsid w:val="478B4D5C"/>
    <w:rsid w:val="47997BB5"/>
    <w:rsid w:val="47B642F1"/>
    <w:rsid w:val="47CB7671"/>
    <w:rsid w:val="47F1412D"/>
    <w:rsid w:val="47F34FCF"/>
    <w:rsid w:val="47FD3CCE"/>
    <w:rsid w:val="48441761"/>
    <w:rsid w:val="485523F0"/>
    <w:rsid w:val="485E36FD"/>
    <w:rsid w:val="486378A9"/>
    <w:rsid w:val="487B2C47"/>
    <w:rsid w:val="488B6342"/>
    <w:rsid w:val="48B84099"/>
    <w:rsid w:val="48BC73C5"/>
    <w:rsid w:val="48C978A6"/>
    <w:rsid w:val="48F0738F"/>
    <w:rsid w:val="48F16D90"/>
    <w:rsid w:val="490177EE"/>
    <w:rsid w:val="491B2B29"/>
    <w:rsid w:val="49366D6C"/>
    <w:rsid w:val="49485B1B"/>
    <w:rsid w:val="49557B3A"/>
    <w:rsid w:val="49634037"/>
    <w:rsid w:val="497C50C6"/>
    <w:rsid w:val="49890F93"/>
    <w:rsid w:val="499A1E80"/>
    <w:rsid w:val="499A554C"/>
    <w:rsid w:val="49AE2DA6"/>
    <w:rsid w:val="49BA14B8"/>
    <w:rsid w:val="49C6610C"/>
    <w:rsid w:val="4A0330F2"/>
    <w:rsid w:val="4A216B47"/>
    <w:rsid w:val="4A284CFD"/>
    <w:rsid w:val="4A375BAA"/>
    <w:rsid w:val="4A497770"/>
    <w:rsid w:val="4A703D85"/>
    <w:rsid w:val="4A791606"/>
    <w:rsid w:val="4A7A7858"/>
    <w:rsid w:val="4A845D3F"/>
    <w:rsid w:val="4A885C0F"/>
    <w:rsid w:val="4AB97C54"/>
    <w:rsid w:val="4ABF34BD"/>
    <w:rsid w:val="4ADA20A4"/>
    <w:rsid w:val="4AEE640C"/>
    <w:rsid w:val="4B036BB2"/>
    <w:rsid w:val="4B08297C"/>
    <w:rsid w:val="4B143B2C"/>
    <w:rsid w:val="4B234A68"/>
    <w:rsid w:val="4B2D23BE"/>
    <w:rsid w:val="4B321EE0"/>
    <w:rsid w:val="4B3667C1"/>
    <w:rsid w:val="4B412ACE"/>
    <w:rsid w:val="4B554F81"/>
    <w:rsid w:val="4B6B71A0"/>
    <w:rsid w:val="4B8A0110"/>
    <w:rsid w:val="4B8D0273"/>
    <w:rsid w:val="4B94068F"/>
    <w:rsid w:val="4B990A6A"/>
    <w:rsid w:val="4BA6467C"/>
    <w:rsid w:val="4BC126E2"/>
    <w:rsid w:val="4BCD7E5B"/>
    <w:rsid w:val="4BD05255"/>
    <w:rsid w:val="4BE90FB4"/>
    <w:rsid w:val="4BEC20E3"/>
    <w:rsid w:val="4C067202"/>
    <w:rsid w:val="4C137A41"/>
    <w:rsid w:val="4C196A63"/>
    <w:rsid w:val="4C28576B"/>
    <w:rsid w:val="4C2A2700"/>
    <w:rsid w:val="4C5D11DF"/>
    <w:rsid w:val="4C6045EA"/>
    <w:rsid w:val="4C6E0E52"/>
    <w:rsid w:val="4C7843AA"/>
    <w:rsid w:val="4C7F3FDD"/>
    <w:rsid w:val="4C8F302E"/>
    <w:rsid w:val="4C8F6448"/>
    <w:rsid w:val="4C9B7C33"/>
    <w:rsid w:val="4C9C7C64"/>
    <w:rsid w:val="4CAA6630"/>
    <w:rsid w:val="4CAC5CC3"/>
    <w:rsid w:val="4CAF7561"/>
    <w:rsid w:val="4CB33AF1"/>
    <w:rsid w:val="4CC823D1"/>
    <w:rsid w:val="4CD441D0"/>
    <w:rsid w:val="4CD72FB7"/>
    <w:rsid w:val="4CDC0EB7"/>
    <w:rsid w:val="4CDE3168"/>
    <w:rsid w:val="4CEB00CB"/>
    <w:rsid w:val="4CF846AC"/>
    <w:rsid w:val="4D0471C5"/>
    <w:rsid w:val="4D17698C"/>
    <w:rsid w:val="4D310D9A"/>
    <w:rsid w:val="4D3D2422"/>
    <w:rsid w:val="4D534EB7"/>
    <w:rsid w:val="4D5D6FBD"/>
    <w:rsid w:val="4D7560B4"/>
    <w:rsid w:val="4D8325E0"/>
    <w:rsid w:val="4DA51238"/>
    <w:rsid w:val="4E014703"/>
    <w:rsid w:val="4E0336C0"/>
    <w:rsid w:val="4E037B64"/>
    <w:rsid w:val="4E1E1B35"/>
    <w:rsid w:val="4E2C4007"/>
    <w:rsid w:val="4E490FF5"/>
    <w:rsid w:val="4E505F64"/>
    <w:rsid w:val="4E6F51FA"/>
    <w:rsid w:val="4E761A7B"/>
    <w:rsid w:val="4E7C3473"/>
    <w:rsid w:val="4E7D24D8"/>
    <w:rsid w:val="4E82530F"/>
    <w:rsid w:val="4E8C3FBC"/>
    <w:rsid w:val="4EAF3848"/>
    <w:rsid w:val="4EBD41B7"/>
    <w:rsid w:val="4ECD42F1"/>
    <w:rsid w:val="4ED14CE5"/>
    <w:rsid w:val="4EF710A8"/>
    <w:rsid w:val="4EF93941"/>
    <w:rsid w:val="4EFB3868"/>
    <w:rsid w:val="4EFF657E"/>
    <w:rsid w:val="4F054FD8"/>
    <w:rsid w:val="4F195165"/>
    <w:rsid w:val="4F2D365D"/>
    <w:rsid w:val="4F2E29BF"/>
    <w:rsid w:val="4F2E6E63"/>
    <w:rsid w:val="4F34146F"/>
    <w:rsid w:val="4F350A1A"/>
    <w:rsid w:val="4F3B50DC"/>
    <w:rsid w:val="4F3C2FF7"/>
    <w:rsid w:val="4F4B05A8"/>
    <w:rsid w:val="4F53402A"/>
    <w:rsid w:val="4F74239C"/>
    <w:rsid w:val="4F754C32"/>
    <w:rsid w:val="4F945B4C"/>
    <w:rsid w:val="4F9B383B"/>
    <w:rsid w:val="4FAF07F9"/>
    <w:rsid w:val="4FBA4253"/>
    <w:rsid w:val="4FCD5E1B"/>
    <w:rsid w:val="4FF37764"/>
    <w:rsid w:val="4FFC3800"/>
    <w:rsid w:val="4FFE11C1"/>
    <w:rsid w:val="4FFF3D42"/>
    <w:rsid w:val="50202AAA"/>
    <w:rsid w:val="50370D76"/>
    <w:rsid w:val="503E2D04"/>
    <w:rsid w:val="505C355C"/>
    <w:rsid w:val="505D7F2A"/>
    <w:rsid w:val="507837EB"/>
    <w:rsid w:val="50796F74"/>
    <w:rsid w:val="507B33EA"/>
    <w:rsid w:val="50911690"/>
    <w:rsid w:val="50A06038"/>
    <w:rsid w:val="50F11EF6"/>
    <w:rsid w:val="50FF6DFB"/>
    <w:rsid w:val="510E1558"/>
    <w:rsid w:val="51112598"/>
    <w:rsid w:val="51122B7B"/>
    <w:rsid w:val="511238D4"/>
    <w:rsid w:val="51167C06"/>
    <w:rsid w:val="51234079"/>
    <w:rsid w:val="512B4AB9"/>
    <w:rsid w:val="5135761B"/>
    <w:rsid w:val="515406D7"/>
    <w:rsid w:val="51803E48"/>
    <w:rsid w:val="518A6F8B"/>
    <w:rsid w:val="51A34ED7"/>
    <w:rsid w:val="51B80529"/>
    <w:rsid w:val="51BD2325"/>
    <w:rsid w:val="51CC1773"/>
    <w:rsid w:val="51DB28DE"/>
    <w:rsid w:val="51DD247A"/>
    <w:rsid w:val="51DE17D9"/>
    <w:rsid w:val="51E76C31"/>
    <w:rsid w:val="51ED6B61"/>
    <w:rsid w:val="51FA78CF"/>
    <w:rsid w:val="524349D3"/>
    <w:rsid w:val="52510E47"/>
    <w:rsid w:val="526C3842"/>
    <w:rsid w:val="52887ADE"/>
    <w:rsid w:val="528D3EA0"/>
    <w:rsid w:val="528F544B"/>
    <w:rsid w:val="52911BE2"/>
    <w:rsid w:val="52926C9E"/>
    <w:rsid w:val="529C0587"/>
    <w:rsid w:val="52A14BB8"/>
    <w:rsid w:val="52C87CE6"/>
    <w:rsid w:val="52D57917"/>
    <w:rsid w:val="52EB5F0B"/>
    <w:rsid w:val="53206AC2"/>
    <w:rsid w:val="534A1D91"/>
    <w:rsid w:val="534A673B"/>
    <w:rsid w:val="535D3512"/>
    <w:rsid w:val="5372496A"/>
    <w:rsid w:val="537D469C"/>
    <w:rsid w:val="53820528"/>
    <w:rsid w:val="538945BA"/>
    <w:rsid w:val="53A414A2"/>
    <w:rsid w:val="53A4407C"/>
    <w:rsid w:val="53C175B3"/>
    <w:rsid w:val="53D578AD"/>
    <w:rsid w:val="53E800DF"/>
    <w:rsid w:val="53EC2500"/>
    <w:rsid w:val="540D6DF5"/>
    <w:rsid w:val="54242C18"/>
    <w:rsid w:val="54324BBD"/>
    <w:rsid w:val="54364A4A"/>
    <w:rsid w:val="543842E0"/>
    <w:rsid w:val="54466608"/>
    <w:rsid w:val="54723C7D"/>
    <w:rsid w:val="5480697A"/>
    <w:rsid w:val="5486504B"/>
    <w:rsid w:val="548E3187"/>
    <w:rsid w:val="549166D2"/>
    <w:rsid w:val="549A4334"/>
    <w:rsid w:val="549F610D"/>
    <w:rsid w:val="54A026C9"/>
    <w:rsid w:val="54AC2398"/>
    <w:rsid w:val="54BE2A37"/>
    <w:rsid w:val="54D67D81"/>
    <w:rsid w:val="54F834E2"/>
    <w:rsid w:val="54F975CB"/>
    <w:rsid w:val="54FC32B1"/>
    <w:rsid w:val="55007A41"/>
    <w:rsid w:val="551634A5"/>
    <w:rsid w:val="552705DC"/>
    <w:rsid w:val="55344223"/>
    <w:rsid w:val="55407CEF"/>
    <w:rsid w:val="554A5678"/>
    <w:rsid w:val="555216BD"/>
    <w:rsid w:val="556F6521"/>
    <w:rsid w:val="55711857"/>
    <w:rsid w:val="557650C0"/>
    <w:rsid w:val="55845C23"/>
    <w:rsid w:val="559A4FB7"/>
    <w:rsid w:val="55AA0013"/>
    <w:rsid w:val="55BD3804"/>
    <w:rsid w:val="55C448D4"/>
    <w:rsid w:val="55C44EF7"/>
    <w:rsid w:val="55D17BFC"/>
    <w:rsid w:val="55E4328D"/>
    <w:rsid w:val="55F12B2E"/>
    <w:rsid w:val="55F232E5"/>
    <w:rsid w:val="55F81F79"/>
    <w:rsid w:val="56033763"/>
    <w:rsid w:val="560D73A6"/>
    <w:rsid w:val="56153557"/>
    <w:rsid w:val="56161792"/>
    <w:rsid w:val="562070E7"/>
    <w:rsid w:val="562167E1"/>
    <w:rsid w:val="56256EE9"/>
    <w:rsid w:val="56287EA8"/>
    <w:rsid w:val="562A7457"/>
    <w:rsid w:val="562C553B"/>
    <w:rsid w:val="562D4BB2"/>
    <w:rsid w:val="562D56EF"/>
    <w:rsid w:val="56391DCA"/>
    <w:rsid w:val="565E627F"/>
    <w:rsid w:val="566A512A"/>
    <w:rsid w:val="567100BB"/>
    <w:rsid w:val="56723153"/>
    <w:rsid w:val="56821731"/>
    <w:rsid w:val="569C7FF0"/>
    <w:rsid w:val="569E48CE"/>
    <w:rsid w:val="56A812A9"/>
    <w:rsid w:val="56B109A1"/>
    <w:rsid w:val="56B232BC"/>
    <w:rsid w:val="56BF1E44"/>
    <w:rsid w:val="56CE4A87"/>
    <w:rsid w:val="56D55E16"/>
    <w:rsid w:val="56FE35BF"/>
    <w:rsid w:val="57011DBA"/>
    <w:rsid w:val="575764EB"/>
    <w:rsid w:val="577A0069"/>
    <w:rsid w:val="578219C3"/>
    <w:rsid w:val="57931F59"/>
    <w:rsid w:val="57992FD2"/>
    <w:rsid w:val="579E1DC4"/>
    <w:rsid w:val="57A8352A"/>
    <w:rsid w:val="57A83A14"/>
    <w:rsid w:val="57A90050"/>
    <w:rsid w:val="57AE07B3"/>
    <w:rsid w:val="57C11682"/>
    <w:rsid w:val="57CC0EB8"/>
    <w:rsid w:val="57F66044"/>
    <w:rsid w:val="58035F57"/>
    <w:rsid w:val="58043F47"/>
    <w:rsid w:val="580823FC"/>
    <w:rsid w:val="58421289"/>
    <w:rsid w:val="584314A7"/>
    <w:rsid w:val="584B76C7"/>
    <w:rsid w:val="584E74D1"/>
    <w:rsid w:val="58550FBC"/>
    <w:rsid w:val="5875340D"/>
    <w:rsid w:val="58835EC0"/>
    <w:rsid w:val="58B17683"/>
    <w:rsid w:val="58BE3493"/>
    <w:rsid w:val="58E96E68"/>
    <w:rsid w:val="58E97957"/>
    <w:rsid w:val="58EB1FE8"/>
    <w:rsid w:val="58ED0CA6"/>
    <w:rsid w:val="591075D9"/>
    <w:rsid w:val="591C5BB6"/>
    <w:rsid w:val="591E27F1"/>
    <w:rsid w:val="59211CBC"/>
    <w:rsid w:val="592F4F24"/>
    <w:rsid w:val="59310F20"/>
    <w:rsid w:val="59432C66"/>
    <w:rsid w:val="5952308F"/>
    <w:rsid w:val="596B480F"/>
    <w:rsid w:val="597E2D83"/>
    <w:rsid w:val="5980489F"/>
    <w:rsid w:val="59916A3F"/>
    <w:rsid w:val="59976B63"/>
    <w:rsid w:val="59A214D7"/>
    <w:rsid w:val="59A538E7"/>
    <w:rsid w:val="59C22940"/>
    <w:rsid w:val="59D65113"/>
    <w:rsid w:val="59E05EE6"/>
    <w:rsid w:val="59EE7BAB"/>
    <w:rsid w:val="5A2A5C39"/>
    <w:rsid w:val="5A3120D1"/>
    <w:rsid w:val="5A44165C"/>
    <w:rsid w:val="5A464477"/>
    <w:rsid w:val="5A563893"/>
    <w:rsid w:val="5A5A0B0C"/>
    <w:rsid w:val="5A5F6122"/>
    <w:rsid w:val="5A6600D9"/>
    <w:rsid w:val="5A8913F1"/>
    <w:rsid w:val="5A8C2C8F"/>
    <w:rsid w:val="5A9537C0"/>
    <w:rsid w:val="5AA1673B"/>
    <w:rsid w:val="5AC07F80"/>
    <w:rsid w:val="5AC70D29"/>
    <w:rsid w:val="5ACD0A91"/>
    <w:rsid w:val="5ADF1011"/>
    <w:rsid w:val="5AE26503"/>
    <w:rsid w:val="5AF578B7"/>
    <w:rsid w:val="5AFF16B3"/>
    <w:rsid w:val="5B023F69"/>
    <w:rsid w:val="5B0647F0"/>
    <w:rsid w:val="5B0A7A07"/>
    <w:rsid w:val="5B30636C"/>
    <w:rsid w:val="5B3D50CB"/>
    <w:rsid w:val="5B4125F7"/>
    <w:rsid w:val="5B445318"/>
    <w:rsid w:val="5B555777"/>
    <w:rsid w:val="5B5B6836"/>
    <w:rsid w:val="5B6431F1"/>
    <w:rsid w:val="5B721D62"/>
    <w:rsid w:val="5B731FC6"/>
    <w:rsid w:val="5B7C4AB2"/>
    <w:rsid w:val="5BB866D0"/>
    <w:rsid w:val="5BC73AFD"/>
    <w:rsid w:val="5BEB5AAF"/>
    <w:rsid w:val="5BFD7EBA"/>
    <w:rsid w:val="5C0C052C"/>
    <w:rsid w:val="5C2D58E6"/>
    <w:rsid w:val="5C372D98"/>
    <w:rsid w:val="5C4752C6"/>
    <w:rsid w:val="5C515335"/>
    <w:rsid w:val="5C815359"/>
    <w:rsid w:val="5C82259C"/>
    <w:rsid w:val="5C880F23"/>
    <w:rsid w:val="5C9A6E45"/>
    <w:rsid w:val="5C9B0909"/>
    <w:rsid w:val="5C9E3FCC"/>
    <w:rsid w:val="5CA11E8A"/>
    <w:rsid w:val="5CBA154F"/>
    <w:rsid w:val="5CBA32C0"/>
    <w:rsid w:val="5CC00518"/>
    <w:rsid w:val="5CC13660"/>
    <w:rsid w:val="5CC81493"/>
    <w:rsid w:val="5CC93B72"/>
    <w:rsid w:val="5CED1A7A"/>
    <w:rsid w:val="5CFD2200"/>
    <w:rsid w:val="5D042824"/>
    <w:rsid w:val="5D1A3F53"/>
    <w:rsid w:val="5D2D5741"/>
    <w:rsid w:val="5D421BE2"/>
    <w:rsid w:val="5D481659"/>
    <w:rsid w:val="5D59154F"/>
    <w:rsid w:val="5D6A3FC0"/>
    <w:rsid w:val="5D7A5B2F"/>
    <w:rsid w:val="5D83037A"/>
    <w:rsid w:val="5DA4656F"/>
    <w:rsid w:val="5DA84284"/>
    <w:rsid w:val="5DA909EB"/>
    <w:rsid w:val="5DAC3FA0"/>
    <w:rsid w:val="5DC13CAA"/>
    <w:rsid w:val="5DE762FC"/>
    <w:rsid w:val="5DF70D68"/>
    <w:rsid w:val="5DFF379D"/>
    <w:rsid w:val="5E0B5CFE"/>
    <w:rsid w:val="5E0F1C0D"/>
    <w:rsid w:val="5E174F66"/>
    <w:rsid w:val="5E1B3BAE"/>
    <w:rsid w:val="5E280F21"/>
    <w:rsid w:val="5E2D6118"/>
    <w:rsid w:val="5E330991"/>
    <w:rsid w:val="5E392978"/>
    <w:rsid w:val="5E3945AA"/>
    <w:rsid w:val="5E421FE3"/>
    <w:rsid w:val="5E5A4C7F"/>
    <w:rsid w:val="5E7D011C"/>
    <w:rsid w:val="5E8275B5"/>
    <w:rsid w:val="5E872B1F"/>
    <w:rsid w:val="5E87437C"/>
    <w:rsid w:val="5E927900"/>
    <w:rsid w:val="5E9329BE"/>
    <w:rsid w:val="5EAA1C73"/>
    <w:rsid w:val="5ED54C05"/>
    <w:rsid w:val="5EDF1CA2"/>
    <w:rsid w:val="5EE04E07"/>
    <w:rsid w:val="5EE57A15"/>
    <w:rsid w:val="5EED1B29"/>
    <w:rsid w:val="5EF31AA0"/>
    <w:rsid w:val="5F164E84"/>
    <w:rsid w:val="5F1843A7"/>
    <w:rsid w:val="5F1C2834"/>
    <w:rsid w:val="5F2D6262"/>
    <w:rsid w:val="5F2F5341"/>
    <w:rsid w:val="5F4B3119"/>
    <w:rsid w:val="5F6D308F"/>
    <w:rsid w:val="5F6E62A4"/>
    <w:rsid w:val="5F797C86"/>
    <w:rsid w:val="5F87025A"/>
    <w:rsid w:val="5F9067A3"/>
    <w:rsid w:val="5FA07AED"/>
    <w:rsid w:val="5FA37316"/>
    <w:rsid w:val="5FAA4DEE"/>
    <w:rsid w:val="5FB05672"/>
    <w:rsid w:val="5FB05CDB"/>
    <w:rsid w:val="5FB61E72"/>
    <w:rsid w:val="5FBA3FF9"/>
    <w:rsid w:val="5FCA04E2"/>
    <w:rsid w:val="5FD71210"/>
    <w:rsid w:val="5FD959CF"/>
    <w:rsid w:val="5FDA624B"/>
    <w:rsid w:val="5FE155FF"/>
    <w:rsid w:val="5FF4730D"/>
    <w:rsid w:val="600D2EB2"/>
    <w:rsid w:val="60113CD2"/>
    <w:rsid w:val="601B6F8F"/>
    <w:rsid w:val="603275F3"/>
    <w:rsid w:val="60352512"/>
    <w:rsid w:val="60384290"/>
    <w:rsid w:val="603E3EEA"/>
    <w:rsid w:val="6042387F"/>
    <w:rsid w:val="60427FF6"/>
    <w:rsid w:val="604F5CDD"/>
    <w:rsid w:val="605129B1"/>
    <w:rsid w:val="6065020A"/>
    <w:rsid w:val="6067647B"/>
    <w:rsid w:val="606B5493"/>
    <w:rsid w:val="60752AEC"/>
    <w:rsid w:val="60AA3E6F"/>
    <w:rsid w:val="61073070"/>
    <w:rsid w:val="611B6B1B"/>
    <w:rsid w:val="611E6450"/>
    <w:rsid w:val="61235D1E"/>
    <w:rsid w:val="61264E07"/>
    <w:rsid w:val="615564D1"/>
    <w:rsid w:val="615C1EA9"/>
    <w:rsid w:val="615D23FF"/>
    <w:rsid w:val="618E78A1"/>
    <w:rsid w:val="61A82315"/>
    <w:rsid w:val="61CD595E"/>
    <w:rsid w:val="61D32D70"/>
    <w:rsid w:val="61E41603"/>
    <w:rsid w:val="61F50435"/>
    <w:rsid w:val="62022F83"/>
    <w:rsid w:val="62145A44"/>
    <w:rsid w:val="62257C51"/>
    <w:rsid w:val="622860E3"/>
    <w:rsid w:val="622D4D58"/>
    <w:rsid w:val="62561FAE"/>
    <w:rsid w:val="625E5251"/>
    <w:rsid w:val="62726998"/>
    <w:rsid w:val="62770119"/>
    <w:rsid w:val="62880EC0"/>
    <w:rsid w:val="628A41DC"/>
    <w:rsid w:val="62935A48"/>
    <w:rsid w:val="62B71088"/>
    <w:rsid w:val="62BE3C02"/>
    <w:rsid w:val="62C0797A"/>
    <w:rsid w:val="62C62E97"/>
    <w:rsid w:val="62D653F0"/>
    <w:rsid w:val="62DB11F0"/>
    <w:rsid w:val="62DD09E9"/>
    <w:rsid w:val="62DD677E"/>
    <w:rsid w:val="630563D3"/>
    <w:rsid w:val="63071A4D"/>
    <w:rsid w:val="632B12AC"/>
    <w:rsid w:val="633C4320"/>
    <w:rsid w:val="63456615"/>
    <w:rsid w:val="636139BC"/>
    <w:rsid w:val="636634B1"/>
    <w:rsid w:val="63856EF8"/>
    <w:rsid w:val="63A31776"/>
    <w:rsid w:val="63A340B4"/>
    <w:rsid w:val="63BB6B84"/>
    <w:rsid w:val="63C67FF2"/>
    <w:rsid w:val="63DC2D6F"/>
    <w:rsid w:val="63E22063"/>
    <w:rsid w:val="63E63410"/>
    <w:rsid w:val="63EB6C79"/>
    <w:rsid w:val="641937FE"/>
    <w:rsid w:val="641A755E"/>
    <w:rsid w:val="6432662E"/>
    <w:rsid w:val="643612D5"/>
    <w:rsid w:val="64436AB5"/>
    <w:rsid w:val="645B401F"/>
    <w:rsid w:val="64723338"/>
    <w:rsid w:val="647641DF"/>
    <w:rsid w:val="647F4F5F"/>
    <w:rsid w:val="64853AA3"/>
    <w:rsid w:val="64B52F53"/>
    <w:rsid w:val="64D26AD3"/>
    <w:rsid w:val="64D75396"/>
    <w:rsid w:val="64ED4EDD"/>
    <w:rsid w:val="64F74E03"/>
    <w:rsid w:val="64F8164D"/>
    <w:rsid w:val="6507003D"/>
    <w:rsid w:val="6508195B"/>
    <w:rsid w:val="65143FAD"/>
    <w:rsid w:val="651D2E62"/>
    <w:rsid w:val="652400B9"/>
    <w:rsid w:val="652B2769"/>
    <w:rsid w:val="6537177C"/>
    <w:rsid w:val="655B7E2E"/>
    <w:rsid w:val="65634EC4"/>
    <w:rsid w:val="656D7E67"/>
    <w:rsid w:val="658C06F5"/>
    <w:rsid w:val="658F4A7C"/>
    <w:rsid w:val="65CD68B1"/>
    <w:rsid w:val="65D17659"/>
    <w:rsid w:val="65D6123D"/>
    <w:rsid w:val="65EB4DAD"/>
    <w:rsid w:val="65F8742B"/>
    <w:rsid w:val="65FD4C4A"/>
    <w:rsid w:val="661C5E23"/>
    <w:rsid w:val="661E1329"/>
    <w:rsid w:val="66212E26"/>
    <w:rsid w:val="663B3891"/>
    <w:rsid w:val="664408C2"/>
    <w:rsid w:val="664456AE"/>
    <w:rsid w:val="6657030C"/>
    <w:rsid w:val="668B222C"/>
    <w:rsid w:val="66903B07"/>
    <w:rsid w:val="66921EDB"/>
    <w:rsid w:val="66990C0E"/>
    <w:rsid w:val="669974C1"/>
    <w:rsid w:val="66A31FC0"/>
    <w:rsid w:val="66AF5135"/>
    <w:rsid w:val="66BE0674"/>
    <w:rsid w:val="66C65522"/>
    <w:rsid w:val="66CD0896"/>
    <w:rsid w:val="670920A4"/>
    <w:rsid w:val="67181701"/>
    <w:rsid w:val="67236729"/>
    <w:rsid w:val="67281F92"/>
    <w:rsid w:val="673646AF"/>
    <w:rsid w:val="673964CD"/>
    <w:rsid w:val="673A112C"/>
    <w:rsid w:val="673C6884"/>
    <w:rsid w:val="674A63AC"/>
    <w:rsid w:val="67842F10"/>
    <w:rsid w:val="678C53BC"/>
    <w:rsid w:val="679134D8"/>
    <w:rsid w:val="67950F68"/>
    <w:rsid w:val="67AC2BC3"/>
    <w:rsid w:val="67BB1F70"/>
    <w:rsid w:val="67C276FB"/>
    <w:rsid w:val="67D03EC5"/>
    <w:rsid w:val="67F65BEC"/>
    <w:rsid w:val="68047B83"/>
    <w:rsid w:val="680E73DC"/>
    <w:rsid w:val="68145ED0"/>
    <w:rsid w:val="68160735"/>
    <w:rsid w:val="681C781A"/>
    <w:rsid w:val="682050AC"/>
    <w:rsid w:val="68314681"/>
    <w:rsid w:val="683706DE"/>
    <w:rsid w:val="68376E17"/>
    <w:rsid w:val="6844375D"/>
    <w:rsid w:val="684A3079"/>
    <w:rsid w:val="685C0145"/>
    <w:rsid w:val="686D44C4"/>
    <w:rsid w:val="687207F3"/>
    <w:rsid w:val="68735425"/>
    <w:rsid w:val="68752646"/>
    <w:rsid w:val="68833924"/>
    <w:rsid w:val="68994FDF"/>
    <w:rsid w:val="68AF7D41"/>
    <w:rsid w:val="68BC796F"/>
    <w:rsid w:val="68DA1AD3"/>
    <w:rsid w:val="68E02B24"/>
    <w:rsid w:val="691C1660"/>
    <w:rsid w:val="692F6978"/>
    <w:rsid w:val="6963589B"/>
    <w:rsid w:val="6967546C"/>
    <w:rsid w:val="69A52E3C"/>
    <w:rsid w:val="69B144DC"/>
    <w:rsid w:val="69C02B9B"/>
    <w:rsid w:val="69D112C7"/>
    <w:rsid w:val="69E0140D"/>
    <w:rsid w:val="69E631B0"/>
    <w:rsid w:val="69EA1359"/>
    <w:rsid w:val="69F81010"/>
    <w:rsid w:val="69FC1BE0"/>
    <w:rsid w:val="6A006040"/>
    <w:rsid w:val="6A015450"/>
    <w:rsid w:val="6A040BE3"/>
    <w:rsid w:val="6A246DCB"/>
    <w:rsid w:val="6A3A7047"/>
    <w:rsid w:val="6A5D1F52"/>
    <w:rsid w:val="6A811388"/>
    <w:rsid w:val="6A8C5F62"/>
    <w:rsid w:val="6AAF0A00"/>
    <w:rsid w:val="6ABE2FE7"/>
    <w:rsid w:val="6AE65EDC"/>
    <w:rsid w:val="6AEE7670"/>
    <w:rsid w:val="6AF0035A"/>
    <w:rsid w:val="6AF723A7"/>
    <w:rsid w:val="6B06103C"/>
    <w:rsid w:val="6B084C38"/>
    <w:rsid w:val="6B273A5D"/>
    <w:rsid w:val="6B3164B7"/>
    <w:rsid w:val="6B362ECF"/>
    <w:rsid w:val="6B4571E0"/>
    <w:rsid w:val="6B560413"/>
    <w:rsid w:val="6B596BBE"/>
    <w:rsid w:val="6B7D74C9"/>
    <w:rsid w:val="6B8838BE"/>
    <w:rsid w:val="6BAB1610"/>
    <w:rsid w:val="6BE0708C"/>
    <w:rsid w:val="6BEC7A32"/>
    <w:rsid w:val="6BEE250B"/>
    <w:rsid w:val="6BF17E60"/>
    <w:rsid w:val="6BFA214F"/>
    <w:rsid w:val="6C02673A"/>
    <w:rsid w:val="6C1A459F"/>
    <w:rsid w:val="6C204753"/>
    <w:rsid w:val="6C2D3C64"/>
    <w:rsid w:val="6C2E5548"/>
    <w:rsid w:val="6C40122D"/>
    <w:rsid w:val="6C425682"/>
    <w:rsid w:val="6C475B90"/>
    <w:rsid w:val="6C4B29AA"/>
    <w:rsid w:val="6C507FC1"/>
    <w:rsid w:val="6C575B38"/>
    <w:rsid w:val="6C6121CE"/>
    <w:rsid w:val="6C613F7C"/>
    <w:rsid w:val="6C6E6C0B"/>
    <w:rsid w:val="6C9E1B12"/>
    <w:rsid w:val="6CA156F2"/>
    <w:rsid w:val="6CA376C5"/>
    <w:rsid w:val="6CA96946"/>
    <w:rsid w:val="6CCB5899"/>
    <w:rsid w:val="6CDE55CC"/>
    <w:rsid w:val="6CF64439"/>
    <w:rsid w:val="6D05528D"/>
    <w:rsid w:val="6D066E01"/>
    <w:rsid w:val="6D1517AA"/>
    <w:rsid w:val="6D1E3C1B"/>
    <w:rsid w:val="6D2D1DF5"/>
    <w:rsid w:val="6D371181"/>
    <w:rsid w:val="6D3B2A1F"/>
    <w:rsid w:val="6D6A3ABB"/>
    <w:rsid w:val="6D760D35"/>
    <w:rsid w:val="6D8D6BA4"/>
    <w:rsid w:val="6D9B59B2"/>
    <w:rsid w:val="6DA474D8"/>
    <w:rsid w:val="6DB00151"/>
    <w:rsid w:val="6DC97648"/>
    <w:rsid w:val="6DE51FC5"/>
    <w:rsid w:val="6DF57072"/>
    <w:rsid w:val="6E04543B"/>
    <w:rsid w:val="6E0B694A"/>
    <w:rsid w:val="6E1D3ED8"/>
    <w:rsid w:val="6E1D611F"/>
    <w:rsid w:val="6E2D3BE1"/>
    <w:rsid w:val="6E313E22"/>
    <w:rsid w:val="6E351C6F"/>
    <w:rsid w:val="6E3D27C7"/>
    <w:rsid w:val="6E6805FA"/>
    <w:rsid w:val="6E79351A"/>
    <w:rsid w:val="6E810366"/>
    <w:rsid w:val="6EA2262A"/>
    <w:rsid w:val="6EAE74F5"/>
    <w:rsid w:val="6EBE7229"/>
    <w:rsid w:val="6ED13BBF"/>
    <w:rsid w:val="6ED547AD"/>
    <w:rsid w:val="6EE3336E"/>
    <w:rsid w:val="6F040F00"/>
    <w:rsid w:val="6F060076"/>
    <w:rsid w:val="6F176B74"/>
    <w:rsid w:val="6F286FD3"/>
    <w:rsid w:val="6F44343D"/>
    <w:rsid w:val="6F490A63"/>
    <w:rsid w:val="6F6B01CB"/>
    <w:rsid w:val="6F814935"/>
    <w:rsid w:val="6F842AEE"/>
    <w:rsid w:val="6F850090"/>
    <w:rsid w:val="6F8850E0"/>
    <w:rsid w:val="6F92247E"/>
    <w:rsid w:val="6FA22A2C"/>
    <w:rsid w:val="6FD14068"/>
    <w:rsid w:val="6FD35191"/>
    <w:rsid w:val="6FD47568"/>
    <w:rsid w:val="6FD91F92"/>
    <w:rsid w:val="6FDC4B5E"/>
    <w:rsid w:val="6FF704AE"/>
    <w:rsid w:val="700853C0"/>
    <w:rsid w:val="70187047"/>
    <w:rsid w:val="701B2694"/>
    <w:rsid w:val="704C6CF1"/>
    <w:rsid w:val="70660EB7"/>
    <w:rsid w:val="706E36E0"/>
    <w:rsid w:val="707A7C41"/>
    <w:rsid w:val="708748E5"/>
    <w:rsid w:val="709661BE"/>
    <w:rsid w:val="7096798B"/>
    <w:rsid w:val="70967C65"/>
    <w:rsid w:val="709C192B"/>
    <w:rsid w:val="70A50814"/>
    <w:rsid w:val="70D04AA4"/>
    <w:rsid w:val="70E04D33"/>
    <w:rsid w:val="70E952FD"/>
    <w:rsid w:val="71125845"/>
    <w:rsid w:val="71213150"/>
    <w:rsid w:val="71237795"/>
    <w:rsid w:val="71285068"/>
    <w:rsid w:val="71397275"/>
    <w:rsid w:val="71463740"/>
    <w:rsid w:val="717C5416"/>
    <w:rsid w:val="71875F5B"/>
    <w:rsid w:val="71A62F79"/>
    <w:rsid w:val="71CF7671"/>
    <w:rsid w:val="71F54C9D"/>
    <w:rsid w:val="720B64F8"/>
    <w:rsid w:val="7213719C"/>
    <w:rsid w:val="7214383E"/>
    <w:rsid w:val="721455EC"/>
    <w:rsid w:val="72281098"/>
    <w:rsid w:val="723A0AD1"/>
    <w:rsid w:val="724179B2"/>
    <w:rsid w:val="72451726"/>
    <w:rsid w:val="72464B3F"/>
    <w:rsid w:val="724D5962"/>
    <w:rsid w:val="725337DC"/>
    <w:rsid w:val="72692EE7"/>
    <w:rsid w:val="7270316B"/>
    <w:rsid w:val="727442DD"/>
    <w:rsid w:val="72785B36"/>
    <w:rsid w:val="727B258E"/>
    <w:rsid w:val="727C3976"/>
    <w:rsid w:val="7288701F"/>
    <w:rsid w:val="72BF7445"/>
    <w:rsid w:val="72CD7E4D"/>
    <w:rsid w:val="72D92D0A"/>
    <w:rsid w:val="72DB34C4"/>
    <w:rsid w:val="72DB435C"/>
    <w:rsid w:val="730A7848"/>
    <w:rsid w:val="73185D08"/>
    <w:rsid w:val="732E2F07"/>
    <w:rsid w:val="733F2B3D"/>
    <w:rsid w:val="7349215C"/>
    <w:rsid w:val="735027CF"/>
    <w:rsid w:val="737A3B75"/>
    <w:rsid w:val="737C62B5"/>
    <w:rsid w:val="73962ABF"/>
    <w:rsid w:val="73B928EF"/>
    <w:rsid w:val="73B96F85"/>
    <w:rsid w:val="73C624BE"/>
    <w:rsid w:val="73C8686B"/>
    <w:rsid w:val="73C979D4"/>
    <w:rsid w:val="73CA68AB"/>
    <w:rsid w:val="73EC4A73"/>
    <w:rsid w:val="73ED149D"/>
    <w:rsid w:val="73F576B0"/>
    <w:rsid w:val="74104C27"/>
    <w:rsid w:val="74310172"/>
    <w:rsid w:val="74485B23"/>
    <w:rsid w:val="74623B10"/>
    <w:rsid w:val="747131CA"/>
    <w:rsid w:val="747665BC"/>
    <w:rsid w:val="74805061"/>
    <w:rsid w:val="74820F33"/>
    <w:rsid w:val="749C2402"/>
    <w:rsid w:val="74A40EAA"/>
    <w:rsid w:val="74A92F89"/>
    <w:rsid w:val="74E03DD3"/>
    <w:rsid w:val="74F21F8B"/>
    <w:rsid w:val="74F74DB9"/>
    <w:rsid w:val="74FF07D6"/>
    <w:rsid w:val="74FF5B3F"/>
    <w:rsid w:val="75007221"/>
    <w:rsid w:val="75075397"/>
    <w:rsid w:val="750B0F29"/>
    <w:rsid w:val="753D3114"/>
    <w:rsid w:val="754118DE"/>
    <w:rsid w:val="75414868"/>
    <w:rsid w:val="75491A51"/>
    <w:rsid w:val="7564688B"/>
    <w:rsid w:val="75A40881"/>
    <w:rsid w:val="75B871F4"/>
    <w:rsid w:val="75BF7236"/>
    <w:rsid w:val="75C04997"/>
    <w:rsid w:val="75C10104"/>
    <w:rsid w:val="75C335B9"/>
    <w:rsid w:val="75C67E4C"/>
    <w:rsid w:val="75C72A3B"/>
    <w:rsid w:val="75DA4F1B"/>
    <w:rsid w:val="75F04518"/>
    <w:rsid w:val="75F45093"/>
    <w:rsid w:val="76203BAF"/>
    <w:rsid w:val="76257DC8"/>
    <w:rsid w:val="763B2358"/>
    <w:rsid w:val="763E1C7A"/>
    <w:rsid w:val="76515061"/>
    <w:rsid w:val="76693413"/>
    <w:rsid w:val="76814153"/>
    <w:rsid w:val="769836F9"/>
    <w:rsid w:val="76992E10"/>
    <w:rsid w:val="76B47E67"/>
    <w:rsid w:val="76D8044E"/>
    <w:rsid w:val="76EF0154"/>
    <w:rsid w:val="76F20D2B"/>
    <w:rsid w:val="76FB67DF"/>
    <w:rsid w:val="77376912"/>
    <w:rsid w:val="773F72D2"/>
    <w:rsid w:val="77452475"/>
    <w:rsid w:val="775D45FC"/>
    <w:rsid w:val="77690CCD"/>
    <w:rsid w:val="778F680C"/>
    <w:rsid w:val="7791148D"/>
    <w:rsid w:val="779A2CFD"/>
    <w:rsid w:val="779C055E"/>
    <w:rsid w:val="77A55F74"/>
    <w:rsid w:val="77B358A8"/>
    <w:rsid w:val="77CA72D0"/>
    <w:rsid w:val="77CB0941"/>
    <w:rsid w:val="77D46579"/>
    <w:rsid w:val="77D4794A"/>
    <w:rsid w:val="77DF47AD"/>
    <w:rsid w:val="77E571C9"/>
    <w:rsid w:val="77FC7A4D"/>
    <w:rsid w:val="782E03C8"/>
    <w:rsid w:val="783512AF"/>
    <w:rsid w:val="78357D36"/>
    <w:rsid w:val="784C764C"/>
    <w:rsid w:val="786910F4"/>
    <w:rsid w:val="786A41B8"/>
    <w:rsid w:val="787D5EDD"/>
    <w:rsid w:val="788462F9"/>
    <w:rsid w:val="78961637"/>
    <w:rsid w:val="78A20CB3"/>
    <w:rsid w:val="78CB4738"/>
    <w:rsid w:val="78D15FE5"/>
    <w:rsid w:val="78D3687E"/>
    <w:rsid w:val="78D976CD"/>
    <w:rsid w:val="78F36B4E"/>
    <w:rsid w:val="792A7AB9"/>
    <w:rsid w:val="794608FA"/>
    <w:rsid w:val="796245F7"/>
    <w:rsid w:val="796C21B2"/>
    <w:rsid w:val="796C5D0E"/>
    <w:rsid w:val="796E3428"/>
    <w:rsid w:val="797C23F5"/>
    <w:rsid w:val="798968C0"/>
    <w:rsid w:val="799B6DE2"/>
    <w:rsid w:val="79A03796"/>
    <w:rsid w:val="79AE27CB"/>
    <w:rsid w:val="79CC2C61"/>
    <w:rsid w:val="79CE2CAA"/>
    <w:rsid w:val="7A0D69FE"/>
    <w:rsid w:val="7A157E90"/>
    <w:rsid w:val="7A1C5986"/>
    <w:rsid w:val="7A1F2BBC"/>
    <w:rsid w:val="7A2208E1"/>
    <w:rsid w:val="7A284148"/>
    <w:rsid w:val="7A2E1215"/>
    <w:rsid w:val="7A3007BF"/>
    <w:rsid w:val="7A3957DE"/>
    <w:rsid w:val="7A4B37A6"/>
    <w:rsid w:val="7A4F6B9C"/>
    <w:rsid w:val="7A543372"/>
    <w:rsid w:val="7A650BCD"/>
    <w:rsid w:val="7AB10BAE"/>
    <w:rsid w:val="7AB25C2E"/>
    <w:rsid w:val="7AC562B4"/>
    <w:rsid w:val="7ACA53E2"/>
    <w:rsid w:val="7AD42E32"/>
    <w:rsid w:val="7AD878CC"/>
    <w:rsid w:val="7AF94FE5"/>
    <w:rsid w:val="7AFD1314"/>
    <w:rsid w:val="7B0C09FC"/>
    <w:rsid w:val="7B2B06C7"/>
    <w:rsid w:val="7B2B779C"/>
    <w:rsid w:val="7B2F5245"/>
    <w:rsid w:val="7B32428B"/>
    <w:rsid w:val="7B557EB8"/>
    <w:rsid w:val="7B572A05"/>
    <w:rsid w:val="7B5A1010"/>
    <w:rsid w:val="7B5C30F3"/>
    <w:rsid w:val="7B6D0992"/>
    <w:rsid w:val="7B764D76"/>
    <w:rsid w:val="7B982EDA"/>
    <w:rsid w:val="7B9B28DB"/>
    <w:rsid w:val="7BA3117B"/>
    <w:rsid w:val="7BA93249"/>
    <w:rsid w:val="7BBD6C29"/>
    <w:rsid w:val="7BD767C5"/>
    <w:rsid w:val="7BE57F98"/>
    <w:rsid w:val="7C1C7EBF"/>
    <w:rsid w:val="7C400E79"/>
    <w:rsid w:val="7C483429"/>
    <w:rsid w:val="7C4F3DF1"/>
    <w:rsid w:val="7C605B15"/>
    <w:rsid w:val="7C783FFA"/>
    <w:rsid w:val="7C9E3951"/>
    <w:rsid w:val="7CA22104"/>
    <w:rsid w:val="7CBB3234"/>
    <w:rsid w:val="7CD20D26"/>
    <w:rsid w:val="7CE7227B"/>
    <w:rsid w:val="7CEC74B4"/>
    <w:rsid w:val="7CF63DE9"/>
    <w:rsid w:val="7CFC3068"/>
    <w:rsid w:val="7D006E99"/>
    <w:rsid w:val="7D0D15B6"/>
    <w:rsid w:val="7D0E5A5A"/>
    <w:rsid w:val="7D160D5D"/>
    <w:rsid w:val="7D2557AC"/>
    <w:rsid w:val="7D360B0D"/>
    <w:rsid w:val="7D3E6E97"/>
    <w:rsid w:val="7D4253F3"/>
    <w:rsid w:val="7D461C75"/>
    <w:rsid w:val="7D4E4C45"/>
    <w:rsid w:val="7D602B93"/>
    <w:rsid w:val="7D6E6F6F"/>
    <w:rsid w:val="7D9A5C22"/>
    <w:rsid w:val="7DB932B5"/>
    <w:rsid w:val="7DBB5005"/>
    <w:rsid w:val="7DBD1D05"/>
    <w:rsid w:val="7DBD6359"/>
    <w:rsid w:val="7DD64460"/>
    <w:rsid w:val="7DE70059"/>
    <w:rsid w:val="7DF86826"/>
    <w:rsid w:val="7DFD374E"/>
    <w:rsid w:val="7E0461C3"/>
    <w:rsid w:val="7E0C1293"/>
    <w:rsid w:val="7E0E1A8A"/>
    <w:rsid w:val="7E133B6E"/>
    <w:rsid w:val="7E292420"/>
    <w:rsid w:val="7E2B6198"/>
    <w:rsid w:val="7E346B9D"/>
    <w:rsid w:val="7E512E1C"/>
    <w:rsid w:val="7E5C27F5"/>
    <w:rsid w:val="7E6671AF"/>
    <w:rsid w:val="7E817B69"/>
    <w:rsid w:val="7E863295"/>
    <w:rsid w:val="7EB40ACA"/>
    <w:rsid w:val="7EB775A1"/>
    <w:rsid w:val="7EB90B65"/>
    <w:rsid w:val="7EB97C47"/>
    <w:rsid w:val="7EC02D84"/>
    <w:rsid w:val="7EC86ECB"/>
    <w:rsid w:val="7F1F7466"/>
    <w:rsid w:val="7F397F15"/>
    <w:rsid w:val="7F5E42E0"/>
    <w:rsid w:val="7F613D86"/>
    <w:rsid w:val="7F637BB3"/>
    <w:rsid w:val="7F871AF4"/>
    <w:rsid w:val="7F8F50D7"/>
    <w:rsid w:val="7FBA66FA"/>
    <w:rsid w:val="7FBD0947"/>
    <w:rsid w:val="7FCE5950"/>
    <w:rsid w:val="7FD57F06"/>
    <w:rsid w:val="7FE80712"/>
    <w:rsid w:val="7FED3E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outlineLvl w:val="0"/>
    </w:pPr>
    <w:rPr>
      <w:rFonts w:eastAsia="华文新魏"/>
      <w:b/>
    </w:rPr>
  </w:style>
  <w:style w:type="paragraph" w:styleId="4">
    <w:name w:val="heading 2"/>
    <w:basedOn w:val="1"/>
    <w:next w:val="5"/>
    <w:link w:val="60"/>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link w:val="61"/>
    <w:qFormat/>
    <w:uiPriority w:val="0"/>
    <w:pPr>
      <w:keepNext/>
      <w:keepLines/>
      <w:spacing w:before="260" w:after="260" w:line="415" w:lineRule="auto"/>
      <w:outlineLvl w:val="2"/>
    </w:pPr>
    <w:rPr>
      <w:rFonts w:eastAsia="华文新魏"/>
      <w:b/>
      <w:bCs/>
      <w:sz w:val="32"/>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2">
    <w:name w:val="heading 5"/>
    <w:basedOn w:val="1"/>
    <w:next w:val="1"/>
    <w:link w:val="63"/>
    <w:qFormat/>
    <w:uiPriority w:val="0"/>
    <w:pPr>
      <w:keepNext/>
      <w:keepLines/>
      <w:spacing w:before="280" w:after="290" w:line="376" w:lineRule="auto"/>
      <w:outlineLvl w:val="4"/>
    </w:pPr>
    <w:rPr>
      <w:rFonts w:eastAsia="华文新魏"/>
      <w:b/>
      <w:sz w:val="28"/>
      <w:szCs w:val="20"/>
    </w:rPr>
  </w:style>
  <w:style w:type="paragraph" w:styleId="8">
    <w:name w:val="heading 6"/>
    <w:basedOn w:val="1"/>
    <w:next w:val="1"/>
    <w:link w:val="64"/>
    <w:qFormat/>
    <w:uiPriority w:val="0"/>
    <w:pPr>
      <w:keepNext/>
      <w:keepLines/>
      <w:spacing w:before="240" w:after="64" w:line="319" w:lineRule="auto"/>
      <w:outlineLvl w:val="5"/>
    </w:pPr>
    <w:rPr>
      <w:rFonts w:ascii="Arial" w:hAnsi="Arial" w:eastAsia="黑体"/>
      <w:b/>
      <w:sz w:val="24"/>
      <w:szCs w:val="20"/>
    </w:rPr>
  </w:style>
  <w:style w:type="paragraph" w:styleId="9">
    <w:name w:val="heading 7"/>
    <w:basedOn w:val="1"/>
    <w:next w:val="10"/>
    <w:link w:val="65"/>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10"/>
    <w:link w:val="66"/>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10"/>
    <w:link w:val="67"/>
    <w:qFormat/>
    <w:uiPriority w:val="0"/>
    <w:pPr>
      <w:keepNext/>
      <w:keepLines/>
      <w:spacing w:before="240" w:after="64" w:line="319"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5">
    <w:name w:val="文章正文"/>
    <w:basedOn w:val="1"/>
    <w:qFormat/>
    <w:uiPriority w:val="0"/>
    <w:pPr>
      <w:ind w:firstLine="200" w:firstLineChars="200"/>
    </w:pPr>
  </w:style>
  <w:style w:type="paragraph" w:styleId="10">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List Number 2"/>
    <w:basedOn w:val="1"/>
    <w:semiHidden/>
    <w:unhideWhenUsed/>
    <w:qFormat/>
    <w:locked/>
    <w:uiPriority w:val="99"/>
    <w:pPr>
      <w:numPr>
        <w:ilvl w:val="0"/>
        <w:numId w:val="1"/>
      </w:numPr>
    </w:pPr>
  </w:style>
  <w:style w:type="paragraph" w:styleId="15">
    <w:name w:val="Document Map"/>
    <w:basedOn w:val="1"/>
    <w:link w:val="68"/>
    <w:qFormat/>
    <w:uiPriority w:val="99"/>
    <w:rPr>
      <w:rFonts w:ascii="宋体" w:eastAsia="华文新魏"/>
      <w:sz w:val="18"/>
      <w:szCs w:val="18"/>
    </w:rPr>
  </w:style>
  <w:style w:type="paragraph" w:styleId="16">
    <w:name w:val="annotation text"/>
    <w:basedOn w:val="1"/>
    <w:link w:val="69"/>
    <w:qFormat/>
    <w:uiPriority w:val="0"/>
    <w:pPr>
      <w:jc w:val="left"/>
    </w:pPr>
  </w:style>
  <w:style w:type="paragraph" w:styleId="17">
    <w:name w:val="Body Text"/>
    <w:basedOn w:val="1"/>
    <w:next w:val="1"/>
    <w:link w:val="70"/>
    <w:qFormat/>
    <w:uiPriority w:val="0"/>
    <w:pPr>
      <w:spacing w:after="120"/>
    </w:pPr>
  </w:style>
  <w:style w:type="paragraph" w:styleId="18">
    <w:name w:val="Body Text Indent"/>
    <w:basedOn w:val="1"/>
    <w:next w:val="1"/>
    <w:link w:val="71"/>
    <w:qFormat/>
    <w:uiPriority w:val="99"/>
    <w:pPr>
      <w:spacing w:line="200" w:lineRule="exact"/>
      <w:ind w:firstLine="301"/>
    </w:pPr>
    <w:rPr>
      <w:rFonts w:ascii="宋体" w:eastAsia="华文新魏"/>
      <w:spacing w:val="-4"/>
      <w:sz w:val="18"/>
      <w:szCs w:val="20"/>
    </w:rPr>
  </w:style>
  <w:style w:type="paragraph" w:styleId="19">
    <w:name w:val="List 2"/>
    <w:basedOn w:val="1"/>
    <w:qFormat/>
    <w:uiPriority w:val="99"/>
    <w:pPr>
      <w:tabs>
        <w:tab w:val="left" w:pos="0"/>
      </w:tabs>
      <w:spacing w:line="360" w:lineRule="auto"/>
      <w:ind w:left="454"/>
    </w:pPr>
    <w:rPr>
      <w:rFonts w:eastAsia="华文新魏"/>
      <w:sz w:val="24"/>
    </w:rPr>
  </w:style>
  <w:style w:type="paragraph" w:styleId="20">
    <w:name w:val="toc 5"/>
    <w:basedOn w:val="1"/>
    <w:next w:val="1"/>
    <w:qFormat/>
    <w:uiPriority w:val="39"/>
    <w:pPr>
      <w:ind w:left="840"/>
      <w:jc w:val="left"/>
    </w:pPr>
    <w:rPr>
      <w:rFonts w:ascii="等线" w:hAnsi="等线" w:eastAsia="等线"/>
      <w:sz w:val="18"/>
      <w:szCs w:val="18"/>
    </w:rPr>
  </w:style>
  <w:style w:type="paragraph" w:styleId="21">
    <w:name w:val="toc 3"/>
    <w:basedOn w:val="1"/>
    <w:next w:val="1"/>
    <w:qFormat/>
    <w:uiPriority w:val="39"/>
    <w:pPr>
      <w:ind w:left="400" w:leftChars="400"/>
    </w:pPr>
    <w:rPr>
      <w:rFonts w:eastAsia="华文新魏"/>
    </w:rPr>
  </w:style>
  <w:style w:type="paragraph" w:styleId="22">
    <w:name w:val="Plain Text"/>
    <w:basedOn w:val="1"/>
    <w:next w:val="1"/>
    <w:link w:val="72"/>
    <w:qFormat/>
    <w:uiPriority w:val="0"/>
    <w:rPr>
      <w:rFonts w:ascii="宋体"/>
      <w:kern w:val="0"/>
      <w:sz w:val="20"/>
      <w:szCs w:val="20"/>
    </w:rPr>
  </w:style>
  <w:style w:type="paragraph" w:styleId="23">
    <w:name w:val="toc 8"/>
    <w:basedOn w:val="1"/>
    <w:next w:val="1"/>
    <w:qFormat/>
    <w:uiPriority w:val="39"/>
    <w:pPr>
      <w:ind w:left="1470"/>
      <w:jc w:val="left"/>
    </w:pPr>
    <w:rPr>
      <w:rFonts w:ascii="等线" w:hAnsi="等线" w:eastAsia="等线"/>
      <w:sz w:val="18"/>
      <w:szCs w:val="18"/>
    </w:rPr>
  </w:style>
  <w:style w:type="paragraph" w:styleId="24">
    <w:name w:val="Date"/>
    <w:basedOn w:val="1"/>
    <w:next w:val="1"/>
    <w:link w:val="73"/>
    <w:qFormat/>
    <w:uiPriority w:val="99"/>
    <w:pPr>
      <w:ind w:left="2500" w:leftChars="2500"/>
    </w:pPr>
    <w:rPr>
      <w:rFonts w:ascii="宋体" w:eastAsia="华文新魏"/>
      <w:bCs/>
      <w:sz w:val="24"/>
      <w:szCs w:val="20"/>
    </w:rPr>
  </w:style>
  <w:style w:type="paragraph" w:styleId="25">
    <w:name w:val="Body Text Indent 2"/>
    <w:basedOn w:val="1"/>
    <w:link w:val="74"/>
    <w:qFormat/>
    <w:uiPriority w:val="0"/>
    <w:pPr>
      <w:ind w:firstLine="196" w:firstLineChars="196"/>
    </w:pPr>
    <w:rPr>
      <w:rFonts w:eastAsia="华文新魏"/>
    </w:rPr>
  </w:style>
  <w:style w:type="paragraph" w:styleId="26">
    <w:name w:val="Balloon Text"/>
    <w:basedOn w:val="1"/>
    <w:link w:val="75"/>
    <w:qFormat/>
    <w:uiPriority w:val="99"/>
    <w:rPr>
      <w:rFonts w:eastAsia="华文新魏"/>
      <w:sz w:val="18"/>
      <w:szCs w:val="18"/>
    </w:rPr>
  </w:style>
  <w:style w:type="paragraph" w:styleId="27">
    <w:name w:val="footer"/>
    <w:basedOn w:val="1"/>
    <w:next w:val="1"/>
    <w:link w:val="76"/>
    <w:qFormat/>
    <w:uiPriority w:val="99"/>
    <w:pPr>
      <w:tabs>
        <w:tab w:val="center" w:pos="4153"/>
        <w:tab w:val="right" w:pos="8306"/>
      </w:tabs>
      <w:snapToGrid w:val="0"/>
      <w:jc w:val="left"/>
    </w:pPr>
    <w:rPr>
      <w:rFonts w:ascii="宋体"/>
      <w:kern w:val="0"/>
      <w:sz w:val="18"/>
      <w:szCs w:val="20"/>
    </w:rPr>
  </w:style>
  <w:style w:type="paragraph" w:styleId="28">
    <w:name w:val="header"/>
    <w:basedOn w:val="1"/>
    <w:link w:val="77"/>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9">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30">
    <w:name w:val="toc 4"/>
    <w:basedOn w:val="1"/>
    <w:next w:val="1"/>
    <w:qFormat/>
    <w:uiPriority w:val="39"/>
    <w:pPr>
      <w:ind w:left="630"/>
      <w:jc w:val="left"/>
    </w:pPr>
    <w:rPr>
      <w:rFonts w:ascii="等线" w:hAnsi="等线" w:eastAsia="等线"/>
      <w:sz w:val="18"/>
      <w:szCs w:val="18"/>
    </w:rPr>
  </w:style>
  <w:style w:type="paragraph" w:styleId="31">
    <w:name w:val="footnote text"/>
    <w:basedOn w:val="1"/>
    <w:link w:val="189"/>
    <w:unhideWhenUsed/>
    <w:qFormat/>
    <w:locked/>
    <w:uiPriority w:val="99"/>
    <w:pPr>
      <w:snapToGrid w:val="0"/>
      <w:jc w:val="left"/>
    </w:pPr>
    <w:rPr>
      <w:rFonts w:ascii="Calibri" w:hAnsi="Calibri"/>
      <w:sz w:val="18"/>
      <w:szCs w:val="18"/>
    </w:rPr>
  </w:style>
  <w:style w:type="paragraph" w:styleId="32">
    <w:name w:val="toc 6"/>
    <w:basedOn w:val="1"/>
    <w:next w:val="1"/>
    <w:qFormat/>
    <w:uiPriority w:val="39"/>
    <w:pPr>
      <w:ind w:left="1050"/>
      <w:jc w:val="left"/>
    </w:pPr>
    <w:rPr>
      <w:rFonts w:ascii="等线" w:hAnsi="等线" w:eastAsia="等线"/>
      <w:sz w:val="18"/>
      <w:szCs w:val="18"/>
    </w:rPr>
  </w:style>
  <w:style w:type="paragraph" w:styleId="33">
    <w:name w:val="Body Text Indent 3"/>
    <w:basedOn w:val="1"/>
    <w:link w:val="78"/>
    <w:qFormat/>
    <w:uiPriority w:val="99"/>
    <w:pPr>
      <w:spacing w:after="120"/>
      <w:ind w:left="200" w:leftChars="200"/>
    </w:pPr>
    <w:rPr>
      <w:rFonts w:eastAsia="华文新魏"/>
      <w:sz w:val="16"/>
      <w:szCs w:val="16"/>
    </w:rPr>
  </w:style>
  <w:style w:type="paragraph" w:styleId="34">
    <w:name w:val="toc 2"/>
    <w:basedOn w:val="1"/>
    <w:next w:val="1"/>
    <w:qFormat/>
    <w:uiPriority w:val="39"/>
    <w:rPr>
      <w:rFonts w:ascii="宋体" w:eastAsia="华文新魏" w:cs="Arial"/>
      <w:b/>
      <w:szCs w:val="21"/>
    </w:rPr>
  </w:style>
  <w:style w:type="paragraph" w:styleId="35">
    <w:name w:val="toc 9"/>
    <w:basedOn w:val="1"/>
    <w:next w:val="1"/>
    <w:qFormat/>
    <w:uiPriority w:val="39"/>
    <w:pPr>
      <w:ind w:left="1600" w:leftChars="1600"/>
    </w:pPr>
    <w:rPr>
      <w:rFonts w:eastAsia="华文新魏"/>
    </w:rPr>
  </w:style>
  <w:style w:type="paragraph" w:styleId="36">
    <w:name w:val="Body Text 2"/>
    <w:basedOn w:val="1"/>
    <w:link w:val="79"/>
    <w:qFormat/>
    <w:uiPriority w:val="99"/>
    <w:pPr>
      <w:spacing w:after="120" w:line="480" w:lineRule="auto"/>
    </w:pPr>
    <w:rPr>
      <w:rFonts w:eastAsia="华文新魏"/>
    </w:rPr>
  </w:style>
  <w:style w:type="paragraph" w:styleId="37">
    <w:name w:val="List 4"/>
    <w:basedOn w:val="1"/>
    <w:qFormat/>
    <w:uiPriority w:val="99"/>
    <w:pPr>
      <w:tabs>
        <w:tab w:val="left" w:pos="0"/>
      </w:tabs>
      <w:adjustRightInd w:val="0"/>
      <w:snapToGrid w:val="0"/>
      <w:spacing w:line="360" w:lineRule="auto"/>
      <w:ind w:left="1361"/>
    </w:pPr>
    <w:rPr>
      <w:rFonts w:eastAsia="华文新魏"/>
      <w:sz w:val="24"/>
    </w:rPr>
  </w:style>
  <w:style w:type="paragraph" w:styleId="38">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9">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40">
    <w:name w:val="index 1"/>
    <w:basedOn w:val="1"/>
    <w:next w:val="1"/>
    <w:qFormat/>
    <w:uiPriority w:val="99"/>
    <w:pPr>
      <w:spacing w:line="360" w:lineRule="auto"/>
    </w:pPr>
    <w:rPr>
      <w:rFonts w:ascii="宋体" w:eastAsia="华文新魏"/>
      <w:bCs/>
      <w:szCs w:val="21"/>
    </w:rPr>
  </w:style>
  <w:style w:type="paragraph" w:styleId="41">
    <w:name w:val="Title"/>
    <w:basedOn w:val="1"/>
    <w:link w:val="81"/>
    <w:qFormat/>
    <w:uiPriority w:val="0"/>
    <w:pPr>
      <w:spacing w:before="240" w:after="60"/>
      <w:jc w:val="center"/>
      <w:outlineLvl w:val="0"/>
    </w:pPr>
    <w:rPr>
      <w:rFonts w:ascii="Arial" w:hAnsi="Arial" w:eastAsia="华文新魏"/>
      <w:b/>
      <w:bCs/>
      <w:sz w:val="32"/>
      <w:szCs w:val="32"/>
    </w:rPr>
  </w:style>
  <w:style w:type="paragraph" w:styleId="42">
    <w:name w:val="annotation subject"/>
    <w:basedOn w:val="16"/>
    <w:next w:val="16"/>
    <w:link w:val="82"/>
    <w:qFormat/>
    <w:uiPriority w:val="99"/>
    <w:rPr>
      <w:rFonts w:eastAsia="华文新魏"/>
      <w:b/>
      <w:bCs/>
    </w:rPr>
  </w:style>
  <w:style w:type="paragraph" w:styleId="43">
    <w:name w:val="Body Text First Indent"/>
    <w:basedOn w:val="17"/>
    <w:link w:val="83"/>
    <w:qFormat/>
    <w:uiPriority w:val="99"/>
    <w:pPr>
      <w:ind w:firstLine="100" w:firstLineChars="100"/>
    </w:pPr>
  </w:style>
  <w:style w:type="paragraph" w:styleId="44">
    <w:name w:val="Body Text First Indent 2"/>
    <w:basedOn w:val="18"/>
    <w:next w:val="45"/>
    <w:link w:val="202"/>
    <w:unhideWhenUsed/>
    <w:qFormat/>
    <w:locked/>
    <w:uiPriority w:val="0"/>
    <w:pPr>
      <w:spacing w:after="120" w:line="360" w:lineRule="auto"/>
      <w:ind w:left="420" w:leftChars="200" w:firstLine="420" w:firstLineChars="200"/>
    </w:pPr>
    <w:rPr>
      <w:rFonts w:ascii="Times New Roman" w:eastAsia="宋体"/>
      <w:spacing w:val="0"/>
      <w:sz w:val="28"/>
      <w:szCs w:val="24"/>
    </w:rPr>
  </w:style>
  <w:style w:type="paragraph" w:styleId="45">
    <w:name w:val="Intense Quote"/>
    <w:basedOn w:val="1"/>
    <w:next w:val="1"/>
    <w:qFormat/>
    <w:uiPriority w:val="0"/>
    <w:pPr>
      <w:pBdr>
        <w:bottom w:val="single" w:color="4F81BD" w:sz="4" w:space="4"/>
      </w:pBdr>
      <w:ind w:left="936" w:right="936"/>
    </w:pPr>
    <w:rPr>
      <w:rFonts w:ascii="Calibri" w:hAnsi="Calibri"/>
      <w:b/>
      <w:i/>
      <w:color w:val="4F81BD"/>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rFonts w:ascii="Times New Roman" w:hAnsi="Times New Roman" w:eastAsia="华文新魏" w:cs="Times New Roman"/>
      <w:b/>
    </w:rPr>
  </w:style>
  <w:style w:type="character" w:styleId="50">
    <w:name w:val="page number"/>
    <w:basedOn w:val="48"/>
    <w:qFormat/>
    <w:uiPriority w:val="0"/>
    <w:rPr>
      <w:rFonts w:ascii="Times New Roman" w:hAnsi="Times New Roman" w:eastAsia="华文新魏" w:cs="Times New Roman"/>
    </w:rPr>
  </w:style>
  <w:style w:type="character" w:styleId="51">
    <w:name w:val="FollowedHyperlink"/>
    <w:basedOn w:val="48"/>
    <w:qFormat/>
    <w:uiPriority w:val="99"/>
    <w:rPr>
      <w:rFonts w:ascii="Times New Roman" w:hAnsi="Times New Roman" w:eastAsia="华文新魏" w:cs="Times New Roman"/>
      <w:color w:val="800080"/>
      <w:u w:val="single"/>
    </w:rPr>
  </w:style>
  <w:style w:type="character" w:styleId="52">
    <w:name w:val="Emphasis"/>
    <w:qFormat/>
    <w:uiPriority w:val="20"/>
    <w:rPr>
      <w:color w:val="CC0000"/>
    </w:rPr>
  </w:style>
  <w:style w:type="character" w:styleId="53">
    <w:name w:val="line number"/>
    <w:basedOn w:val="48"/>
    <w:qFormat/>
    <w:uiPriority w:val="99"/>
    <w:rPr>
      <w:rFonts w:ascii="Times New Roman" w:hAnsi="Times New Roman" w:eastAsia="华文新魏" w:cs="Times New Roman"/>
    </w:rPr>
  </w:style>
  <w:style w:type="character" w:styleId="54">
    <w:name w:val="Hyperlink"/>
    <w:basedOn w:val="48"/>
    <w:qFormat/>
    <w:uiPriority w:val="99"/>
    <w:rPr>
      <w:rFonts w:ascii="Times New Roman" w:hAnsi="Times New Roman" w:eastAsia="华文新魏" w:cs="Times New Roman"/>
      <w:color w:val="0000FF"/>
      <w:u w:val="single"/>
    </w:rPr>
  </w:style>
  <w:style w:type="character" w:styleId="55">
    <w:name w:val="annotation reference"/>
    <w:basedOn w:val="48"/>
    <w:qFormat/>
    <w:uiPriority w:val="99"/>
    <w:rPr>
      <w:rFonts w:ascii="Times New Roman" w:hAnsi="Times New Roman" w:eastAsia="华文新魏" w:cs="Times New Roman"/>
      <w:sz w:val="21"/>
    </w:rPr>
  </w:style>
  <w:style w:type="character" w:styleId="56">
    <w:name w:val="footnote reference"/>
    <w:unhideWhenUsed/>
    <w:qFormat/>
    <w:locked/>
    <w:uiPriority w:val="99"/>
    <w:rPr>
      <w:vertAlign w:val="superscript"/>
    </w:rPr>
  </w:style>
  <w:style w:type="paragraph" w:customStyle="1" w:styleId="57">
    <w:name w:val="标题 5（有编号）（绿盟科技）"/>
    <w:basedOn w:val="1"/>
    <w:next w:val="58"/>
    <w:qFormat/>
    <w:uiPriority w:val="0"/>
    <w:pPr>
      <w:keepNext/>
      <w:keepLines/>
      <w:numPr>
        <w:ilvl w:val="4"/>
        <w:numId w:val="2"/>
      </w:numPr>
      <w:spacing w:before="280" w:after="156" w:line="377" w:lineRule="auto"/>
      <w:jc w:val="left"/>
      <w:outlineLvl w:val="4"/>
    </w:pPr>
    <w:rPr>
      <w:rFonts w:ascii="Arial" w:hAnsi="Arial" w:eastAsia="黑体" w:cs="黑体"/>
      <w:b/>
      <w:kern w:val="0"/>
      <w:sz w:val="24"/>
      <w:szCs w:val="28"/>
    </w:rPr>
  </w:style>
  <w:style w:type="paragraph" w:customStyle="1" w:styleId="5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9">
    <w:name w:val="标题 1 Char"/>
    <w:basedOn w:val="48"/>
    <w:link w:val="3"/>
    <w:qFormat/>
    <w:locked/>
    <w:uiPriority w:val="99"/>
    <w:rPr>
      <w:rFonts w:ascii="Times New Roman" w:hAnsi="Times New Roman" w:eastAsia="华文新魏" w:cs="Times New Roman"/>
      <w:b/>
      <w:sz w:val="24"/>
      <w:szCs w:val="24"/>
    </w:rPr>
  </w:style>
  <w:style w:type="character" w:customStyle="1" w:styleId="60">
    <w:name w:val="标题 2 Char"/>
    <w:basedOn w:val="48"/>
    <w:link w:val="4"/>
    <w:qFormat/>
    <w:locked/>
    <w:uiPriority w:val="99"/>
    <w:rPr>
      <w:rFonts w:ascii="Arial" w:hAnsi="Arial" w:eastAsia="黑体" w:cs="Times New Roman"/>
      <w:b/>
      <w:kern w:val="0"/>
      <w:sz w:val="20"/>
      <w:szCs w:val="20"/>
    </w:rPr>
  </w:style>
  <w:style w:type="character" w:customStyle="1" w:styleId="61">
    <w:name w:val="标题 3 Char"/>
    <w:basedOn w:val="48"/>
    <w:link w:val="6"/>
    <w:qFormat/>
    <w:locked/>
    <w:uiPriority w:val="99"/>
    <w:rPr>
      <w:rFonts w:ascii="Times New Roman" w:hAnsi="Times New Roman" w:eastAsia="华文新魏" w:cs="Times New Roman"/>
      <w:b/>
      <w:bCs/>
      <w:sz w:val="32"/>
      <w:szCs w:val="32"/>
    </w:rPr>
  </w:style>
  <w:style w:type="character" w:customStyle="1" w:styleId="62">
    <w:name w:val="标题 4 Char"/>
    <w:basedOn w:val="48"/>
    <w:link w:val="7"/>
    <w:qFormat/>
    <w:locked/>
    <w:uiPriority w:val="99"/>
    <w:rPr>
      <w:rFonts w:ascii="Arial" w:hAnsi="Arial" w:eastAsia="黑体" w:cs="Times New Roman"/>
      <w:b/>
      <w:bCs/>
      <w:sz w:val="28"/>
      <w:szCs w:val="28"/>
    </w:rPr>
  </w:style>
  <w:style w:type="character" w:customStyle="1" w:styleId="63">
    <w:name w:val="标题 5 Char"/>
    <w:basedOn w:val="48"/>
    <w:link w:val="2"/>
    <w:qFormat/>
    <w:locked/>
    <w:uiPriority w:val="99"/>
    <w:rPr>
      <w:rFonts w:ascii="Times New Roman" w:hAnsi="Times New Roman" w:eastAsia="华文新魏" w:cs="Times New Roman"/>
      <w:b/>
      <w:sz w:val="20"/>
      <w:szCs w:val="20"/>
    </w:rPr>
  </w:style>
  <w:style w:type="character" w:customStyle="1" w:styleId="64">
    <w:name w:val="标题 6 Char"/>
    <w:basedOn w:val="48"/>
    <w:link w:val="8"/>
    <w:qFormat/>
    <w:locked/>
    <w:uiPriority w:val="99"/>
    <w:rPr>
      <w:rFonts w:ascii="Arial" w:hAnsi="Arial" w:eastAsia="黑体" w:cs="Times New Roman"/>
      <w:b/>
      <w:sz w:val="20"/>
      <w:szCs w:val="20"/>
    </w:rPr>
  </w:style>
  <w:style w:type="character" w:customStyle="1" w:styleId="65">
    <w:name w:val="标题 7 Char"/>
    <w:basedOn w:val="48"/>
    <w:link w:val="9"/>
    <w:qFormat/>
    <w:locked/>
    <w:uiPriority w:val="99"/>
    <w:rPr>
      <w:rFonts w:ascii="Times New Roman" w:hAnsi="Times New Roman" w:eastAsia="华文新魏" w:cs="Times New Roman"/>
      <w:b/>
      <w:sz w:val="20"/>
      <w:szCs w:val="20"/>
    </w:rPr>
  </w:style>
  <w:style w:type="character" w:customStyle="1" w:styleId="66">
    <w:name w:val="标题 8 Char"/>
    <w:basedOn w:val="48"/>
    <w:link w:val="11"/>
    <w:qFormat/>
    <w:locked/>
    <w:uiPriority w:val="99"/>
    <w:rPr>
      <w:rFonts w:ascii="Arial" w:hAnsi="Arial" w:eastAsia="黑体" w:cs="Times New Roman"/>
      <w:sz w:val="20"/>
      <w:szCs w:val="20"/>
    </w:rPr>
  </w:style>
  <w:style w:type="character" w:customStyle="1" w:styleId="67">
    <w:name w:val="标题 9 Char"/>
    <w:basedOn w:val="48"/>
    <w:link w:val="12"/>
    <w:qFormat/>
    <w:locked/>
    <w:uiPriority w:val="99"/>
    <w:rPr>
      <w:rFonts w:ascii="Arial" w:hAnsi="Arial" w:eastAsia="黑体" w:cs="Times New Roman"/>
      <w:sz w:val="20"/>
      <w:szCs w:val="20"/>
    </w:rPr>
  </w:style>
  <w:style w:type="character" w:customStyle="1" w:styleId="68">
    <w:name w:val="文档结构图 Char"/>
    <w:basedOn w:val="48"/>
    <w:link w:val="15"/>
    <w:qFormat/>
    <w:locked/>
    <w:uiPriority w:val="99"/>
    <w:rPr>
      <w:rFonts w:ascii="宋体" w:hAnsi="Times New Roman" w:eastAsia="华文新魏" w:cs="Times New Roman"/>
      <w:sz w:val="18"/>
      <w:szCs w:val="18"/>
    </w:rPr>
  </w:style>
  <w:style w:type="character" w:customStyle="1" w:styleId="69">
    <w:name w:val="批注文字 Char1"/>
    <w:basedOn w:val="48"/>
    <w:link w:val="16"/>
    <w:qFormat/>
    <w:locked/>
    <w:uiPriority w:val="0"/>
    <w:rPr>
      <w:rFonts w:ascii="Times New Roman" w:hAnsi="Times New Roman" w:eastAsia="宋体" w:cs="Times New Roman"/>
      <w:sz w:val="24"/>
      <w:szCs w:val="24"/>
    </w:rPr>
  </w:style>
  <w:style w:type="character" w:customStyle="1" w:styleId="70">
    <w:name w:val="正文文本 Char"/>
    <w:basedOn w:val="48"/>
    <w:link w:val="17"/>
    <w:semiHidden/>
    <w:qFormat/>
    <w:locked/>
    <w:uiPriority w:val="0"/>
    <w:rPr>
      <w:rFonts w:ascii="Times New Roman" w:hAnsi="Times New Roman" w:eastAsia="宋体" w:cs="Times New Roman"/>
      <w:sz w:val="24"/>
      <w:szCs w:val="24"/>
    </w:rPr>
  </w:style>
  <w:style w:type="character" w:customStyle="1" w:styleId="71">
    <w:name w:val="正文文本缩进 Char"/>
    <w:basedOn w:val="48"/>
    <w:link w:val="18"/>
    <w:qFormat/>
    <w:locked/>
    <w:uiPriority w:val="99"/>
    <w:rPr>
      <w:rFonts w:ascii="宋体" w:hAnsi="Times New Roman" w:eastAsia="华文新魏" w:cs="Times New Roman"/>
      <w:spacing w:val="-4"/>
      <w:sz w:val="20"/>
      <w:szCs w:val="20"/>
    </w:rPr>
  </w:style>
  <w:style w:type="character" w:customStyle="1" w:styleId="72">
    <w:name w:val="纯文本 Char"/>
    <w:basedOn w:val="48"/>
    <w:link w:val="22"/>
    <w:qFormat/>
    <w:locked/>
    <w:uiPriority w:val="99"/>
    <w:rPr>
      <w:rFonts w:ascii="宋体" w:hAnsi="Times New Roman" w:eastAsia="宋体" w:cs="Times New Roman"/>
    </w:rPr>
  </w:style>
  <w:style w:type="character" w:customStyle="1" w:styleId="73">
    <w:name w:val="日期 Char"/>
    <w:basedOn w:val="48"/>
    <w:link w:val="24"/>
    <w:qFormat/>
    <w:locked/>
    <w:uiPriority w:val="99"/>
    <w:rPr>
      <w:rFonts w:ascii="宋体" w:hAnsi="Times New Roman" w:eastAsia="华文新魏" w:cs="Times New Roman"/>
      <w:bCs/>
      <w:sz w:val="20"/>
      <w:szCs w:val="20"/>
    </w:rPr>
  </w:style>
  <w:style w:type="character" w:customStyle="1" w:styleId="74">
    <w:name w:val="正文文本缩进 2 Char"/>
    <w:basedOn w:val="48"/>
    <w:link w:val="25"/>
    <w:qFormat/>
    <w:locked/>
    <w:uiPriority w:val="99"/>
    <w:rPr>
      <w:rFonts w:ascii="Times New Roman" w:hAnsi="Times New Roman" w:eastAsia="华文新魏" w:cs="Times New Roman"/>
      <w:sz w:val="24"/>
      <w:szCs w:val="24"/>
    </w:rPr>
  </w:style>
  <w:style w:type="character" w:customStyle="1" w:styleId="75">
    <w:name w:val="批注框文本 Char"/>
    <w:basedOn w:val="48"/>
    <w:link w:val="26"/>
    <w:qFormat/>
    <w:locked/>
    <w:uiPriority w:val="99"/>
    <w:rPr>
      <w:rFonts w:ascii="Times New Roman" w:hAnsi="Times New Roman" w:eastAsia="华文新魏" w:cs="Times New Roman"/>
      <w:sz w:val="18"/>
      <w:szCs w:val="18"/>
    </w:rPr>
  </w:style>
  <w:style w:type="character" w:customStyle="1" w:styleId="76">
    <w:name w:val="页脚 Char"/>
    <w:basedOn w:val="48"/>
    <w:link w:val="27"/>
    <w:qFormat/>
    <w:locked/>
    <w:uiPriority w:val="99"/>
    <w:rPr>
      <w:rFonts w:ascii="宋体" w:hAnsi="Times New Roman" w:eastAsia="宋体" w:cs="Times New Roman"/>
      <w:sz w:val="18"/>
    </w:rPr>
  </w:style>
  <w:style w:type="character" w:customStyle="1" w:styleId="77">
    <w:name w:val="页眉 Char"/>
    <w:basedOn w:val="48"/>
    <w:link w:val="28"/>
    <w:qFormat/>
    <w:locked/>
    <w:uiPriority w:val="99"/>
    <w:rPr>
      <w:rFonts w:ascii="宋体" w:hAnsi="Times New Roman" w:eastAsia="华文新魏" w:cs="Times New Roman"/>
      <w:sz w:val="20"/>
      <w:szCs w:val="20"/>
    </w:rPr>
  </w:style>
  <w:style w:type="character" w:customStyle="1" w:styleId="78">
    <w:name w:val="正文文本缩进 3 Char"/>
    <w:basedOn w:val="48"/>
    <w:link w:val="33"/>
    <w:qFormat/>
    <w:locked/>
    <w:uiPriority w:val="99"/>
    <w:rPr>
      <w:rFonts w:ascii="Times New Roman" w:hAnsi="Times New Roman" w:eastAsia="华文新魏" w:cs="Times New Roman"/>
      <w:sz w:val="16"/>
      <w:szCs w:val="16"/>
    </w:rPr>
  </w:style>
  <w:style w:type="character" w:customStyle="1" w:styleId="79">
    <w:name w:val="正文文本 2 Char"/>
    <w:basedOn w:val="48"/>
    <w:link w:val="36"/>
    <w:qFormat/>
    <w:locked/>
    <w:uiPriority w:val="99"/>
    <w:rPr>
      <w:rFonts w:ascii="Times New Roman" w:hAnsi="Times New Roman" w:eastAsia="华文新魏" w:cs="Times New Roman"/>
      <w:sz w:val="24"/>
      <w:szCs w:val="24"/>
    </w:rPr>
  </w:style>
  <w:style w:type="character" w:customStyle="1" w:styleId="80">
    <w:name w:val="HTML 预设格式 Char"/>
    <w:basedOn w:val="48"/>
    <w:link w:val="38"/>
    <w:qFormat/>
    <w:locked/>
    <w:uiPriority w:val="99"/>
    <w:rPr>
      <w:rFonts w:ascii="Arial" w:hAnsi="Arial" w:eastAsia="华文新魏" w:cs="Arial"/>
      <w:kern w:val="0"/>
      <w:sz w:val="21"/>
      <w:szCs w:val="21"/>
    </w:rPr>
  </w:style>
  <w:style w:type="character" w:customStyle="1" w:styleId="81">
    <w:name w:val="标题 Char"/>
    <w:basedOn w:val="48"/>
    <w:link w:val="41"/>
    <w:qFormat/>
    <w:locked/>
    <w:uiPriority w:val="99"/>
    <w:rPr>
      <w:rFonts w:ascii="Arial" w:hAnsi="Arial" w:eastAsia="华文新魏" w:cs="Times New Roman"/>
      <w:b/>
      <w:bCs/>
      <w:sz w:val="32"/>
      <w:szCs w:val="32"/>
    </w:rPr>
  </w:style>
  <w:style w:type="character" w:customStyle="1" w:styleId="82">
    <w:name w:val="批注主题 Char"/>
    <w:basedOn w:val="69"/>
    <w:link w:val="42"/>
    <w:qFormat/>
    <w:locked/>
    <w:uiPriority w:val="99"/>
    <w:rPr>
      <w:rFonts w:eastAsia="华文新魏"/>
      <w:b/>
      <w:bCs/>
    </w:rPr>
  </w:style>
  <w:style w:type="character" w:customStyle="1" w:styleId="83">
    <w:name w:val="正文首行缩进 Char"/>
    <w:basedOn w:val="70"/>
    <w:link w:val="43"/>
    <w:qFormat/>
    <w:locked/>
    <w:uiPriority w:val="99"/>
  </w:style>
  <w:style w:type="character" w:customStyle="1" w:styleId="84">
    <w:name w:val="marklong"/>
    <w:qFormat/>
    <w:uiPriority w:val="99"/>
    <w:rPr>
      <w:rFonts w:ascii="Times New Roman" w:hAnsi="Times New Roman" w:eastAsia="华文新魏"/>
    </w:rPr>
  </w:style>
  <w:style w:type="character" w:customStyle="1" w:styleId="85">
    <w:name w:val="批注文字 Char"/>
    <w:qFormat/>
    <w:uiPriority w:val="0"/>
    <w:rPr>
      <w:rFonts w:ascii="Times New Roman" w:hAnsi="Times New Roman" w:eastAsia="宋体"/>
      <w:kern w:val="2"/>
      <w:sz w:val="24"/>
    </w:rPr>
  </w:style>
  <w:style w:type="character" w:customStyle="1" w:styleId="86">
    <w:name w:val="zi1"/>
    <w:qFormat/>
    <w:uiPriority w:val="99"/>
    <w:rPr>
      <w:rFonts w:ascii="??" w:hAnsi="??" w:eastAsia="华文新魏"/>
      <w:color w:val="000000"/>
      <w:sz w:val="22"/>
      <w:u w:val="none"/>
    </w:rPr>
  </w:style>
  <w:style w:type="character" w:customStyle="1" w:styleId="87">
    <w:name w:val="main141"/>
    <w:qFormat/>
    <w:uiPriority w:val="99"/>
    <w:rPr>
      <w:rFonts w:ascii="Times New Roman" w:hAnsi="Times New Roman" w:eastAsia="华文新魏"/>
      <w:sz w:val="21"/>
    </w:rPr>
  </w:style>
  <w:style w:type="character" w:customStyle="1" w:styleId="88">
    <w:name w:val="huei12b1"/>
    <w:qFormat/>
    <w:uiPriority w:val="99"/>
    <w:rPr>
      <w:rFonts w:ascii="Times New Roman" w:hAnsi="Times New Roman" w:eastAsia="华文新魏"/>
      <w:b/>
      <w:color w:val="333333"/>
      <w:sz w:val="18"/>
    </w:rPr>
  </w:style>
  <w:style w:type="character" w:customStyle="1" w:styleId="89">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90">
    <w:name w:val="纯文本 字符1"/>
    <w:qFormat/>
    <w:uiPriority w:val="99"/>
    <w:rPr>
      <w:rFonts w:ascii="宋体" w:hAnsi="Times New Roman" w:eastAsia="宋体"/>
      <w:sz w:val="21"/>
    </w:rPr>
  </w:style>
  <w:style w:type="character" w:customStyle="1" w:styleId="91">
    <w:name w:val="小标题 Char"/>
    <w:qFormat/>
    <w:uiPriority w:val="99"/>
    <w:rPr>
      <w:rFonts w:ascii="Times New Roman" w:hAnsi="Times New Roman" w:eastAsia="华文新魏"/>
      <w:b/>
      <w:kern w:val="2"/>
      <w:sz w:val="32"/>
    </w:rPr>
  </w:style>
  <w:style w:type="character" w:customStyle="1" w:styleId="92">
    <w:name w:val="px141"/>
    <w:qFormat/>
    <w:uiPriority w:val="99"/>
    <w:rPr>
      <w:rFonts w:ascii="Times New Roman" w:hAnsi="Times New Roman" w:eastAsia="华文新魏"/>
      <w:sz w:val="21"/>
    </w:rPr>
  </w:style>
  <w:style w:type="character" w:customStyle="1" w:styleId="93">
    <w:name w:val="普通文字 Char Char2"/>
    <w:qFormat/>
    <w:uiPriority w:val="99"/>
    <w:rPr>
      <w:rFonts w:ascii="宋体" w:hAnsi="Times New Roman" w:eastAsia="宋体"/>
      <w:sz w:val="21"/>
    </w:rPr>
  </w:style>
  <w:style w:type="character" w:customStyle="1" w:styleId="94">
    <w:name w:val="price7"/>
    <w:qFormat/>
    <w:uiPriority w:val="99"/>
    <w:rPr>
      <w:rFonts w:ascii="Times New Roman" w:hAnsi="Times New Roman" w:eastAsia="华文新魏"/>
      <w:color w:val="CC0000"/>
    </w:rPr>
  </w:style>
  <w:style w:type="character" w:customStyle="1" w:styleId="95">
    <w:name w:val="纯文本 Char1"/>
    <w:qFormat/>
    <w:uiPriority w:val="0"/>
    <w:rPr>
      <w:rFonts w:ascii="宋体" w:hAnsi="Times New Roman" w:eastAsia="宋体"/>
      <w:sz w:val="20"/>
    </w:rPr>
  </w:style>
  <w:style w:type="character" w:customStyle="1" w:styleId="96">
    <w:name w:val="纯文本 Char2"/>
    <w:qFormat/>
    <w:uiPriority w:val="0"/>
    <w:rPr>
      <w:rFonts w:ascii="宋体" w:hAnsi="Times New Roman" w:eastAsia="宋体"/>
      <w:kern w:val="2"/>
      <w:sz w:val="21"/>
      <w:lang w:val="en-US" w:eastAsia="zh-CN"/>
    </w:rPr>
  </w:style>
  <w:style w:type="character" w:customStyle="1" w:styleId="97">
    <w:name w:val="paramname3"/>
    <w:qFormat/>
    <w:uiPriority w:val="99"/>
    <w:rPr>
      <w:rFonts w:ascii="Times New Roman" w:hAnsi="Times New Roman" w:eastAsia="华文新魏"/>
    </w:rPr>
  </w:style>
  <w:style w:type="character" w:customStyle="1" w:styleId="98">
    <w:name w:val="h"/>
    <w:qFormat/>
    <w:uiPriority w:val="99"/>
    <w:rPr>
      <w:rFonts w:ascii="Times New Roman" w:hAnsi="Times New Roman" w:eastAsia="华文新魏"/>
    </w:rPr>
  </w:style>
  <w:style w:type="character" w:customStyle="1" w:styleId="99">
    <w:name w:val="style2"/>
    <w:qFormat/>
    <w:uiPriority w:val="99"/>
    <w:rPr>
      <w:rFonts w:ascii="Times New Roman" w:hAnsi="Times New Roman" w:eastAsia="华文新魏"/>
    </w:rPr>
  </w:style>
  <w:style w:type="character" w:customStyle="1" w:styleId="100">
    <w:name w:val="标题 4 Char2"/>
    <w:qFormat/>
    <w:uiPriority w:val="99"/>
    <w:rPr>
      <w:rFonts w:ascii="Arial" w:hAnsi="Arial" w:eastAsia="黑体"/>
      <w:sz w:val="28"/>
    </w:rPr>
  </w:style>
  <w:style w:type="character" w:customStyle="1" w:styleId="101">
    <w:name w:val="font01"/>
    <w:qFormat/>
    <w:uiPriority w:val="99"/>
    <w:rPr>
      <w:rFonts w:ascii="宋体" w:hAnsi="Times New Roman" w:eastAsia="宋体"/>
      <w:color w:val="000000"/>
      <w:sz w:val="20"/>
      <w:u w:val="none"/>
    </w:rPr>
  </w:style>
  <w:style w:type="character" w:customStyle="1" w:styleId="102">
    <w:name w:val="city3"/>
    <w:qFormat/>
    <w:uiPriority w:val="99"/>
    <w:rPr>
      <w:rFonts w:ascii="Times New Roman" w:hAnsi="Times New Roman" w:eastAsia="华文新魏"/>
      <w:color w:val="999999"/>
    </w:rPr>
  </w:style>
  <w:style w:type="character" w:customStyle="1" w:styleId="103">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104">
    <w:name w:val="text11"/>
    <w:qFormat/>
    <w:uiPriority w:val="99"/>
    <w:rPr>
      <w:rFonts w:ascii="Verdana" w:hAnsi="Verdana" w:eastAsia="华文新魏"/>
      <w:color w:val="4E4E4E"/>
      <w:sz w:val="18"/>
    </w:rPr>
  </w:style>
  <w:style w:type="character" w:customStyle="1" w:styleId="105">
    <w:name w:val="正文缩进 字符"/>
    <w:qFormat/>
    <w:uiPriority w:val="99"/>
    <w:rPr>
      <w:rFonts w:ascii="Verdana" w:hAnsi="Verdana" w:eastAsia="华文新魏"/>
      <w:kern w:val="2"/>
      <w:sz w:val="21"/>
    </w:rPr>
  </w:style>
  <w:style w:type="character" w:customStyle="1" w:styleId="106">
    <w:name w:val="纯文本 Char3"/>
    <w:basedOn w:val="48"/>
    <w:semiHidden/>
    <w:qFormat/>
    <w:uiPriority w:val="99"/>
    <w:rPr>
      <w:rFonts w:ascii="宋体" w:hAnsi="Courier New" w:eastAsia="宋体" w:cs="Courier New"/>
      <w:sz w:val="21"/>
      <w:szCs w:val="21"/>
    </w:rPr>
  </w:style>
  <w:style w:type="character" w:customStyle="1" w:styleId="107">
    <w:name w:val="页脚 Char1"/>
    <w:basedOn w:val="48"/>
    <w:semiHidden/>
    <w:qFormat/>
    <w:uiPriority w:val="99"/>
    <w:rPr>
      <w:rFonts w:ascii="Times New Roman" w:hAnsi="Times New Roman" w:eastAsia="宋体" w:cs="Times New Roman"/>
      <w:sz w:val="18"/>
      <w:szCs w:val="18"/>
    </w:rPr>
  </w:style>
  <w:style w:type="paragraph" w:customStyle="1" w:styleId="108">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9">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10">
    <w:name w:val="CSS1级编号"/>
    <w:basedOn w:val="1"/>
    <w:qFormat/>
    <w:uiPriority w:val="99"/>
    <w:pPr>
      <w:tabs>
        <w:tab w:val="left" w:pos="0"/>
      </w:tabs>
      <w:spacing w:line="360" w:lineRule="auto"/>
    </w:pPr>
    <w:rPr>
      <w:rFonts w:eastAsia="华文新魏"/>
      <w:sz w:val="24"/>
    </w:rPr>
  </w:style>
  <w:style w:type="paragraph" w:customStyle="1" w:styleId="111">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12">
    <w:name w:val="2"/>
    <w:basedOn w:val="1"/>
    <w:next w:val="22"/>
    <w:qFormat/>
    <w:uiPriority w:val="99"/>
    <w:rPr>
      <w:rFonts w:ascii="宋体" w:eastAsia="华文新魏"/>
      <w:szCs w:val="20"/>
    </w:rPr>
  </w:style>
  <w:style w:type="paragraph" w:customStyle="1" w:styleId="113">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14">
    <w:name w:val="Char"/>
    <w:basedOn w:val="15"/>
    <w:qFormat/>
    <w:uiPriority w:val="99"/>
    <w:pPr>
      <w:widowControl/>
      <w:shd w:val="clear" w:color="auto" w:fill="000080"/>
      <w:ind w:firstLine="454"/>
      <w:jc w:val="left"/>
    </w:pPr>
    <w:rPr>
      <w:rFonts w:ascii="Tahoma" w:hAnsi="Tahoma" w:cs="宋体"/>
      <w:kern w:val="0"/>
      <w:sz w:val="24"/>
      <w:szCs w:val="20"/>
    </w:rPr>
  </w:style>
  <w:style w:type="paragraph" w:customStyle="1" w:styleId="115">
    <w:name w:val="图B-"/>
    <w:basedOn w:val="1"/>
    <w:qFormat/>
    <w:uiPriority w:val="99"/>
    <w:pPr>
      <w:tabs>
        <w:tab w:val="left" w:pos="0"/>
      </w:tabs>
      <w:jc w:val="center"/>
    </w:pPr>
    <w:rPr>
      <w:rFonts w:eastAsia="黑体"/>
      <w:szCs w:val="21"/>
    </w:rPr>
  </w:style>
  <w:style w:type="paragraph" w:customStyle="1" w:styleId="116">
    <w:name w:val="3"/>
    <w:basedOn w:val="1"/>
    <w:next w:val="22"/>
    <w:qFormat/>
    <w:uiPriority w:val="99"/>
    <w:rPr>
      <w:rFonts w:ascii="宋体" w:eastAsia="华文新魏"/>
      <w:szCs w:val="20"/>
    </w:rPr>
  </w:style>
  <w:style w:type="paragraph" w:customStyle="1" w:styleId="117">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8">
    <w:name w:val="纯文本2"/>
    <w:basedOn w:val="1"/>
    <w:qFormat/>
    <w:uiPriority w:val="99"/>
    <w:pPr>
      <w:suppressAutoHyphens/>
    </w:pPr>
    <w:rPr>
      <w:rFonts w:ascii="宋体" w:eastAsia="华文新魏" w:cs="Courier New"/>
      <w:szCs w:val="21"/>
      <w:lang w:eastAsia="ar-SA"/>
    </w:rPr>
  </w:style>
  <w:style w:type="paragraph" w:customStyle="1" w:styleId="119">
    <w:name w:val="1"/>
    <w:basedOn w:val="1"/>
    <w:next w:val="22"/>
    <w:qFormat/>
    <w:uiPriority w:val="99"/>
    <w:rPr>
      <w:rFonts w:ascii="宋体" w:eastAsia="华文新魏"/>
      <w:szCs w:val="20"/>
    </w:rPr>
  </w:style>
  <w:style w:type="paragraph" w:customStyle="1" w:styleId="120">
    <w:name w:val="项目-正文"/>
    <w:basedOn w:val="1"/>
    <w:qFormat/>
    <w:uiPriority w:val="99"/>
    <w:pPr>
      <w:spacing w:line="360" w:lineRule="auto"/>
      <w:ind w:firstLine="200" w:firstLineChars="200"/>
    </w:pPr>
    <w:rPr>
      <w:rFonts w:eastAsia="华文新魏"/>
      <w:kern w:val="0"/>
      <w:sz w:val="28"/>
      <w:szCs w:val="28"/>
    </w:rPr>
  </w:style>
  <w:style w:type="paragraph" w:customStyle="1" w:styleId="121">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22">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23">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24">
    <w:name w:val="列出段落1"/>
    <w:basedOn w:val="1"/>
    <w:qFormat/>
    <w:uiPriority w:val="99"/>
    <w:pPr>
      <w:ind w:firstLine="200" w:firstLineChars="200"/>
    </w:pPr>
    <w:rPr>
      <w:rFonts w:ascii="Calibri" w:hAnsi="Calibri" w:eastAsia="华文新魏" w:cs="Calibri"/>
      <w:szCs w:val="21"/>
    </w:rPr>
  </w:style>
  <w:style w:type="paragraph" w:customStyle="1" w:styleId="125">
    <w:name w:val="字元"/>
    <w:basedOn w:val="1"/>
    <w:qFormat/>
    <w:uiPriority w:val="99"/>
    <w:pPr>
      <w:widowControl/>
      <w:tabs>
        <w:tab w:val="left" w:pos="4665"/>
        <w:tab w:val="left" w:pos="8970"/>
      </w:tabs>
      <w:ind w:firstLine="400"/>
    </w:pPr>
    <w:rPr>
      <w:rFonts w:eastAsia="华文新魏"/>
      <w:szCs w:val="22"/>
    </w:rPr>
  </w:style>
  <w:style w:type="paragraph" w:customStyle="1" w:styleId="126">
    <w:name w:val="方案正文"/>
    <w:basedOn w:val="1"/>
    <w:qFormat/>
    <w:uiPriority w:val="99"/>
    <w:pPr>
      <w:spacing w:line="360" w:lineRule="auto"/>
      <w:ind w:firstLine="420"/>
    </w:pPr>
    <w:rPr>
      <w:rFonts w:ascii="宋体" w:eastAsia="华文新魏" w:cs="宋体"/>
      <w:sz w:val="24"/>
    </w:rPr>
  </w:style>
  <w:style w:type="paragraph" w:customStyle="1" w:styleId="127">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8">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9">
    <w:name w:val="正文11"/>
    <w:qFormat/>
    <w:uiPriority w:val="99"/>
    <w:pPr>
      <w:ind w:firstLine="200" w:firstLineChars="200"/>
    </w:pPr>
    <w:rPr>
      <w:rFonts w:ascii="Times New Roman" w:hAnsi="Times New Roman" w:eastAsia="宋体" w:cs="宋体"/>
      <w:lang w:val="en-US" w:eastAsia="zh-CN" w:bidi="ar-SA"/>
    </w:rPr>
  </w:style>
  <w:style w:type="paragraph" w:customStyle="1" w:styleId="130">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31">
    <w:name w:val="表A-"/>
    <w:basedOn w:val="1"/>
    <w:qFormat/>
    <w:uiPriority w:val="99"/>
    <w:pPr>
      <w:tabs>
        <w:tab w:val="left" w:pos="0"/>
      </w:tabs>
      <w:jc w:val="center"/>
    </w:pPr>
    <w:rPr>
      <w:rFonts w:eastAsia="华文新魏"/>
      <w:szCs w:val="21"/>
    </w:rPr>
  </w:style>
  <w:style w:type="paragraph" w:customStyle="1" w:styleId="132">
    <w:name w:val="修订1"/>
    <w:qFormat/>
    <w:uiPriority w:val="99"/>
    <w:rPr>
      <w:rFonts w:ascii="Times New Roman" w:hAnsi="Times New Roman" w:eastAsia="宋体" w:cs="Times New Roman"/>
      <w:kern w:val="2"/>
      <w:sz w:val="21"/>
      <w:szCs w:val="24"/>
      <w:lang w:val="en-US" w:eastAsia="zh-CN" w:bidi="ar-SA"/>
    </w:rPr>
  </w:style>
  <w:style w:type="paragraph" w:customStyle="1" w:styleId="133">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34">
    <w:name w:val="Char1 Char Char Char"/>
    <w:basedOn w:val="1"/>
    <w:qFormat/>
    <w:uiPriority w:val="0"/>
    <w:rPr>
      <w:rFonts w:eastAsia="华文新魏"/>
    </w:rPr>
  </w:style>
  <w:style w:type="paragraph" w:customStyle="1" w:styleId="135">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6">
    <w:name w:val="默认段落字体 Para Char"/>
    <w:basedOn w:val="1"/>
    <w:qFormat/>
    <w:uiPriority w:val="99"/>
    <w:rPr>
      <w:rFonts w:eastAsia="华文新魏"/>
    </w:rPr>
  </w:style>
  <w:style w:type="paragraph" w:customStyle="1" w:styleId="13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8">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9">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41">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42">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43">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44">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45">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6">
    <w:name w:val="正文首行缩进两字符"/>
    <w:basedOn w:val="1"/>
    <w:qFormat/>
    <w:uiPriority w:val="99"/>
    <w:pPr>
      <w:spacing w:line="360" w:lineRule="auto"/>
      <w:ind w:firstLine="200" w:firstLineChars="200"/>
    </w:pPr>
    <w:rPr>
      <w:rFonts w:eastAsia="华文新魏"/>
      <w:kern w:val="0"/>
      <w:sz w:val="24"/>
    </w:rPr>
  </w:style>
  <w:style w:type="paragraph" w:customStyle="1" w:styleId="147">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8">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9">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50">
    <w:name w:val="Char Char Char1 Char"/>
    <w:basedOn w:val="1"/>
    <w:qFormat/>
    <w:uiPriority w:val="99"/>
    <w:rPr>
      <w:rFonts w:ascii="Tahoma" w:hAnsi="Tahoma" w:eastAsia="华文新魏"/>
      <w:sz w:val="24"/>
    </w:rPr>
  </w:style>
  <w:style w:type="paragraph" w:customStyle="1" w:styleId="151">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52">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53">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54">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55">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6">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7">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8">
    <w:name w:val="纯文本1"/>
    <w:basedOn w:val="1"/>
    <w:qFormat/>
    <w:uiPriority w:val="0"/>
    <w:pPr>
      <w:suppressAutoHyphens/>
    </w:pPr>
    <w:rPr>
      <w:rFonts w:ascii="宋体" w:eastAsia="华文新魏"/>
      <w:sz w:val="20"/>
      <w:szCs w:val="21"/>
      <w:lang w:eastAsia="ar-SA"/>
    </w:rPr>
  </w:style>
  <w:style w:type="paragraph" w:customStyle="1" w:styleId="159">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0">
    <w:name w:val="列出段落2"/>
    <w:basedOn w:val="1"/>
    <w:qFormat/>
    <w:uiPriority w:val="99"/>
    <w:pPr>
      <w:ind w:firstLine="200" w:firstLineChars="200"/>
    </w:pPr>
    <w:rPr>
      <w:rFonts w:eastAsia="华文新魏"/>
    </w:rPr>
  </w:style>
  <w:style w:type="paragraph" w:customStyle="1" w:styleId="16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62">
    <w:name w:val="Default"/>
    <w:next w:val="1"/>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63">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64">
    <w:name w:val="4"/>
    <w:basedOn w:val="1"/>
    <w:next w:val="22"/>
    <w:qFormat/>
    <w:uiPriority w:val="99"/>
    <w:rPr>
      <w:rFonts w:ascii="宋体" w:eastAsia="华文新魏"/>
      <w:szCs w:val="20"/>
    </w:rPr>
  </w:style>
  <w:style w:type="paragraph" w:customStyle="1" w:styleId="16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6">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7">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8">
    <w:name w:val="样式 目录 1"/>
    <w:basedOn w:val="29"/>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70">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71">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72">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7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4">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5">
    <w:name w:val="p0"/>
    <w:basedOn w:val="1"/>
    <w:qFormat/>
    <w:uiPriority w:val="99"/>
    <w:pPr>
      <w:widowControl/>
    </w:pPr>
    <w:rPr>
      <w:rFonts w:eastAsia="华文新魏"/>
      <w:kern w:val="0"/>
      <w:szCs w:val="21"/>
    </w:rPr>
  </w:style>
  <w:style w:type="paragraph" w:customStyle="1" w:styleId="176">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7">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8">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80">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81">
    <w:name w:val="param-value"/>
    <w:qFormat/>
    <w:uiPriority w:val="0"/>
  </w:style>
  <w:style w:type="character" w:customStyle="1" w:styleId="182">
    <w:name w:val="纯文本 字符"/>
    <w:qFormat/>
    <w:uiPriority w:val="99"/>
    <w:rPr>
      <w:rFonts w:ascii="Ђˎ̥" w:hAnsi="Verdana" w:eastAsia="Ђˎ̥" w:cs="Verdana"/>
      <w:szCs w:val="21"/>
    </w:rPr>
  </w:style>
  <w:style w:type="character" w:customStyle="1" w:styleId="183">
    <w:name w:val="正文文本_"/>
    <w:basedOn w:val="48"/>
    <w:link w:val="184"/>
    <w:qFormat/>
    <w:uiPriority w:val="0"/>
    <w:rPr>
      <w:rFonts w:ascii="Arial Unicode MS" w:hAnsi="Arial Unicode MS" w:eastAsia="Arial Unicode MS" w:cs="Arial Unicode MS"/>
      <w:shd w:val="clear" w:color="auto" w:fill="FFFFFF"/>
    </w:rPr>
  </w:style>
  <w:style w:type="paragraph" w:customStyle="1" w:styleId="184">
    <w:name w:val="正文文本10"/>
    <w:basedOn w:val="1"/>
    <w:link w:val="183"/>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85">
    <w:name w:val="脚注文本 Char"/>
    <w:qFormat/>
    <w:uiPriority w:val="99"/>
    <w:rPr>
      <w:kern w:val="2"/>
      <w:sz w:val="18"/>
      <w:szCs w:val="18"/>
    </w:rPr>
  </w:style>
  <w:style w:type="character" w:customStyle="1" w:styleId="186">
    <w:name w:val="普通文字 Char Char4"/>
    <w:qFormat/>
    <w:uiPriority w:val="0"/>
    <w:rPr>
      <w:rFonts w:ascii="宋体" w:eastAsia="宋体" w:cs="Courier New"/>
      <w:kern w:val="2"/>
      <w:sz w:val="21"/>
      <w:szCs w:val="21"/>
      <w:lang w:val="en-US" w:eastAsia="zh-CN" w:bidi="ar-SA"/>
    </w:rPr>
  </w:style>
  <w:style w:type="character" w:customStyle="1" w:styleId="187">
    <w:name w:val="正文文本 + MingLiU"/>
    <w:basedOn w:val="48"/>
    <w:qFormat/>
    <w:uiPriority w:val="0"/>
    <w:rPr>
      <w:rFonts w:ascii="MingLiU" w:hAnsi="MingLiU" w:eastAsia="MingLiU" w:cs="MingLiU"/>
      <w:color w:val="000000"/>
      <w:spacing w:val="0"/>
      <w:w w:val="100"/>
      <w:position w:val="0"/>
      <w:sz w:val="16"/>
      <w:szCs w:val="16"/>
      <w:u w:val="none"/>
      <w:lang w:val="zh-TW"/>
    </w:rPr>
  </w:style>
  <w:style w:type="character" w:customStyle="1" w:styleId="188">
    <w:name w:val="正文文本 + Batang"/>
    <w:basedOn w:val="183"/>
    <w:qFormat/>
    <w:uiPriority w:val="0"/>
  </w:style>
  <w:style w:type="character" w:customStyle="1" w:styleId="189">
    <w:name w:val="脚注文本 Char1"/>
    <w:basedOn w:val="48"/>
    <w:link w:val="31"/>
    <w:semiHidden/>
    <w:qFormat/>
    <w:uiPriority w:val="99"/>
    <w:rPr>
      <w:rFonts w:ascii="Times New Roman" w:hAnsi="Times New Roman"/>
      <w:kern w:val="2"/>
      <w:sz w:val="18"/>
      <w:szCs w:val="18"/>
    </w:rPr>
  </w:style>
  <w:style w:type="paragraph" w:customStyle="1" w:styleId="190">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91">
    <w:name w:val="_Style 12"/>
    <w:basedOn w:val="1"/>
    <w:qFormat/>
    <w:uiPriority w:val="0"/>
    <w:pPr>
      <w:spacing w:line="360" w:lineRule="auto"/>
      <w:ind w:firstLine="200" w:firstLineChars="200"/>
    </w:pPr>
    <w:rPr>
      <w:rFonts w:ascii="Arial" w:hAnsi="Arial"/>
      <w:kern w:val="0"/>
      <w:sz w:val="24"/>
    </w:rPr>
  </w:style>
  <w:style w:type="paragraph" w:customStyle="1" w:styleId="192">
    <w:name w:val="Char Char Char Char Char Char Char Char Char"/>
    <w:basedOn w:val="1"/>
    <w:qFormat/>
    <w:uiPriority w:val="0"/>
    <w:pPr>
      <w:widowControl/>
      <w:spacing w:after="160" w:line="240" w:lineRule="exact"/>
      <w:jc w:val="left"/>
    </w:pPr>
  </w:style>
  <w:style w:type="paragraph" w:customStyle="1" w:styleId="193">
    <w:name w:val="彩色底纹 - 着色 11"/>
    <w:qFormat/>
    <w:uiPriority w:val="0"/>
    <w:rPr>
      <w:rFonts w:ascii="Calibri" w:hAnsi="Calibri" w:eastAsia="宋体" w:cs="Times New Roman"/>
      <w:kern w:val="2"/>
      <w:sz w:val="21"/>
      <w:szCs w:val="22"/>
      <w:lang w:val="en-US" w:eastAsia="zh-CN" w:bidi="ar-SA"/>
    </w:rPr>
  </w:style>
  <w:style w:type="paragraph" w:customStyle="1" w:styleId="194">
    <w:name w:val="修订2"/>
    <w:qFormat/>
    <w:uiPriority w:val="0"/>
    <w:rPr>
      <w:rFonts w:ascii="Calibri" w:hAnsi="Calibri" w:eastAsia="宋体" w:cs="Times New Roman"/>
      <w:kern w:val="2"/>
      <w:sz w:val="21"/>
      <w:szCs w:val="22"/>
      <w:lang w:val="en-US" w:eastAsia="zh-CN" w:bidi="ar-SA"/>
    </w:rPr>
  </w:style>
  <w:style w:type="paragraph" w:customStyle="1" w:styleId="195">
    <w:name w:val="正文文字"/>
    <w:basedOn w:val="1"/>
    <w:qFormat/>
    <w:uiPriority w:val="0"/>
    <w:pPr>
      <w:spacing w:before="60" w:after="60" w:line="360" w:lineRule="auto"/>
      <w:ind w:firstLine="200" w:firstLineChars="200"/>
      <w:jc w:val="left"/>
    </w:pPr>
    <w:rPr>
      <w:sz w:val="24"/>
    </w:rPr>
  </w:style>
  <w:style w:type="paragraph" w:customStyle="1" w:styleId="196">
    <w:name w:val="List Paragraph1"/>
    <w:basedOn w:val="1"/>
    <w:qFormat/>
    <w:uiPriority w:val="0"/>
    <w:pPr>
      <w:ind w:firstLine="420" w:firstLineChars="200"/>
    </w:pPr>
  </w:style>
  <w:style w:type="paragraph" w:customStyle="1" w:styleId="197">
    <w:name w:val="Table Paragraph"/>
    <w:basedOn w:val="1"/>
    <w:unhideWhenUsed/>
    <w:qFormat/>
    <w:uiPriority w:val="1"/>
    <w:rPr>
      <w:sz w:val="24"/>
    </w:rPr>
  </w:style>
  <w:style w:type="paragraph" w:styleId="198">
    <w:name w:val="List Paragraph"/>
    <w:basedOn w:val="1"/>
    <w:qFormat/>
    <w:uiPriority w:val="99"/>
    <w:pPr>
      <w:ind w:firstLine="420" w:firstLineChars="200"/>
    </w:pPr>
  </w:style>
  <w:style w:type="paragraph" w:customStyle="1" w:styleId="19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0">
    <w:name w:val="默认段落字体 Char Char Char"/>
    <w:basedOn w:val="1"/>
    <w:semiHidden/>
    <w:qFormat/>
    <w:uiPriority w:val="0"/>
    <w:rPr>
      <w:rFonts w:ascii="Arial" w:hAnsi="Arial" w:cs="Arial"/>
      <w:sz w:val="22"/>
      <w:szCs w:val="22"/>
      <w:lang w:eastAsia="en-US"/>
    </w:rPr>
  </w:style>
  <w:style w:type="paragraph" w:customStyle="1" w:styleId="201">
    <w:name w:val="列出段落3"/>
    <w:basedOn w:val="1"/>
    <w:qFormat/>
    <w:uiPriority w:val="0"/>
    <w:pPr>
      <w:ind w:firstLine="420" w:firstLineChars="200"/>
    </w:pPr>
    <w:rPr>
      <w:szCs w:val="21"/>
    </w:rPr>
  </w:style>
  <w:style w:type="character" w:customStyle="1" w:styleId="202">
    <w:name w:val="正文首行缩进 2 Char"/>
    <w:basedOn w:val="71"/>
    <w:link w:val="44"/>
    <w:qFormat/>
    <w:uiPriority w:val="0"/>
    <w:rPr>
      <w:kern w:val="2"/>
      <w:sz w:val="28"/>
      <w:szCs w:val="24"/>
    </w:rPr>
  </w:style>
  <w:style w:type="paragraph" w:customStyle="1" w:styleId="203">
    <w:name w:val="正文 首行缩进"/>
    <w:basedOn w:val="1"/>
    <w:link w:val="204"/>
    <w:qFormat/>
    <w:uiPriority w:val="0"/>
    <w:pPr>
      <w:spacing w:before="100" w:beforeAutospacing="1" w:after="100" w:afterAutospacing="1" w:line="360" w:lineRule="auto"/>
      <w:ind w:firstLine="480" w:firstLineChars="200"/>
    </w:pPr>
    <w:rPr>
      <w:rFonts w:ascii="Arial" w:hAnsi="Arial"/>
      <w:sz w:val="24"/>
      <w:szCs w:val="20"/>
    </w:rPr>
  </w:style>
  <w:style w:type="character" w:customStyle="1" w:styleId="204">
    <w:name w:val="正文 首行缩进 Char"/>
    <w:link w:val="203"/>
    <w:qFormat/>
    <w:uiPriority w:val="0"/>
    <w:rPr>
      <w:rFonts w:ascii="Arial" w:hAnsi="Arial"/>
      <w:kern w:val="2"/>
      <w:sz w:val="24"/>
    </w:rPr>
  </w:style>
  <w:style w:type="table" w:customStyle="1" w:styleId="205">
    <w:name w:val="Table Normal"/>
    <w:semiHidden/>
    <w:unhideWhenUsed/>
    <w:qFormat/>
    <w:uiPriority w:val="0"/>
    <w:tblPr>
      <w:tblCellMar>
        <w:top w:w="0" w:type="dxa"/>
        <w:left w:w="0" w:type="dxa"/>
        <w:bottom w:w="0" w:type="dxa"/>
        <w:right w:w="0" w:type="dxa"/>
      </w:tblCellMar>
    </w:tblPr>
  </w:style>
  <w:style w:type="paragraph" w:customStyle="1" w:styleId="2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7">
    <w:name w:val="样式1"/>
    <w:basedOn w:val="1"/>
    <w:qFormat/>
    <w:uiPriority w:val="0"/>
    <w:pPr>
      <w:jc w:val="center"/>
    </w:pPr>
    <w:rPr>
      <w:rFonts w:eastAsia="方正大标宋简体"/>
      <w:sz w:val="5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72</Pages>
  <Words>39114</Words>
  <Characters>42699</Characters>
  <Lines>344</Lines>
  <Paragraphs>96</Paragraphs>
  <TotalTime>6</TotalTime>
  <ScaleCrop>false</ScaleCrop>
  <LinksUpToDate>false</LinksUpToDate>
  <CharactersWithSpaces>44021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2022-09-12T16:31:00Z</dcterms:created>
  <dc:creator>Administrator</dc:creator>
  <cp:lastModifiedBy>李柳婵</cp:lastModifiedBy>
  <cp:lastPrinted>2023-04-19T11:38:00Z</cp:lastPrinted>
  <dcterms:modified xsi:type="dcterms:W3CDTF">2024-07-05T07:57:37Z</dcterms:modified>
  <dc:title>广西科联招标中心有限公司</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29F61EFD6D164E7784D7095E8C69580E_13</vt:lpwstr>
  </property>
</Properties>
</file>