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8401">
      <w:pPr>
        <w:pStyle w:val="4"/>
        <w:bidi w:val="0"/>
        <w:jc w:val="center"/>
        <w:rPr>
          <w:sz w:val="32"/>
          <w:szCs w:val="32"/>
        </w:rPr>
      </w:pPr>
      <w:r>
        <w:rPr>
          <w:rFonts w:hint="eastAsia"/>
          <w:sz w:val="32"/>
          <w:szCs w:val="32"/>
        </w:rPr>
        <w:t>项目采购需求</w:t>
      </w:r>
    </w:p>
    <w:p w14:paraId="47A4A68B">
      <w:pPr>
        <w:spacing w:line="360" w:lineRule="auto"/>
        <w:jc w:val="left"/>
      </w:pPr>
      <w:bookmarkStart w:id="0" w:name="_Toc129529569"/>
      <w:r>
        <w:rPr>
          <w:rFonts w:hint="eastAsia"/>
        </w:rPr>
        <w:t>说明：</w:t>
      </w:r>
    </w:p>
    <w:p w14:paraId="60278DBD">
      <w:pPr>
        <w:spacing w:line="360" w:lineRule="auto"/>
        <w:ind w:firstLine="420" w:firstLineChars="200"/>
        <w:jc w:val="left"/>
        <w:rPr>
          <w:rFonts w:hint="eastAsia" w:eastAsia="宋体" w:cs="Times New Roman"/>
        </w:rPr>
      </w:pPr>
      <w:r>
        <w:rPr>
          <w:rFonts w:hint="eastAsia" w:asciiTheme="minorEastAsia" w:hAnsiTheme="minorEastAsia" w:eastAsiaTheme="minorEastAsia" w:cstheme="minorEastAsia"/>
        </w:rPr>
        <w:t>1.</w:t>
      </w:r>
      <w:r>
        <w:rPr>
          <w:rFonts w:hint="eastAsia"/>
        </w:rPr>
        <w:t>标“</w:t>
      </w:r>
      <w:r>
        <w:rPr>
          <w:rFonts w:hint="eastAsia"/>
          <w:sz w:val="24"/>
          <w:szCs w:val="24"/>
        </w:rPr>
        <w:t>★</w:t>
      </w:r>
      <w:r>
        <w:rPr>
          <w:rFonts w:hint="eastAsia"/>
        </w:rPr>
        <w:t>”为实质性参数要求和条</w:t>
      </w:r>
      <w:bookmarkStart w:id="30" w:name="_GoBack"/>
      <w:bookmarkEnd w:id="30"/>
      <w:r>
        <w:rPr>
          <w:rFonts w:hint="eastAsia"/>
        </w:rPr>
        <w:t>件，投标人必须满足并在投标文件中如实作出响应，否则投标无效；标“</w:t>
      </w:r>
      <w:r>
        <w:rPr>
          <w:rFonts w:hint="eastAsia"/>
          <w:sz w:val="24"/>
          <w:szCs w:val="24"/>
        </w:rPr>
        <w:t>▲</w:t>
      </w:r>
      <w:r>
        <w:rPr>
          <w:rFonts w:hint="eastAsia"/>
        </w:rPr>
        <w:t>”为重点</w:t>
      </w:r>
      <w:r>
        <w:rPr>
          <w:rFonts w:hint="eastAsia" w:eastAsia="宋体" w:cs="Times New Roman"/>
        </w:rPr>
        <w:t>指标；无标识的为一般指标。</w:t>
      </w:r>
    </w:p>
    <w:p w14:paraId="36930ABA">
      <w:pPr>
        <w:spacing w:line="360" w:lineRule="auto"/>
        <w:ind w:firstLine="420" w:firstLineChars="200"/>
        <w:jc w:val="left"/>
        <w:rPr>
          <w:rFonts w:hint="eastAsia" w:eastAsia="宋体" w:cs="Times New Roman"/>
        </w:rPr>
      </w:pPr>
      <w:r>
        <w:rPr>
          <w:rFonts w:hint="eastAsia" w:asciiTheme="minorEastAsia" w:hAnsiTheme="minorEastAsia" w:eastAsiaTheme="minorEastAsia" w:cstheme="minorEastAsia"/>
        </w:rPr>
        <w:t>2.</w:t>
      </w:r>
      <w:r>
        <w:rPr>
          <w:rFonts w:hint="eastAsia" w:eastAsia="宋体" w:cs="Times New Roman"/>
        </w:rPr>
        <w:t>投标人投标时必须在投标文件中对所有项目要求及技术需求内容、商务要求表中内容及附件内容（如有）逐条响应并一一对应。</w:t>
      </w:r>
    </w:p>
    <w:p w14:paraId="6CD91A37">
      <w:pPr>
        <w:pStyle w:val="5"/>
        <w:bidi w:val="0"/>
        <w:jc w:val="center"/>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项目概况</w:t>
      </w:r>
      <w:bookmarkEnd w:id="0"/>
    </w:p>
    <w:tbl>
      <w:tblPr>
        <w:tblStyle w:val="8"/>
        <w:tblW w:w="89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3112"/>
        <w:gridCol w:w="2464"/>
        <w:gridCol w:w="2522"/>
      </w:tblGrid>
      <w:tr w14:paraId="54F7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873" w:type="dxa"/>
            <w:vAlign w:val="center"/>
          </w:tcPr>
          <w:p w14:paraId="597D2FA8">
            <w:pPr>
              <w:spacing w:line="360" w:lineRule="auto"/>
              <w:jc w:val="center"/>
              <w:rPr>
                <w:rFonts w:ascii="Times New Roman" w:hAnsi="Times New Roman"/>
                <w:szCs w:val="21"/>
              </w:rPr>
            </w:pPr>
            <w:r>
              <w:rPr>
                <w:rFonts w:ascii="Times New Roman" w:hAnsi="Times New Roman"/>
                <w:szCs w:val="21"/>
              </w:rPr>
              <w:t>采购包</w:t>
            </w:r>
          </w:p>
        </w:tc>
        <w:tc>
          <w:tcPr>
            <w:tcW w:w="3112" w:type="dxa"/>
            <w:vAlign w:val="center"/>
          </w:tcPr>
          <w:p w14:paraId="2F39FD72">
            <w:pPr>
              <w:spacing w:line="360" w:lineRule="auto"/>
              <w:jc w:val="center"/>
              <w:rPr>
                <w:rFonts w:ascii="Times New Roman" w:hAnsi="Times New Roman"/>
                <w:szCs w:val="21"/>
              </w:rPr>
            </w:pPr>
            <w:r>
              <w:rPr>
                <w:rFonts w:ascii="Times New Roman" w:hAnsi="Times New Roman"/>
                <w:szCs w:val="21"/>
              </w:rPr>
              <w:t>采购标的</w:t>
            </w:r>
          </w:p>
        </w:tc>
        <w:tc>
          <w:tcPr>
            <w:tcW w:w="2464" w:type="dxa"/>
            <w:vAlign w:val="center"/>
          </w:tcPr>
          <w:p w14:paraId="77E1E780">
            <w:pPr>
              <w:spacing w:line="360" w:lineRule="auto"/>
              <w:jc w:val="center"/>
              <w:rPr>
                <w:rFonts w:ascii="Times New Roman" w:hAnsi="Times New Roman"/>
                <w:szCs w:val="21"/>
              </w:rPr>
            </w:pPr>
            <w:r>
              <w:rPr>
                <w:rFonts w:ascii="Times New Roman" w:hAnsi="Times New Roman"/>
                <w:szCs w:val="21"/>
              </w:rPr>
              <w:t>最高限价</w:t>
            </w:r>
          </w:p>
        </w:tc>
        <w:tc>
          <w:tcPr>
            <w:tcW w:w="2522" w:type="dxa"/>
          </w:tcPr>
          <w:p w14:paraId="095D69D9">
            <w:pPr>
              <w:spacing w:line="360" w:lineRule="auto"/>
              <w:jc w:val="center"/>
              <w:rPr>
                <w:rFonts w:ascii="Times New Roman" w:hAnsi="Times New Roman"/>
                <w:szCs w:val="21"/>
              </w:rPr>
            </w:pPr>
            <w:r>
              <w:rPr>
                <w:rFonts w:ascii="Times New Roman" w:hAnsi="Times New Roman"/>
                <w:szCs w:val="21"/>
              </w:rPr>
              <w:t>采购标的对应的中小企业划分标准所属行业</w:t>
            </w:r>
          </w:p>
        </w:tc>
      </w:tr>
      <w:tr w14:paraId="4BD20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873" w:type="dxa"/>
            <w:vAlign w:val="center"/>
          </w:tcPr>
          <w:p w14:paraId="3D279529">
            <w:pPr>
              <w:spacing w:line="360" w:lineRule="auto"/>
              <w:jc w:val="center"/>
              <w:rPr>
                <w:rFonts w:ascii="Times New Roman" w:hAnsi="Times New Roman"/>
                <w:szCs w:val="21"/>
              </w:rPr>
            </w:pPr>
            <w:r>
              <w:rPr>
                <w:rFonts w:hint="eastAsia" w:ascii="宋体" w:hAnsi="宋体" w:eastAsia="宋体" w:cs="宋体"/>
                <w:szCs w:val="21"/>
              </w:rPr>
              <w:t>1</w:t>
            </w:r>
          </w:p>
        </w:tc>
        <w:tc>
          <w:tcPr>
            <w:tcW w:w="3112" w:type="dxa"/>
            <w:vAlign w:val="center"/>
          </w:tcPr>
          <w:p w14:paraId="0E0C2E34">
            <w:pPr>
              <w:spacing w:line="360" w:lineRule="auto"/>
              <w:jc w:val="center"/>
              <w:rPr>
                <w:rFonts w:ascii="Times New Roman" w:hAnsi="Times New Roman"/>
                <w:szCs w:val="21"/>
              </w:rPr>
            </w:pPr>
            <w:r>
              <w:rPr>
                <w:rFonts w:hint="eastAsia" w:ascii="宋体" w:hAnsi="宋体"/>
                <w:szCs w:val="21"/>
              </w:rPr>
              <w:t>国家税务总局广西壮族自治区税务局核心征管系统、出口退税子系统及数据治理日常运维服务项目</w:t>
            </w:r>
          </w:p>
        </w:tc>
        <w:tc>
          <w:tcPr>
            <w:tcW w:w="2464" w:type="dxa"/>
            <w:vAlign w:val="center"/>
          </w:tcPr>
          <w:p w14:paraId="5EC9FCC6">
            <w:pPr>
              <w:spacing w:line="360" w:lineRule="auto"/>
              <w:jc w:val="center"/>
              <w:rPr>
                <w:rFonts w:ascii="Times New Roman" w:hAnsi="Times New Roman"/>
                <w:szCs w:val="21"/>
              </w:rPr>
            </w:pPr>
            <w:r>
              <w:rPr>
                <w:rFonts w:hint="eastAsia" w:ascii="宋体" w:hAnsi="宋体"/>
                <w:color w:val="auto"/>
                <w:szCs w:val="21"/>
                <w:highlight w:val="none"/>
                <w:lang w:eastAsia="zh-CN"/>
              </w:rPr>
              <w:t>人民币（大写）贰佰叁</w:t>
            </w:r>
            <w:r>
              <w:rPr>
                <w:rFonts w:hint="eastAsia" w:ascii="宋体" w:hAnsi="宋体" w:eastAsia="宋体" w:cs="Times New Roman"/>
                <w:color w:val="auto"/>
                <w:szCs w:val="21"/>
                <w:highlight w:val="none"/>
                <w:lang w:eastAsia="zh-CN"/>
              </w:rPr>
              <w:t>拾万</w:t>
            </w:r>
            <w:r>
              <w:rPr>
                <w:rFonts w:hint="eastAsia" w:ascii="宋体" w:hAnsi="宋体" w:cs="Times New Roman"/>
                <w:color w:val="auto"/>
                <w:szCs w:val="21"/>
                <w:highlight w:val="none"/>
                <w:lang w:eastAsia="zh-CN"/>
              </w:rPr>
              <w:t>零</w:t>
            </w:r>
            <w:r>
              <w:rPr>
                <w:rFonts w:hint="eastAsia" w:ascii="宋体" w:hAnsi="宋体" w:eastAsia="宋体" w:cs="Times New Roman"/>
                <w:color w:val="auto"/>
                <w:szCs w:val="21"/>
                <w:highlight w:val="none"/>
                <w:lang w:eastAsia="zh-CN"/>
              </w:rPr>
              <w:t>肆</w:t>
            </w:r>
            <w:r>
              <w:rPr>
                <w:rFonts w:hint="eastAsia" w:ascii="宋体" w:hAnsi="宋体" w:cs="Times New Roman"/>
                <w:color w:val="auto"/>
                <w:szCs w:val="21"/>
                <w:highlight w:val="none"/>
                <w:lang w:eastAsia="zh-CN"/>
              </w:rPr>
              <w:t>仟</w:t>
            </w:r>
            <w:r>
              <w:rPr>
                <w:rFonts w:hint="eastAsia" w:ascii="宋体" w:hAnsi="宋体" w:eastAsia="宋体" w:cs="Times New Roman"/>
                <w:color w:val="auto"/>
                <w:szCs w:val="21"/>
                <w:highlight w:val="none"/>
                <w:lang w:eastAsia="zh-CN"/>
              </w:rPr>
              <w:t>元整（¥2304</w:t>
            </w:r>
            <w:r>
              <w:rPr>
                <w:rFonts w:hint="eastAsia" w:ascii="宋体" w:hAnsi="宋体" w:eastAsia="宋体" w:cs="Times New Roman"/>
                <w:color w:val="auto"/>
                <w:szCs w:val="21"/>
                <w:highlight w:val="none"/>
                <w:lang w:val="en-US" w:eastAsia="zh-CN"/>
              </w:rPr>
              <w:t>000.00</w:t>
            </w:r>
            <w:r>
              <w:rPr>
                <w:rFonts w:hint="eastAsia" w:ascii="宋体" w:hAnsi="宋体" w:eastAsia="宋体" w:cs="Times New Roman"/>
                <w:color w:val="auto"/>
                <w:szCs w:val="21"/>
                <w:highlight w:val="none"/>
                <w:lang w:eastAsia="zh-CN"/>
              </w:rPr>
              <w:t>）</w:t>
            </w:r>
          </w:p>
        </w:tc>
        <w:tc>
          <w:tcPr>
            <w:tcW w:w="2522" w:type="dxa"/>
            <w:vAlign w:val="center"/>
          </w:tcPr>
          <w:p w14:paraId="05F2308C">
            <w:pPr>
              <w:spacing w:line="360" w:lineRule="auto"/>
              <w:jc w:val="center"/>
              <w:rPr>
                <w:rFonts w:ascii="Times New Roman" w:hAnsi="Times New Roman"/>
                <w:szCs w:val="21"/>
              </w:rPr>
            </w:pPr>
            <w:r>
              <w:rPr>
                <w:rFonts w:hint="eastAsia" w:ascii="Times New Roman" w:hAnsi="Times New Roman"/>
              </w:rPr>
              <w:t>软件和信息技术服务业</w:t>
            </w:r>
          </w:p>
        </w:tc>
      </w:tr>
    </w:tbl>
    <w:p w14:paraId="75050E12"/>
    <w:p w14:paraId="7AA998F1">
      <w:pPr>
        <w:pStyle w:val="5"/>
        <w:bidi w:val="0"/>
        <w:jc w:val="center"/>
        <w:rPr>
          <w:rFonts w:hint="eastAsia" w:ascii="宋体" w:hAnsi="宋体" w:eastAsia="宋体" w:cs="宋体"/>
          <w:sz w:val="24"/>
          <w:szCs w:val="24"/>
        </w:rPr>
      </w:pPr>
      <w:bookmarkStart w:id="1" w:name="_Toc129529570"/>
      <w:r>
        <w:rPr>
          <w:rFonts w:hint="eastAsia" w:ascii="宋体" w:hAnsi="宋体" w:eastAsia="宋体" w:cs="宋体"/>
          <w:sz w:val="24"/>
          <w:szCs w:val="24"/>
          <w:lang w:eastAsia="zh-CN"/>
        </w:rPr>
        <w:t>二、</w:t>
      </w:r>
      <w:r>
        <w:rPr>
          <w:rFonts w:hint="eastAsia" w:ascii="宋体" w:hAnsi="宋体" w:eastAsia="宋体" w:cs="宋体"/>
          <w:sz w:val="24"/>
          <w:szCs w:val="24"/>
        </w:rPr>
        <w:t>技术要求</w:t>
      </w:r>
      <w:bookmarkEnd w:id="1"/>
    </w:p>
    <w:p w14:paraId="0CD536D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rPr>
      </w:pPr>
      <w:bookmarkStart w:id="2" w:name="_Toc3987"/>
      <w:bookmarkStart w:id="3" w:name="_Toc129529571"/>
      <w:r>
        <w:rPr>
          <w:rFonts w:hint="eastAsia" w:ascii="宋体" w:hAnsi="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项目背景</w:t>
      </w:r>
      <w:bookmarkEnd w:id="2"/>
    </w:p>
    <w:p w14:paraId="13CEC65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2015年9月份，广西壮族自治区税务局按照国家税务总局统一要求完成了金税三期系统的税收征管的推广工作，主要包括税收核心征管、个人税收管理、决策一包、决策二包、应用总集成，并且在2019年完成了国地税合并工作，2023年至2024年，金税三期核心征管系统门户中集成了金税四期相关系统。 </w:t>
      </w:r>
    </w:p>
    <w:p w14:paraId="54B9D98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税三期”工程应用系统在广西的成功上线运行标志着国家税务总局“金税三期”工程进入了一个新的里程碑阶段。“金税三期”工程属国家级信息系统工程，是国家电子政务建设的重要组成部分。该系统融合了税收征管变革和技术创新，统一了全国税收，搭建了统一的纳税服务平台，实现了全国税收数据大集中，对于进一步规范全国税收执法、优化纳税服务、实现降低税务机关征纳成本和执法风险、提高纳税人遵从度和满意度、构建现代化的税收征管体系、推动税收事业的科学发展，提供有效的信息化支撑。目前广西壮族自治区税务局金税三期核心征管系统已进入了平稳运行阶段。</w:t>
      </w:r>
    </w:p>
    <w:p w14:paraId="23567D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多年来，出口退税管理系统独立于金税三期系统之外运行，存在征退税管理脱节、部分功能建设重复，不符合统一规范的信息化建设要求等问题。</w:t>
      </w:r>
    </w:p>
    <w:p w14:paraId="1618CA8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全国税务系统深化“放管服”改革五年工作方案（2018年—2022年）》的总体安排，按照国家税务总局领导“坚定整合、加快整合、完善整合，要与将来完善出口退税管理制度机制结合起来，加强内控或留有接口”的指示精神，将出口退税管理系统整合到金税三期系统，进行一体化设计，既要落实“放管服”改革精神，又要有利于严密监管、防范风险、优化服务。</w:t>
      </w:r>
    </w:p>
    <w:p w14:paraId="3F182B2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2021年，广西壮族自治区税务局按照国家税务总局的要求，完成出口退税管理系统整合项目推广实施工作，并且系统进入平稳运行阶段。</w:t>
      </w:r>
    </w:p>
    <w:p w14:paraId="2E47287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时，随着税收现代化目标、体系、时间节点的提出和确立及“税法遵从、信息管税、风险管理”先进管理理念的日益深入人心，税收数据挖掘、分析和利用的作用显得更加突出、重要。但在实际工作中，税收数据挖掘、分析和利用还存在着一些不容忽视和亟待解决的问题，直接制约和影响着税收数据“聚合效应”的发挥。</w:t>
      </w:r>
    </w:p>
    <w:p w14:paraId="6925179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根据国家税务总局要求，广西壮族自治区税务局作为全国试验单位，在2020年11月份，把社保费相关系统的数据通过核心征管分发库以数据链路同步的方式集成到总局云平台。</w:t>
      </w:r>
    </w:p>
    <w:p w14:paraId="617B921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全国一体化在线政务服务平台政务服务“好差评”系统建设要求，将“好差评”数据同步至分发库，最后汇集至税务总局大数据平台，在税务总局大数据平台完成各省同构数据结构的“好差评”结果数据的汇总。</w:t>
      </w:r>
    </w:p>
    <w:p w14:paraId="022618E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壮族自治区税务局金税三期核心征管系统及出口退税系统运维期限已到，按照国家税务总局要求，为保障广西已全面推广应用的金税三期核心征管系统及出口退税系统实现稳定运行，现广西壮族自治区税务局需要重新购买金税三期核心征管系统及出口退税系统的相关运维服务。</w:t>
      </w:r>
    </w:p>
    <w:p w14:paraId="33B4B1B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、项目目标</w:t>
      </w:r>
    </w:p>
    <w:p w14:paraId="285E25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保障金税三期核心征管及出口退税系统业务的正常、快速的办理，提高纳税服务质量，确保核心征管分发库同步链路的正常，实现系统平稳运行，确保与金税四期相关系统的数据链路、应用接口正常，具体运维目标如下：</w:t>
      </w:r>
    </w:p>
    <w:p w14:paraId="168D03C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（1）建立规范的运维保障体系，以区局驻场运维和远程运维为主体，后方开发为依托，实现系统运维的规范化、标准化和制度化。</w:t>
      </w:r>
    </w:p>
    <w:p w14:paraId="69601C6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（2）对于紧急重要的系统保障事项，协商确认后可通过临时提供现场支持的方式，提高系统环境保障工作的响应速度和处理效率，提升重点保障事项的服务水平。</w:t>
      </w:r>
    </w:p>
    <w:p w14:paraId="2255F59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（3）及时排除系统运行期间的故障和问题，保证应用系统的正常运行。保障各系统安全、稳定运行，为加强出口退税管理，提高缴费服务水平提供重要支持和保障。</w:t>
      </w:r>
    </w:p>
    <w:p w14:paraId="0373DA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（4）不断完善数据质量监控分析，及时发现存在的数据质量问题，提升全区数据质量。</w:t>
      </w:r>
    </w:p>
    <w:p w14:paraId="4F6A005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rPr>
      </w:pPr>
      <w:bookmarkStart w:id="4" w:name="_Toc23107"/>
      <w:r>
        <w:rPr>
          <w:rFonts w:hint="eastAsia" w:ascii="宋体" w:hAnsi="宋体" w:cs="宋体"/>
          <w:b/>
          <w:bCs/>
          <w:sz w:val="21"/>
          <w:szCs w:val="21"/>
          <w:lang w:val="en-US"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运维服务内容</w:t>
      </w:r>
      <w:bookmarkEnd w:id="4"/>
    </w:p>
    <w:p w14:paraId="720F58F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税三期工程是国家十二金工程之首，是世界上处理能力最强大、最复杂、最先进的电子政务工程之一。金税三期工程核心征管及出口退税的主体业务功能包括登记、优惠、认定、证明、申报、征收、会统、发票、票证、评估审计、稽查、法制、综合、出口退税等十四个业务域，涉及2000多个功能，后台涉及5300多张业务表，10万多个业务字段，80亿多条税务业务数据，共有40台服务器119个节点、11个数据库、25条双向OGG链路，以及约50个渠道及特色软件系统对接，涉及1500多个服务接口。</w:t>
      </w:r>
    </w:p>
    <w:p w14:paraId="544FB2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口退税系统为全区出口退税企业办理出口退税业务提供技术支持，保障出口退税业务正常、快速办理。本系统集中了登记、申报、发票、海关数据，提供了50多个标准服务接口。出口退税系统，涉及多个关键税收业务系统，初步分为内部系统和外部系统两类。内部系统包括：核心征管及应用集成平台、决策支持1包、决策支持2包、离线出口退税申报工具、核心征管总局端集成平台（含原函调功能）、出口退税总局端系统等。外部系统包括：增值税发票系统(含电子底账、防伪税控、稽核系统)，外部信息交换系统（“单一窗口”申报），电子税务局等。</w:t>
      </w:r>
    </w:p>
    <w:p w14:paraId="5567490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广西壮族自治区税务局新增集成了好差评系统数据、社保费征收子系统数据、社保费管理子系统数据、社保费税银子系统数据、社保费共享平台数据到分发库，把广西壮族自治区税务局相关业务系统的数据，同步上总局。新增同步数据涉及四个业务系统、共300多张数据表、41个数据同步链路。</w:t>
      </w:r>
    </w:p>
    <w:p w14:paraId="3ECBE732">
      <w:pPr>
        <w:pStyle w:val="6"/>
        <w:keepNext w:val="0"/>
        <w:keepLines w:val="0"/>
        <w:pageBreakBefore w:val="0"/>
        <w:widowControl w:val="0"/>
        <w:kinsoku/>
        <w:wordWrap/>
        <w:overflowPunct w:val="0"/>
        <w:topLinePunct w:val="0"/>
        <w:autoSpaceDE w:val="0"/>
        <w:autoSpaceDN w:val="0"/>
        <w:bidi w:val="0"/>
        <w:adjustRightInd w:val="0"/>
        <w:snapToGrid w:val="0"/>
        <w:spacing w:after="0" w:line="360" w:lineRule="auto"/>
        <w:ind w:firstLine="420" w:firstLineChars="200"/>
        <w:jc w:val="both"/>
        <w:textAlignment w:val="baseline"/>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2023年4月份新上线金税四期电子发票服务平台、2024年新上线的全国统一规范电子税务局、智慧办公平台、税智撑系统等系统，与金税三期核心征管系统有着密切关联关系，包括接口调用、数据支撑等，系统关联关系非常复杂、多样。</w:t>
      </w:r>
    </w:p>
    <w:p w14:paraId="1B9FE8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因金税三期系统的技术和业务复杂性高、专业性强，为保证金税三期的正常运行，中标人必须选派有丰富经验的专业人员，组建含现场、二线、开发在内的三级运维体系。</w:t>
      </w:r>
    </w:p>
    <w:p w14:paraId="739235B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具体如下：</w:t>
      </w:r>
    </w:p>
    <w:p w14:paraId="7EC9AFD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2"/>
        <w:rPr>
          <w:rFonts w:hint="eastAsia" w:ascii="宋体" w:hAnsi="宋体" w:eastAsia="宋体" w:cs="宋体"/>
          <w:b/>
          <w:bCs/>
          <w:sz w:val="21"/>
          <w:szCs w:val="21"/>
        </w:rPr>
      </w:pPr>
      <w:bookmarkStart w:id="5" w:name="_Toc29864"/>
      <w:r>
        <w:rPr>
          <w:rFonts w:hint="eastAsia" w:ascii="宋体" w:hAnsi="宋体" w:cs="宋体"/>
          <w:b/>
          <w:bCs/>
          <w:sz w:val="21"/>
          <w:szCs w:val="21"/>
          <w:lang w:val="en-US" w:eastAsia="zh-CN"/>
        </w:rPr>
        <w:t>3.1</w:t>
      </w:r>
      <w:r>
        <w:rPr>
          <w:rFonts w:hint="eastAsia" w:ascii="宋体" w:hAnsi="宋体" w:eastAsia="宋体" w:cs="宋体"/>
          <w:b/>
          <w:bCs/>
          <w:sz w:val="21"/>
          <w:szCs w:val="21"/>
        </w:rPr>
        <w:t>金税三期核心征管系统及出口退税系统运维服务</w:t>
      </w:r>
      <w:bookmarkEnd w:id="5"/>
    </w:p>
    <w:p w14:paraId="337DA92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1</w:t>
      </w:r>
      <w:r>
        <w:rPr>
          <w:rFonts w:hint="eastAsia" w:ascii="宋体" w:hAnsi="宋体" w:eastAsia="宋体" w:cs="宋体"/>
          <w:sz w:val="21"/>
          <w:szCs w:val="21"/>
        </w:rPr>
        <w:t>日常运维</w:t>
      </w:r>
    </w:p>
    <w:p w14:paraId="0695BEC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现场运维人员根据运维平台、QQ、微信、电话等各渠道接收全区各单位各部门使用系统人员所提交的问题进行及时分析、有效处理。</w:t>
      </w:r>
    </w:p>
    <w:p w14:paraId="443799C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（1）业务及操作咨询类问题：对于业务操作咨询类问题及时进行全面</w:t>
      </w:r>
      <w:r>
        <w:rPr>
          <w:rFonts w:hint="eastAsia" w:ascii="宋体" w:hAnsi="宋体" w:eastAsia="宋体" w:cs="宋体"/>
          <w:sz w:val="21"/>
          <w:szCs w:val="21"/>
          <w:lang w:eastAsia="zh-CN"/>
        </w:rPr>
        <w:t>的</w:t>
      </w:r>
      <w:r>
        <w:rPr>
          <w:rFonts w:hint="eastAsia" w:ascii="宋体" w:hAnsi="宋体" w:eastAsia="宋体" w:cs="宋体"/>
          <w:sz w:val="21"/>
          <w:szCs w:val="21"/>
        </w:rPr>
        <w:t>解答，要求为使用系统的操作人员提供咨询服务，辅助完成业务处理操作。</w:t>
      </w:r>
    </w:p>
    <w:p w14:paraId="4F50513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（2）业务数据运维：对业务不能正常办理的情况进行分析，如发现是数据错误造成无法正常办理业务的，中标人应将问题</w:t>
      </w:r>
      <w:r>
        <w:rPr>
          <w:rFonts w:hint="eastAsia" w:ascii="宋体" w:hAnsi="宋体" w:eastAsia="宋体" w:cs="宋体"/>
          <w:sz w:val="21"/>
          <w:szCs w:val="21"/>
          <w:lang w:eastAsia="zh-CN"/>
        </w:rPr>
        <w:t>转入</w:t>
      </w:r>
      <w:r>
        <w:rPr>
          <w:rFonts w:hint="eastAsia" w:ascii="宋体" w:hAnsi="宋体" w:eastAsia="宋体" w:cs="宋体"/>
          <w:sz w:val="21"/>
          <w:szCs w:val="21"/>
        </w:rPr>
        <w:t>数据运维流程，对问题数据进行分析、评估，对错误数据修改，使问题得到有效解决</w:t>
      </w:r>
      <w:r>
        <w:rPr>
          <w:rFonts w:hint="eastAsia" w:ascii="宋体" w:hAnsi="宋体" w:eastAsia="宋体" w:cs="宋体"/>
          <w:sz w:val="21"/>
          <w:szCs w:val="21"/>
          <w:lang w:eastAsia="zh-CN"/>
        </w:rPr>
        <w:t>。</w:t>
      </w:r>
    </w:p>
    <w:p w14:paraId="0891C68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（3）系统程序BUG：问题分析定位后属于系统程序BUG的问题，中标人的现场运维人员及时将问题提交开发人员走系统程序修改开发流程，并随时与开发沟通了解问题修改情况，及时将情况反馈采购人。</w:t>
      </w:r>
    </w:p>
    <w:p w14:paraId="5F7CC6D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（4）运维知识库维护：对于用户反馈的问题中属于操作中出现的常见问题，由中标人收集、汇总和整理后形成常见问题解决手册，或按采购人要求整理成运维周报、月报等加入知识库。</w:t>
      </w:r>
    </w:p>
    <w:p w14:paraId="1DA9E0D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（5）编写操作手册</w:t>
      </w:r>
    </w:p>
    <w:p w14:paraId="7153605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当系统升级后，系统的业务流程发生了变化，中标人应以文档形式告知采购人升级内容及系统操作流程，如有较大的变化应提供详细的业务流程操作手册。</w:t>
      </w:r>
    </w:p>
    <w:p w14:paraId="01E12AC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2</w:t>
      </w:r>
      <w:r>
        <w:rPr>
          <w:rFonts w:hint="eastAsia" w:ascii="宋体" w:hAnsi="宋体" w:eastAsia="宋体" w:cs="宋体"/>
          <w:sz w:val="21"/>
          <w:szCs w:val="21"/>
        </w:rPr>
        <w:t>专项服务</w:t>
      </w:r>
    </w:p>
    <w:p w14:paraId="385FB49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当国家税务总局税收政策发生变化，核心征管业务流程发生调整时，应用运维人员应第一时间了解核心征管业务流程调整内容，结合本地实际业务情况，充分考虑系统升级带来的数据逻辑调整、涉及历史数据的衔接、业务办理的变化。发起专题会议，与采购人共同分析讨论征管业务执行方法和流程。</w:t>
      </w:r>
    </w:p>
    <w:p w14:paraId="23DA9A0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（1）配合</w:t>
      </w:r>
      <w:r>
        <w:rPr>
          <w:rFonts w:hint="eastAsia" w:ascii="宋体" w:hAnsi="宋体" w:eastAsia="宋体" w:cs="宋体"/>
          <w:sz w:val="21"/>
          <w:szCs w:val="21"/>
          <w:lang w:eastAsia="zh-CN"/>
        </w:rPr>
        <w:t>区</w:t>
      </w:r>
      <w:r>
        <w:rPr>
          <w:rFonts w:hint="eastAsia" w:ascii="宋体" w:hAnsi="宋体" w:eastAsia="宋体" w:cs="宋体"/>
          <w:sz w:val="21"/>
          <w:szCs w:val="21"/>
        </w:rPr>
        <w:t>局</w:t>
      </w:r>
      <w:r>
        <w:rPr>
          <w:rFonts w:hint="eastAsia" w:ascii="宋体" w:hAnsi="宋体" w:eastAsia="宋体" w:cs="宋体"/>
          <w:sz w:val="21"/>
          <w:szCs w:val="21"/>
          <w:lang w:eastAsia="zh-CN"/>
        </w:rPr>
        <w:t>主管部门</w:t>
      </w:r>
      <w:r>
        <w:rPr>
          <w:rFonts w:hint="eastAsia" w:ascii="宋体" w:hAnsi="宋体" w:eastAsia="宋体" w:cs="宋体"/>
          <w:sz w:val="21"/>
          <w:szCs w:val="21"/>
        </w:rPr>
        <w:t>，完成数据需求分析，进行数据整理等工作，以保障</w:t>
      </w:r>
      <w:r>
        <w:rPr>
          <w:rFonts w:hint="eastAsia" w:ascii="宋体" w:hAnsi="宋体" w:eastAsia="宋体" w:cs="宋体"/>
          <w:sz w:val="21"/>
          <w:szCs w:val="21"/>
          <w:lang w:eastAsia="zh-CN"/>
        </w:rPr>
        <w:t>采购人</w:t>
      </w:r>
      <w:r>
        <w:rPr>
          <w:rFonts w:hint="eastAsia" w:ascii="宋体" w:hAnsi="宋体" w:eastAsia="宋体" w:cs="宋体"/>
          <w:sz w:val="21"/>
          <w:szCs w:val="21"/>
        </w:rPr>
        <w:t>日常业务的正常实施。</w:t>
      </w:r>
    </w:p>
    <w:p w14:paraId="42857C0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（2）处理因政策调整、系统BUG等原因引起的批量数据修正。</w:t>
      </w:r>
    </w:p>
    <w:p w14:paraId="16A09C3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）因各地政策、外部因素等不可预料原因引起的系统紧急调整，完成方案梳理、系统参数修改、脚本执行。</w:t>
      </w:r>
    </w:p>
    <w:p w14:paraId="47EC23D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）数据同步服务。各环境的生产数据及时有效</w:t>
      </w:r>
      <w:r>
        <w:rPr>
          <w:rFonts w:hint="eastAsia" w:ascii="宋体" w:hAnsi="宋体" w:eastAsia="宋体" w:cs="宋体"/>
          <w:sz w:val="21"/>
          <w:szCs w:val="21"/>
          <w:lang w:eastAsia="zh-CN"/>
        </w:rPr>
        <w:t>地</w:t>
      </w:r>
      <w:r>
        <w:rPr>
          <w:rFonts w:hint="eastAsia" w:ascii="宋体" w:hAnsi="宋体" w:eastAsia="宋体" w:cs="宋体"/>
          <w:sz w:val="21"/>
          <w:szCs w:val="21"/>
        </w:rPr>
        <w:t>同步到对应环境的查询库、分发库；定期</w:t>
      </w:r>
      <w:r>
        <w:rPr>
          <w:rFonts w:hint="eastAsia" w:ascii="宋体" w:hAnsi="宋体" w:eastAsia="宋体" w:cs="宋体"/>
          <w:sz w:val="21"/>
          <w:szCs w:val="21"/>
          <w:lang w:eastAsia="zh-CN"/>
        </w:rPr>
        <w:t>地</w:t>
      </w:r>
      <w:r>
        <w:rPr>
          <w:rFonts w:hint="eastAsia" w:ascii="宋体" w:hAnsi="宋体" w:eastAsia="宋体" w:cs="宋体"/>
          <w:sz w:val="21"/>
          <w:szCs w:val="21"/>
        </w:rPr>
        <w:t>从生产环境把业务类数据同步到测试环境。</w:t>
      </w:r>
    </w:p>
    <w:p w14:paraId="578EB99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涉及系统程序缺陷的，应在一个工作日内提交国家税务总局运维团队解决；涉及业务数据维护的，根据业务数据维护单进行处理，从接到业务数据维护单起，完成处理时间不能超过24小时，对于重大事件，应通过应急处理方案，组织驻场人员、中标人技术支持专家迅速解决。</w:t>
      </w:r>
    </w:p>
    <w:p w14:paraId="0CB9637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）因总局、</w:t>
      </w:r>
      <w:r>
        <w:rPr>
          <w:rFonts w:hint="eastAsia" w:ascii="宋体" w:hAnsi="宋体" w:eastAsia="宋体" w:cs="宋体"/>
          <w:sz w:val="21"/>
          <w:szCs w:val="21"/>
          <w:lang w:eastAsia="zh-CN"/>
        </w:rPr>
        <w:t>广西区</w:t>
      </w:r>
      <w:r>
        <w:rPr>
          <w:rFonts w:hint="eastAsia" w:ascii="宋体" w:hAnsi="宋体" w:eastAsia="宋体" w:cs="宋体"/>
          <w:sz w:val="21"/>
          <w:szCs w:val="21"/>
        </w:rPr>
        <w:t>政府政策法规变化引起的版本调整，完成业务技术方案讨论，并组织协调方案实施</w:t>
      </w:r>
      <w:r>
        <w:rPr>
          <w:rFonts w:hint="eastAsia" w:ascii="宋体" w:hAnsi="宋体" w:eastAsia="宋体" w:cs="宋体"/>
          <w:sz w:val="21"/>
          <w:szCs w:val="21"/>
          <w:lang w:eastAsia="zh-CN"/>
        </w:rPr>
        <w:t>。</w:t>
      </w:r>
    </w:p>
    <w:p w14:paraId="3C06E43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1）对总局政策法规变化引起的版本调整，与</w:t>
      </w:r>
      <w:r>
        <w:rPr>
          <w:rFonts w:hint="eastAsia" w:ascii="宋体" w:hAnsi="宋体" w:eastAsia="宋体" w:cs="宋体"/>
          <w:sz w:val="21"/>
          <w:szCs w:val="21"/>
          <w:lang w:eastAsia="zh-CN"/>
        </w:rPr>
        <w:t>采购人</w:t>
      </w:r>
      <w:r>
        <w:rPr>
          <w:rFonts w:hint="eastAsia" w:ascii="宋体" w:hAnsi="宋体" w:eastAsia="宋体" w:cs="宋体"/>
          <w:sz w:val="21"/>
          <w:szCs w:val="21"/>
        </w:rPr>
        <w:t>进行业务分析讨论，确认版本上线实施方案。</w:t>
      </w:r>
    </w:p>
    <w:p w14:paraId="3D71230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2）对本地特色需求，分析系统参数配置和系统处理业务的逻辑，确认需求</w:t>
      </w:r>
      <w:r>
        <w:rPr>
          <w:rFonts w:hint="eastAsia"/>
          <w:lang w:eastAsia="zh-CN"/>
        </w:rPr>
        <w:t>实现</w:t>
      </w:r>
      <w:r>
        <w:rPr>
          <w:rFonts w:hint="eastAsia" w:ascii="宋体" w:hAnsi="宋体" w:eastAsia="宋体" w:cs="宋体"/>
          <w:sz w:val="21"/>
          <w:szCs w:val="21"/>
        </w:rPr>
        <w:t>的可能性，同时分析参数配置的风险，系统参数配置。</w:t>
      </w:r>
    </w:p>
    <w:p w14:paraId="6444389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3）形成需求方案和工作计划安排，并编写相关技术文档。</w:t>
      </w:r>
    </w:p>
    <w:p w14:paraId="2B5FB2F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4）配合</w:t>
      </w:r>
      <w:r>
        <w:rPr>
          <w:rFonts w:hint="eastAsia" w:ascii="宋体" w:hAnsi="宋体" w:eastAsia="宋体" w:cs="宋体"/>
          <w:sz w:val="21"/>
          <w:szCs w:val="21"/>
          <w:lang w:eastAsia="zh-CN"/>
        </w:rPr>
        <w:t>区</w:t>
      </w:r>
      <w:r>
        <w:rPr>
          <w:rFonts w:hint="eastAsia" w:ascii="宋体" w:hAnsi="宋体" w:eastAsia="宋体" w:cs="宋体"/>
          <w:sz w:val="21"/>
          <w:szCs w:val="21"/>
        </w:rPr>
        <w:t>局完成，税务内部应用系统，外部门、国库、银行等横向部门之间的连通性测试，业务流程闭环测试。</w:t>
      </w:r>
    </w:p>
    <w:p w14:paraId="7CC6A8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5）工作执行中遇到的问题反馈、分析，上报系统优化问题，系统版本发布，系统测试验证。</w:t>
      </w:r>
    </w:p>
    <w:p w14:paraId="3A7EE97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6）工作完成后的汇报，并且监控系统数据质量。</w:t>
      </w:r>
    </w:p>
    <w:p w14:paraId="606E769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3</w:t>
      </w:r>
      <w:r>
        <w:rPr>
          <w:rFonts w:hint="eastAsia" w:ascii="宋体" w:hAnsi="宋体" w:eastAsia="宋体" w:cs="宋体"/>
          <w:sz w:val="21"/>
          <w:szCs w:val="21"/>
        </w:rPr>
        <w:t>培训服务</w:t>
      </w:r>
    </w:p>
    <w:p w14:paraId="16227B0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根据采购人要求，根据金税三期</w:t>
      </w:r>
      <w:r>
        <w:rPr>
          <w:rFonts w:hint="eastAsia" w:ascii="宋体" w:hAnsi="宋体" w:eastAsia="宋体" w:cs="宋体"/>
          <w:sz w:val="21"/>
          <w:szCs w:val="21"/>
          <w:lang w:eastAsia="zh-CN"/>
        </w:rPr>
        <w:t>核心征管</w:t>
      </w:r>
      <w:r>
        <w:rPr>
          <w:rFonts w:hint="eastAsia" w:ascii="宋体" w:hAnsi="宋体" w:eastAsia="宋体" w:cs="宋体"/>
          <w:sz w:val="21"/>
          <w:szCs w:val="21"/>
        </w:rPr>
        <w:t>系统</w:t>
      </w:r>
      <w:r>
        <w:rPr>
          <w:rFonts w:hint="eastAsia" w:ascii="宋体" w:hAnsi="宋体" w:eastAsia="宋体" w:cs="宋体"/>
          <w:sz w:val="21"/>
          <w:szCs w:val="21"/>
          <w:lang w:eastAsia="zh-CN"/>
        </w:rPr>
        <w:t>及出口退税系统</w:t>
      </w:r>
      <w:r>
        <w:rPr>
          <w:rFonts w:hint="eastAsia" w:ascii="宋体" w:hAnsi="宋体" w:eastAsia="宋体" w:cs="宋体"/>
          <w:sz w:val="21"/>
          <w:szCs w:val="21"/>
        </w:rPr>
        <w:t>业务变化，不定期培训相关技术和业务骨干人员。</w:t>
      </w:r>
    </w:p>
    <w:p w14:paraId="6283352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4</w:t>
      </w:r>
      <w:r>
        <w:rPr>
          <w:rFonts w:hint="eastAsia" w:ascii="宋体" w:hAnsi="宋体" w:eastAsia="宋体" w:cs="宋体"/>
          <w:sz w:val="21"/>
          <w:szCs w:val="21"/>
        </w:rPr>
        <w:t>突发事件处理</w:t>
      </w:r>
    </w:p>
    <w:p w14:paraId="7A29749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突发故障。处理时限应小于0.5个工作日（现场）或小于5个工作日（全程），具体问题的解决时间需要与</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共同决定。 </w:t>
      </w:r>
    </w:p>
    <w:p w14:paraId="184DAD5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一般问题（不影响日常操作）。处理时限应小于1个工作日（现场）或小于5个工作日（全程），具体问题的解决时间需要与</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及厂商相关人员共同决定。 </w:t>
      </w:r>
    </w:p>
    <w:p w14:paraId="220A7A2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注意：现场是指由现场维护人员完成工作的响应时间；全程是指，现场维护人员未能解决问题的情况下，安排公司相关的支持人员进行远程支持或者到现场完成工作解决问题的时间。</w:t>
      </w:r>
    </w:p>
    <w:p w14:paraId="5CCC266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5.</w:t>
      </w:r>
      <w:r>
        <w:rPr>
          <w:rFonts w:hint="eastAsia" w:ascii="宋体" w:hAnsi="宋体" w:eastAsia="宋体" w:cs="宋体"/>
          <w:sz w:val="21"/>
          <w:szCs w:val="21"/>
        </w:rPr>
        <w:t>系统版本发布</w:t>
      </w:r>
      <w:r>
        <w:rPr>
          <w:rFonts w:hint="eastAsia" w:ascii="宋体" w:hAnsi="宋体" w:eastAsia="宋体" w:cs="宋体"/>
          <w:sz w:val="21"/>
          <w:szCs w:val="21"/>
          <w:lang w:eastAsia="zh-CN"/>
        </w:rPr>
        <w:t>及</w:t>
      </w:r>
      <w:r>
        <w:rPr>
          <w:rFonts w:hint="eastAsia" w:ascii="宋体" w:hAnsi="宋体" w:eastAsia="宋体" w:cs="宋体"/>
          <w:sz w:val="21"/>
          <w:szCs w:val="21"/>
        </w:rPr>
        <w:t>协调管理</w:t>
      </w:r>
    </w:p>
    <w:p w14:paraId="1170FE3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系统版本发布</w:t>
      </w:r>
      <w:r>
        <w:rPr>
          <w:rFonts w:hint="eastAsia" w:ascii="宋体" w:hAnsi="宋体" w:eastAsia="宋体" w:cs="宋体"/>
          <w:sz w:val="21"/>
          <w:szCs w:val="21"/>
          <w:lang w:eastAsia="zh-CN"/>
        </w:rPr>
        <w:t>及</w:t>
      </w:r>
      <w:r>
        <w:rPr>
          <w:rFonts w:hint="eastAsia" w:ascii="宋体" w:hAnsi="宋体" w:eastAsia="宋体" w:cs="宋体"/>
          <w:sz w:val="21"/>
          <w:szCs w:val="21"/>
        </w:rPr>
        <w:t>协调管理第三方厂商版本升级发布、国家税务总局新建与保留软件与核心征管间关联关系分析、服务接口梳理以及组织第三方厂商联调测试等工作事宜，协调解决与金税三期系统个人税收管理、决策一包、决策二包和应用总集成之间相关问题。</w:t>
      </w:r>
    </w:p>
    <w:p w14:paraId="79CB082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3.1.</w:t>
      </w:r>
      <w:r>
        <w:rPr>
          <w:rFonts w:hint="eastAsia" w:ascii="宋体" w:hAnsi="宋体" w:eastAsia="宋体" w:cs="宋体"/>
          <w:sz w:val="21"/>
          <w:szCs w:val="21"/>
          <w:lang w:val="en-US" w:eastAsia="zh-CN"/>
        </w:rPr>
        <w:t>6</w:t>
      </w:r>
      <w:r>
        <w:rPr>
          <w:rFonts w:hint="eastAsia" w:ascii="宋体" w:hAnsi="宋体" w:eastAsia="宋体" w:cs="宋体"/>
          <w:sz w:val="21"/>
          <w:szCs w:val="21"/>
        </w:rPr>
        <w:t>系统运行保障</w:t>
      </w:r>
    </w:p>
    <w:p w14:paraId="5F464F7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（1）日常巡检</w:t>
      </w:r>
    </w:p>
    <w:p w14:paraId="0B9B09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区</w:t>
      </w:r>
      <w:r>
        <w:rPr>
          <w:rFonts w:hint="eastAsia" w:ascii="宋体" w:hAnsi="宋体" w:eastAsia="宋体" w:cs="宋体"/>
          <w:sz w:val="21"/>
          <w:szCs w:val="21"/>
        </w:rPr>
        <w:t>局分发库及总局副本库的同步情况检查，应用定时任务检查，应用的osb、ejb调用检查，应用消息</w:t>
      </w:r>
      <w:r>
        <w:rPr>
          <w:rFonts w:hint="eastAsia" w:ascii="宋体" w:hAnsi="宋体" w:cs="宋体"/>
          <w:sz w:val="21"/>
          <w:szCs w:val="21"/>
          <w:lang w:eastAsia="zh-CN"/>
        </w:rPr>
        <w:t>堆</w:t>
      </w:r>
      <w:r>
        <w:rPr>
          <w:rFonts w:hint="eastAsia" w:ascii="宋体" w:hAnsi="宋体" w:eastAsia="宋体" w:cs="宋体"/>
          <w:sz w:val="21"/>
          <w:szCs w:val="21"/>
        </w:rPr>
        <w:t>积情况检查。</w:t>
      </w:r>
    </w:p>
    <w:p w14:paraId="0E57E96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（2）系统升级</w:t>
      </w:r>
    </w:p>
    <w:p w14:paraId="7A8F61C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申请权限获取升级应用war包的复制、传输、更新，依据升级修改、添加、赋权给予配置文件，申请对数据库的操作（修改表结构、表参数、增加、删除数据等），申请对ogg进行关闭、开启等操作权限、对ogg操作，申请对应用的关闭、重启并操作停、开服务，升级预生产、生产环境、对预生产和生产的业务用例进行测试，工作流导入（需要工作流授权文件），</w:t>
      </w:r>
      <w:r>
        <w:rPr>
          <w:rFonts w:hint="eastAsia" w:ascii="宋体" w:hAnsi="宋体" w:eastAsia="宋体" w:cs="宋体"/>
          <w:sz w:val="21"/>
          <w:szCs w:val="21"/>
          <w:lang w:eastAsia="zh-CN"/>
        </w:rPr>
        <w:t>配合采购人完成</w:t>
      </w:r>
      <w:r>
        <w:rPr>
          <w:rFonts w:hint="eastAsia" w:ascii="宋体" w:hAnsi="宋体" w:eastAsia="宋体" w:cs="宋体"/>
          <w:sz w:val="21"/>
          <w:szCs w:val="21"/>
        </w:rPr>
        <w:t>中间件weblogic漏洞补丁升级、安全加固。</w:t>
      </w:r>
    </w:p>
    <w:p w14:paraId="34755E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（3）故障分析及处理</w:t>
      </w:r>
    </w:p>
    <w:p w14:paraId="155C96C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出现故障进行分析处理。对故障进行应用级排除，包括数据库、应用服务、服务总间、接口排除。配合</w:t>
      </w:r>
      <w:r>
        <w:rPr>
          <w:rFonts w:hint="eastAsia" w:ascii="宋体" w:hAnsi="宋体" w:eastAsia="宋体" w:cs="宋体"/>
          <w:sz w:val="21"/>
          <w:szCs w:val="21"/>
          <w:lang w:eastAsia="zh-CN"/>
        </w:rPr>
        <w:t>采购人</w:t>
      </w:r>
      <w:r>
        <w:rPr>
          <w:rFonts w:hint="eastAsia" w:ascii="宋体" w:hAnsi="宋体" w:eastAsia="宋体" w:cs="宋体"/>
          <w:sz w:val="21"/>
          <w:szCs w:val="21"/>
        </w:rPr>
        <w:t>进行数据库、应用系统、中间件、操作系统以及存储等软硬件基础</w:t>
      </w:r>
      <w:r>
        <w:rPr>
          <w:rFonts w:hint="eastAsia" w:ascii="宋体" w:hAnsi="宋体" w:eastAsia="宋体" w:cs="宋体"/>
          <w:sz w:val="21"/>
          <w:szCs w:val="21"/>
          <w:lang w:eastAsia="zh-CN"/>
        </w:rPr>
        <w:t>环境的</w:t>
      </w:r>
      <w:r>
        <w:rPr>
          <w:rFonts w:hint="eastAsia" w:ascii="宋体" w:hAnsi="宋体" w:eastAsia="宋体" w:cs="宋体"/>
          <w:sz w:val="21"/>
          <w:szCs w:val="21"/>
        </w:rPr>
        <w:t>问题排除。根据问题排除结果，对现场环境进行配置解决问题。根据问题排除结果，对检查出来的应用系统BUG，上报二线优化。</w:t>
      </w:r>
    </w:p>
    <w:p w14:paraId="1E5363A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（4）应用及数据库优化</w:t>
      </w:r>
    </w:p>
    <w:p w14:paraId="036A0F7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对现场性能问题进行检查，如果是基础环境问题，转交</w:t>
      </w:r>
      <w:r>
        <w:rPr>
          <w:rFonts w:hint="eastAsia" w:ascii="宋体" w:hAnsi="宋体" w:eastAsia="宋体" w:cs="宋体"/>
          <w:sz w:val="21"/>
          <w:szCs w:val="21"/>
          <w:lang w:eastAsia="zh-CN"/>
        </w:rPr>
        <w:t>采购人</w:t>
      </w:r>
      <w:r>
        <w:rPr>
          <w:rFonts w:hint="eastAsia" w:ascii="宋体" w:hAnsi="宋体" w:eastAsia="宋体" w:cs="宋体"/>
          <w:sz w:val="21"/>
          <w:szCs w:val="21"/>
        </w:rPr>
        <w:t>处理。对现场性能问题进行检查，如果是代码问题，提交二线进行代码级优化。</w:t>
      </w:r>
    </w:p>
    <w:p w14:paraId="5C651CB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（5）应急处理</w:t>
      </w:r>
    </w:p>
    <w:p w14:paraId="002BCF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出现应急问题时，根据实际情况出具应急方案并实施。</w:t>
      </w:r>
    </w:p>
    <w:p w14:paraId="687398F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（6）联调服务</w:t>
      </w:r>
    </w:p>
    <w:p w14:paraId="0A305E8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系统升级时需要和外围厂商的联调测试、其他厂商新接入系统的联调测试及上线配置。</w:t>
      </w:r>
    </w:p>
    <w:p w14:paraId="3F7C85B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（7）其他处理</w:t>
      </w:r>
    </w:p>
    <w:p w14:paraId="042B4FB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执行总局运维脚本，审计数据DMP导出与上报、总局监控对接和处理，总局云平台链路运维，协助</w:t>
      </w:r>
      <w:r>
        <w:rPr>
          <w:rFonts w:hint="eastAsia" w:ascii="宋体" w:hAnsi="宋体" w:eastAsia="宋体" w:cs="宋体"/>
          <w:sz w:val="21"/>
          <w:szCs w:val="21"/>
          <w:lang w:eastAsia="zh-CN"/>
        </w:rPr>
        <w:t>采购人</w:t>
      </w:r>
      <w:r>
        <w:rPr>
          <w:rFonts w:hint="eastAsia" w:ascii="宋体" w:hAnsi="宋体" w:eastAsia="宋体" w:cs="宋体"/>
          <w:sz w:val="21"/>
          <w:szCs w:val="21"/>
        </w:rPr>
        <w:t>进行网络调整、设备更换、</w:t>
      </w:r>
      <w:r>
        <w:rPr>
          <w:rFonts w:hint="eastAsia" w:ascii="宋体" w:hAnsi="宋体" w:eastAsia="宋体" w:cs="宋体"/>
          <w:sz w:val="21"/>
          <w:szCs w:val="21"/>
          <w:lang w:eastAsia="zh-CN"/>
        </w:rPr>
        <w:t>设备</w:t>
      </w:r>
      <w:r>
        <w:rPr>
          <w:rFonts w:hint="eastAsia" w:ascii="宋体" w:hAnsi="宋体" w:eastAsia="宋体" w:cs="宋体"/>
          <w:sz w:val="21"/>
          <w:szCs w:val="21"/>
        </w:rPr>
        <w:t>迁移、停机、攻防演练等工作，按要求进行系统压力测试，原国地税环境问题处理。</w:t>
      </w:r>
    </w:p>
    <w:p w14:paraId="7FE442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2"/>
        <w:rPr>
          <w:rFonts w:hint="eastAsia" w:ascii="宋体" w:hAnsi="宋体" w:eastAsia="宋体" w:cs="宋体"/>
          <w:b/>
          <w:bCs/>
          <w:sz w:val="21"/>
          <w:szCs w:val="21"/>
        </w:rPr>
      </w:pPr>
      <w:bookmarkStart w:id="6" w:name="_Toc8909"/>
      <w:r>
        <w:rPr>
          <w:rFonts w:hint="eastAsia" w:ascii="宋体" w:hAnsi="宋体" w:cs="宋体"/>
          <w:b/>
          <w:bCs/>
          <w:sz w:val="21"/>
          <w:szCs w:val="21"/>
          <w:lang w:val="en-US" w:eastAsia="zh-CN"/>
        </w:rPr>
        <w:t>3.2</w:t>
      </w:r>
      <w:r>
        <w:rPr>
          <w:rFonts w:hint="eastAsia" w:ascii="宋体" w:hAnsi="宋体" w:eastAsia="宋体" w:cs="宋体"/>
          <w:b/>
          <w:bCs/>
          <w:sz w:val="21"/>
          <w:szCs w:val="21"/>
        </w:rPr>
        <w:t>系统上线遗留问题处理</w:t>
      </w:r>
      <w:bookmarkEnd w:id="6"/>
    </w:p>
    <w:p w14:paraId="336DA8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核心征管系统及出口退税系统是总局统推系统，由于初始化采集配置、数据迁移</w:t>
      </w:r>
      <w:r>
        <w:rPr>
          <w:rFonts w:hint="eastAsia" w:ascii="宋体" w:hAnsi="宋体" w:eastAsia="宋体" w:cs="宋体"/>
          <w:sz w:val="21"/>
          <w:szCs w:val="21"/>
          <w:lang w:eastAsia="zh-CN"/>
        </w:rPr>
        <w:t>、系统流程重大调整</w:t>
      </w:r>
      <w:r>
        <w:rPr>
          <w:rFonts w:hint="eastAsia" w:ascii="宋体" w:hAnsi="宋体" w:eastAsia="宋体" w:cs="宋体"/>
          <w:sz w:val="21"/>
          <w:szCs w:val="21"/>
        </w:rPr>
        <w:t>等原因，系统中产生很多的错误数据，无法保证后续业务的正常办理；且因为是系统</w:t>
      </w:r>
      <w:r>
        <w:rPr>
          <w:rFonts w:hint="eastAsia" w:ascii="宋体" w:hAnsi="宋体" w:eastAsia="宋体" w:cs="宋体"/>
          <w:sz w:val="21"/>
          <w:szCs w:val="21"/>
          <w:lang w:eastAsia="zh-CN"/>
        </w:rPr>
        <w:t>在不断地根据需求进行修改、优化，业务功能、业务流程随着业务需求不断在变化。伴随着新功能、新需求上线运行，</w:t>
      </w:r>
      <w:r>
        <w:rPr>
          <w:rFonts w:hint="eastAsia" w:ascii="宋体" w:hAnsi="宋体" w:eastAsia="宋体" w:cs="宋体"/>
          <w:sz w:val="21"/>
          <w:szCs w:val="21"/>
        </w:rPr>
        <w:t>业务操作、系统运行以及接口调用过程中，将会暴露很多问题。</w:t>
      </w:r>
    </w:p>
    <w:p w14:paraId="55D5081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为了保障系统的稳定运行、确保问题及时有效处理，要求安排专业的运维人员在</w:t>
      </w: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驻场地点进行运维服务，对系统各类问题以及问题平台上的问题做及时响应。</w:t>
      </w:r>
    </w:p>
    <w:p w14:paraId="2F8F371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3.2.</w:t>
      </w:r>
      <w:r>
        <w:rPr>
          <w:rFonts w:hint="eastAsia" w:ascii="宋体" w:hAnsi="宋体" w:eastAsia="宋体" w:cs="宋体"/>
          <w:sz w:val="21"/>
          <w:szCs w:val="21"/>
          <w:lang w:val="en-US" w:eastAsia="zh-CN"/>
        </w:rPr>
        <w:t>1</w:t>
      </w:r>
      <w:r>
        <w:rPr>
          <w:rFonts w:hint="eastAsia" w:ascii="宋体" w:hAnsi="宋体" w:eastAsia="宋体" w:cs="宋体"/>
          <w:sz w:val="21"/>
          <w:szCs w:val="21"/>
        </w:rPr>
        <w:t>错误数据修改</w:t>
      </w:r>
    </w:p>
    <w:p w14:paraId="45CC4ED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因初始化、数据迁移、</w:t>
      </w:r>
      <w:r>
        <w:rPr>
          <w:rFonts w:hint="eastAsia" w:ascii="宋体" w:hAnsi="宋体" w:eastAsia="宋体" w:cs="宋体"/>
          <w:sz w:val="21"/>
          <w:szCs w:val="21"/>
          <w:lang w:eastAsia="zh-CN"/>
        </w:rPr>
        <w:t>业务流程重大调整</w:t>
      </w:r>
      <w:r>
        <w:rPr>
          <w:rFonts w:hint="eastAsia" w:ascii="宋体" w:hAnsi="宋体" w:eastAsia="宋体" w:cs="宋体"/>
          <w:sz w:val="21"/>
          <w:szCs w:val="21"/>
        </w:rPr>
        <w:t>等，导致系统存在错误数据，影响业务办理，要求运维人员根据</w:t>
      </w:r>
      <w:r>
        <w:rPr>
          <w:rFonts w:hint="eastAsia" w:ascii="宋体" w:hAnsi="宋体" w:eastAsia="宋体" w:cs="宋体"/>
          <w:sz w:val="21"/>
          <w:szCs w:val="21"/>
          <w:lang w:eastAsia="zh-CN"/>
        </w:rPr>
        <w:t>区</w:t>
      </w:r>
      <w:r>
        <w:rPr>
          <w:rFonts w:hint="eastAsia" w:ascii="宋体" w:hAnsi="宋体" w:eastAsia="宋体" w:cs="宋体"/>
          <w:sz w:val="21"/>
          <w:szCs w:val="21"/>
        </w:rPr>
        <w:t>局主管部门的要求，走数据运维程序，批量修改错误数据；同时对错误数据进行分析，找到问题的根本原因，避免重复错误数据的产生，如果是参数配置不合理的，修改初始化配置；如果是程序问题的，上报二线修复。修复补丁发布后，对问题进行测试验证、跟踪反馈。</w:t>
      </w:r>
    </w:p>
    <w:p w14:paraId="3F713BA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3.2.</w:t>
      </w:r>
      <w:r>
        <w:rPr>
          <w:rFonts w:hint="eastAsia" w:ascii="宋体" w:hAnsi="宋体" w:eastAsia="宋体" w:cs="宋体"/>
          <w:sz w:val="21"/>
          <w:szCs w:val="21"/>
          <w:lang w:val="en-US" w:eastAsia="zh-CN"/>
        </w:rPr>
        <w:t>2</w:t>
      </w:r>
      <w:r>
        <w:rPr>
          <w:rFonts w:hint="eastAsia" w:ascii="宋体" w:hAnsi="宋体" w:eastAsia="宋体" w:cs="宋体"/>
          <w:sz w:val="21"/>
          <w:szCs w:val="21"/>
        </w:rPr>
        <w:t>系统问题分析跟踪处理</w:t>
      </w:r>
    </w:p>
    <w:p w14:paraId="1FD7929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系统</w:t>
      </w:r>
      <w:r>
        <w:rPr>
          <w:rFonts w:hint="eastAsia" w:ascii="宋体" w:hAnsi="宋体" w:eastAsia="宋体" w:cs="宋体"/>
          <w:sz w:val="21"/>
          <w:szCs w:val="21"/>
          <w:lang w:eastAsia="zh-CN"/>
        </w:rPr>
        <w:t>新功能、新需求</w:t>
      </w:r>
      <w:r>
        <w:rPr>
          <w:rFonts w:hint="eastAsia" w:ascii="宋体" w:hAnsi="宋体" w:eastAsia="宋体" w:cs="宋体"/>
          <w:sz w:val="21"/>
          <w:szCs w:val="21"/>
        </w:rPr>
        <w:t>上线后，系统在运行过程中，产生的问题较多，需要安排对</w:t>
      </w:r>
      <w:r>
        <w:rPr>
          <w:rFonts w:hint="eastAsia" w:ascii="宋体" w:hAnsi="宋体" w:eastAsia="宋体" w:cs="宋体"/>
          <w:sz w:val="21"/>
          <w:szCs w:val="21"/>
          <w:lang w:eastAsia="zh-CN"/>
        </w:rPr>
        <w:t>核心征管系统及</w:t>
      </w:r>
      <w:r>
        <w:rPr>
          <w:rFonts w:hint="eastAsia" w:ascii="宋体" w:hAnsi="宋体" w:eastAsia="宋体" w:cs="宋体"/>
          <w:sz w:val="21"/>
          <w:szCs w:val="21"/>
        </w:rPr>
        <w:t>出口退税系统熟悉的人员来保障系统稳定。同时对各个渠道提出的问题进行分析、处理、跟踪。</w:t>
      </w:r>
    </w:p>
    <w:p w14:paraId="75E826C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系统</w:t>
      </w:r>
      <w:r>
        <w:rPr>
          <w:rFonts w:hint="eastAsia" w:ascii="宋体" w:hAnsi="宋体" w:eastAsia="宋体" w:cs="宋体"/>
          <w:sz w:val="21"/>
          <w:szCs w:val="21"/>
          <w:lang w:eastAsia="zh-CN"/>
        </w:rPr>
        <w:t>新功能、新需求</w:t>
      </w:r>
      <w:r>
        <w:rPr>
          <w:rFonts w:hint="eastAsia" w:ascii="宋体" w:hAnsi="宋体" w:eastAsia="宋体" w:cs="宋体"/>
          <w:sz w:val="21"/>
          <w:szCs w:val="21"/>
        </w:rPr>
        <w:t>上线后，由于接口本身问题导致接口调用异常，以及接口写入的错误数据问题，要求运维人员对该类问题进行分析、处理，并且走数据运维流程，批量修改错误数据。如果是</w:t>
      </w:r>
      <w:r>
        <w:rPr>
          <w:rFonts w:hint="eastAsia" w:ascii="宋体" w:hAnsi="宋体" w:eastAsia="宋体" w:cs="宋体"/>
          <w:sz w:val="21"/>
          <w:szCs w:val="21"/>
          <w:lang w:eastAsia="zh-CN"/>
        </w:rPr>
        <w:t>接</w:t>
      </w:r>
      <w:r>
        <w:rPr>
          <w:rFonts w:hint="eastAsia" w:ascii="宋体" w:hAnsi="宋体" w:eastAsia="宋体" w:cs="宋体"/>
          <w:sz w:val="21"/>
          <w:szCs w:val="21"/>
        </w:rPr>
        <w:t>口问题，上报总部开发团队优化，补丁发布后，进行测试，确保线上业务的正常、顺畅办理，以提高纳税服务质量。</w:t>
      </w:r>
    </w:p>
    <w:p w14:paraId="2D6DCBA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2"/>
        <w:rPr>
          <w:rFonts w:hint="eastAsia" w:ascii="宋体" w:hAnsi="宋体" w:eastAsia="宋体" w:cs="宋体"/>
          <w:b/>
          <w:bCs/>
          <w:sz w:val="21"/>
          <w:szCs w:val="21"/>
        </w:rPr>
      </w:pPr>
      <w:bookmarkStart w:id="7" w:name="_Toc6733"/>
      <w:r>
        <w:rPr>
          <w:rFonts w:hint="eastAsia" w:ascii="宋体" w:hAnsi="宋体" w:cs="宋体"/>
          <w:b/>
          <w:bCs/>
          <w:sz w:val="21"/>
          <w:szCs w:val="21"/>
          <w:lang w:val="en-US" w:eastAsia="zh-CN"/>
        </w:rPr>
        <w:t>3.3</w:t>
      </w:r>
      <w:r>
        <w:rPr>
          <w:rFonts w:hint="eastAsia" w:ascii="宋体" w:hAnsi="宋体" w:eastAsia="宋体" w:cs="宋体"/>
          <w:b/>
          <w:bCs/>
          <w:sz w:val="21"/>
          <w:szCs w:val="21"/>
        </w:rPr>
        <w:t>核心分发库及同步链路维护</w:t>
      </w:r>
      <w:bookmarkEnd w:id="7"/>
    </w:p>
    <w:p w14:paraId="0B8262C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分发库及同步链路，是把区局数据同步至总局的关键点，分发库及同步链路的正常运行，是确保总局云平台、总局副本库数据同步的基础，与区局绩效考核挂钩。</w:t>
      </w:r>
    </w:p>
    <w:p w14:paraId="783D046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在2020年度，核心征管分发库</w:t>
      </w:r>
      <w:r>
        <w:rPr>
          <w:rFonts w:hint="eastAsia" w:ascii="宋体" w:hAnsi="宋体" w:eastAsia="宋体" w:cs="宋体"/>
          <w:sz w:val="21"/>
          <w:szCs w:val="21"/>
          <w:lang w:eastAsia="zh-CN"/>
        </w:rPr>
        <w:t>在同步核心征管系统数据的基础上</w:t>
      </w:r>
      <w:r>
        <w:rPr>
          <w:rFonts w:hint="eastAsia" w:ascii="宋体" w:hAnsi="宋体" w:eastAsia="宋体" w:cs="宋体"/>
          <w:sz w:val="21"/>
          <w:szCs w:val="21"/>
        </w:rPr>
        <w:t>，新增社保费征收子系统、社保费管理子系统、社保费税银子系统、社保费共享平台、</w:t>
      </w: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好差评系统的数据同步链路</w:t>
      </w:r>
      <w:r>
        <w:rPr>
          <w:rFonts w:hint="eastAsia" w:ascii="宋体" w:hAnsi="宋体" w:eastAsia="宋体" w:cs="宋体"/>
          <w:sz w:val="21"/>
          <w:szCs w:val="21"/>
          <w:lang w:eastAsia="zh-CN"/>
        </w:rPr>
        <w:t>，把数据同步至总局云平台及总结副本库。</w:t>
      </w:r>
      <w:r>
        <w:rPr>
          <w:rFonts w:hint="eastAsia" w:ascii="宋体" w:hAnsi="宋体" w:eastAsia="宋体" w:cs="宋体"/>
          <w:sz w:val="21"/>
          <w:szCs w:val="21"/>
        </w:rPr>
        <w:t>同时在2021年起</w:t>
      </w:r>
      <w:r>
        <w:rPr>
          <w:rFonts w:hint="eastAsia" w:ascii="宋体" w:hAnsi="宋体" w:eastAsia="宋体" w:cs="宋体"/>
          <w:sz w:val="21"/>
          <w:szCs w:val="21"/>
          <w:lang w:eastAsia="zh-CN"/>
        </w:rPr>
        <w:t>，</w:t>
      </w:r>
      <w:r>
        <w:rPr>
          <w:rFonts w:hint="eastAsia" w:ascii="宋体" w:hAnsi="宋体" w:eastAsia="宋体" w:cs="宋体"/>
          <w:sz w:val="21"/>
          <w:szCs w:val="21"/>
        </w:rPr>
        <w:t>总局要求各省加强对分发库的同步链路检查和保障工作，确保</w:t>
      </w:r>
      <w:r>
        <w:rPr>
          <w:rFonts w:hint="eastAsia" w:ascii="宋体" w:hAnsi="宋体" w:eastAsia="宋体" w:cs="宋体"/>
          <w:sz w:val="21"/>
          <w:szCs w:val="21"/>
          <w:lang w:eastAsia="zh-CN"/>
        </w:rPr>
        <w:t>区局</w:t>
      </w:r>
      <w:r>
        <w:rPr>
          <w:rFonts w:hint="eastAsia" w:ascii="宋体" w:hAnsi="宋体" w:eastAsia="宋体" w:cs="宋体"/>
          <w:sz w:val="21"/>
          <w:szCs w:val="21"/>
        </w:rPr>
        <w:t>数据同步总局时不出现问题，要求安排驻场人员，对分发库的同步链路进行不定时检查和维护。</w:t>
      </w:r>
    </w:p>
    <w:p w14:paraId="0DF6313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3.3.</w:t>
      </w:r>
      <w:r>
        <w:rPr>
          <w:rFonts w:hint="eastAsia" w:ascii="宋体" w:hAnsi="宋体" w:eastAsia="宋体" w:cs="宋体"/>
          <w:sz w:val="21"/>
          <w:szCs w:val="21"/>
          <w:lang w:val="en-US" w:eastAsia="zh-CN"/>
        </w:rPr>
        <w:t>1</w:t>
      </w:r>
      <w:r>
        <w:rPr>
          <w:rFonts w:hint="eastAsia" w:ascii="宋体" w:hAnsi="宋体" w:eastAsia="宋体" w:cs="宋体"/>
          <w:sz w:val="21"/>
          <w:szCs w:val="21"/>
        </w:rPr>
        <w:t>日常检查维护</w:t>
      </w:r>
    </w:p>
    <w:p w14:paraId="0539B0A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核心征管分发库，负责同步</w:t>
      </w: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核心征管系统</w:t>
      </w:r>
      <w:r>
        <w:rPr>
          <w:rFonts w:hint="eastAsia" w:ascii="宋体" w:hAnsi="宋体" w:eastAsia="宋体" w:cs="宋体"/>
          <w:sz w:val="21"/>
          <w:szCs w:val="21"/>
          <w:lang w:eastAsia="zh-CN"/>
        </w:rPr>
        <w:t>、出口退税系统</w:t>
      </w:r>
      <w:r>
        <w:rPr>
          <w:rFonts w:hint="eastAsia" w:ascii="宋体" w:hAnsi="宋体" w:eastAsia="宋体" w:cs="宋体"/>
          <w:sz w:val="21"/>
          <w:szCs w:val="21"/>
        </w:rPr>
        <w:t>、社保费相关系统以及好差评系统的数据</w:t>
      </w:r>
      <w:r>
        <w:rPr>
          <w:rFonts w:hint="eastAsia" w:ascii="宋体" w:hAnsi="宋体" w:eastAsia="宋体" w:cs="宋体"/>
          <w:sz w:val="21"/>
          <w:szCs w:val="21"/>
          <w:lang w:eastAsia="zh-CN"/>
        </w:rPr>
        <w:t>到</w:t>
      </w:r>
      <w:r>
        <w:rPr>
          <w:rFonts w:hint="eastAsia" w:ascii="宋体" w:hAnsi="宋体" w:eastAsia="宋体" w:cs="宋体"/>
          <w:sz w:val="21"/>
          <w:szCs w:val="21"/>
        </w:rPr>
        <w:t>总局，为了确保同步链路正常，且当链路出现异常时，能够快速有效处理，需要安排技术人员不定时对分发库链路进行检查，当链路出现异常时，协调各个系统厂商以及总局云平台负责人，分析链路异常原因，出具处理方案，快速解决链路问题。</w:t>
      </w:r>
    </w:p>
    <w:p w14:paraId="3206614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3.3.</w:t>
      </w:r>
      <w:r>
        <w:rPr>
          <w:rFonts w:hint="eastAsia" w:ascii="宋体" w:hAnsi="宋体" w:eastAsia="宋体" w:cs="宋体"/>
          <w:sz w:val="21"/>
          <w:szCs w:val="21"/>
          <w:lang w:val="en-US" w:eastAsia="zh-CN"/>
        </w:rPr>
        <w:t>2</w:t>
      </w:r>
      <w:r>
        <w:rPr>
          <w:rFonts w:hint="eastAsia" w:ascii="宋体" w:hAnsi="宋体" w:eastAsia="宋体" w:cs="宋体"/>
          <w:sz w:val="21"/>
          <w:szCs w:val="21"/>
        </w:rPr>
        <w:t>升级检查维护</w:t>
      </w:r>
    </w:p>
    <w:p w14:paraId="03AB3AC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核心征管分发库同步数据，涉及应用系统以及同步链路较多，每个系统版本升级时，均需要根据各系统的升级情况，对分发库表结构进行同步变更，同时对链路配置进行刷新日志文件，确保链路和数据同步正常。</w:t>
      </w:r>
    </w:p>
    <w:p w14:paraId="040F0EF3">
      <w:pPr>
        <w:pStyle w:val="6"/>
        <w:keepNext w:val="0"/>
        <w:keepLines w:val="0"/>
        <w:pageBreakBefore w:val="0"/>
        <w:widowControl w:val="0"/>
        <w:kinsoku/>
        <w:wordWrap/>
        <w:overflowPunct w:val="0"/>
        <w:topLinePunct w:val="0"/>
        <w:autoSpaceDE w:val="0"/>
        <w:autoSpaceDN w:val="0"/>
        <w:bidi w:val="0"/>
        <w:adjustRightInd w:val="0"/>
        <w:snapToGrid w:val="0"/>
        <w:spacing w:after="0" w:line="360" w:lineRule="auto"/>
        <w:ind w:firstLine="422" w:firstLineChars="200"/>
        <w:jc w:val="both"/>
        <w:textAlignment w:val="baseline"/>
        <w:outlineLvl w:val="2"/>
        <w:rPr>
          <w:rFonts w:hint="eastAsia" w:ascii="宋体" w:hAnsi="宋体" w:eastAsia="宋体" w:cs="宋体"/>
          <w:sz w:val="21"/>
          <w:szCs w:val="21"/>
          <w:lang w:eastAsia="zh-CN"/>
        </w:rPr>
      </w:pPr>
      <w:bookmarkStart w:id="8" w:name="_Toc51"/>
      <w:r>
        <w:rPr>
          <w:rFonts w:hint="eastAsia" w:ascii="宋体" w:hAnsi="宋体" w:cs="宋体"/>
          <w:sz w:val="21"/>
          <w:szCs w:val="21"/>
          <w:lang w:val="en-US" w:eastAsia="zh-CN"/>
        </w:rPr>
        <w:t>3.4</w:t>
      </w:r>
      <w:r>
        <w:rPr>
          <w:rFonts w:hint="eastAsia" w:ascii="宋体" w:hAnsi="宋体" w:eastAsia="宋体" w:cs="宋体"/>
          <w:sz w:val="21"/>
          <w:szCs w:val="21"/>
          <w:lang w:eastAsia="zh-CN"/>
        </w:rPr>
        <w:t>与金税四期相关系统关联关系维护</w:t>
      </w:r>
      <w:bookmarkEnd w:id="8"/>
    </w:p>
    <w:p w14:paraId="13532B9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至2024年期间，总局统推了电子发票服务平台、税智撑平台、全国统一规范电子税务局、智慧办公平台、乐企等金税四期相关系统，与金税三期核心征管系统有着密切关联关系，金税三期核心征管通过接口或者数据链路的方式，获取金税四期系统加工的业务数据；同时金税四期系统通过应用接口和数据链路的方式，同步金税三期相关系统的数据。为了确保金税三期、四期相关系统的业务正常办理，需要安排专业技术人员，配合金税四期系统运维人员分析应用接口、数据链路的相关异常问题，保障应用接口、数据链路的稳定运行。</w:t>
      </w:r>
    </w:p>
    <w:p w14:paraId="548BDEB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lang w:eastAsia="zh-CN"/>
        </w:rPr>
      </w:pPr>
      <w:r>
        <w:rPr>
          <w:rFonts w:hint="eastAsia" w:ascii="宋体" w:hAnsi="宋体" w:cs="宋体"/>
          <w:sz w:val="21"/>
          <w:szCs w:val="21"/>
          <w:lang w:val="en-US" w:eastAsia="zh-CN"/>
        </w:rPr>
        <w:t>3.4.</w:t>
      </w:r>
      <w:r>
        <w:rPr>
          <w:rFonts w:hint="eastAsia" w:ascii="宋体" w:hAnsi="宋体" w:eastAsia="宋体" w:cs="宋体"/>
          <w:sz w:val="21"/>
          <w:szCs w:val="21"/>
          <w:lang w:val="en-US" w:eastAsia="zh-CN"/>
        </w:rPr>
        <w:t>1接口调用分析及处理</w:t>
      </w:r>
    </w:p>
    <w:p w14:paraId="6C14EE0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当金税三期核心征管系统及出口退税系统与金税四期系统间调用出现异常时，金税四期系统运维技术人员相互配合，完成调用接口的分析检查，找到问题原因，出具处理方案，并根据处理方案，在采购人同意的情况下，对问题进行处置；如果是系统问题，上报二线及开发处理，并对问题进行跟踪和反馈给采购人；如果是金税四期系统问题，反馈给金税四期系统运维人员分析及处理。</w:t>
      </w:r>
    </w:p>
    <w:p w14:paraId="144BFB8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lang w:val="en-US" w:eastAsia="zh-CN"/>
        </w:rPr>
      </w:pPr>
      <w:r>
        <w:rPr>
          <w:rFonts w:hint="eastAsia" w:ascii="宋体" w:hAnsi="宋体" w:cs="宋体"/>
          <w:sz w:val="21"/>
          <w:szCs w:val="21"/>
          <w:lang w:val="en-US" w:eastAsia="zh-CN"/>
        </w:rPr>
        <w:t>3.4.</w:t>
      </w:r>
      <w:r>
        <w:rPr>
          <w:rFonts w:hint="eastAsia" w:ascii="宋体" w:hAnsi="宋体" w:eastAsia="宋体" w:cs="宋体"/>
          <w:sz w:val="21"/>
          <w:szCs w:val="21"/>
          <w:lang w:val="en-US" w:eastAsia="zh-CN"/>
        </w:rPr>
        <w:t>2数据链路维护</w:t>
      </w:r>
    </w:p>
    <w:p w14:paraId="5F66FF1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eastAsia="zh-CN"/>
        </w:rPr>
        <w:t>金税三期核心征管系统及出口退税系统的数据，主要通过</w:t>
      </w:r>
      <w:r>
        <w:rPr>
          <w:rFonts w:hint="eastAsia" w:ascii="宋体" w:hAnsi="宋体" w:eastAsia="宋体" w:cs="宋体"/>
          <w:sz w:val="21"/>
          <w:szCs w:val="21"/>
          <w:lang w:val="en-US" w:eastAsia="zh-CN"/>
        </w:rPr>
        <w:t>KAFKA工具同步的方式，同步给金税四期系统，为了确保数据链路运行正常、及时，需要安排技术人员对数据链路进行定时检查；当链路出现异常时，及时分析异常原因，并对异常进行快速有效处理，确保金税四期相关系统数据及时同步，保障金税三期系统及金税四期系统稳定运行。</w:t>
      </w:r>
    </w:p>
    <w:p w14:paraId="590A0A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lang w:val="en-US" w:eastAsia="zh-CN"/>
        </w:rPr>
      </w:pPr>
      <w:r>
        <w:rPr>
          <w:rFonts w:hint="eastAsia" w:ascii="宋体" w:hAnsi="宋体" w:cs="宋体"/>
          <w:sz w:val="21"/>
          <w:szCs w:val="21"/>
          <w:lang w:val="en-US" w:eastAsia="zh-CN"/>
        </w:rPr>
        <w:t>3.4.</w:t>
      </w:r>
      <w:r>
        <w:rPr>
          <w:rFonts w:hint="eastAsia" w:ascii="宋体" w:hAnsi="宋体" w:eastAsia="宋体" w:cs="宋体"/>
          <w:sz w:val="21"/>
          <w:szCs w:val="21"/>
          <w:lang w:val="en-US" w:eastAsia="zh-CN"/>
        </w:rPr>
        <w:t>3数据分析及修改</w:t>
      </w:r>
    </w:p>
    <w:p w14:paraId="6675C51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eastAsia="zh-CN"/>
        </w:rPr>
        <w:t>根据问题分析及排查结果，因数据异常导致金税四期系统业务阻断时，需安排技术人员对异常数据进行分析，找出异常数据产生的原因，并提交给二线和开发优化、修改程序，确保不再产生同样的错误数据。同时在不影响本身系统的情况下，出具数据修改方案，走数据运维流程，并根据方案对数据进行修改，修改后通知金税四期系统运维人员，对数据进行验证。</w:t>
      </w:r>
    </w:p>
    <w:p w14:paraId="77316BD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rPr>
      </w:pPr>
      <w:bookmarkStart w:id="9" w:name="_Toc12998"/>
      <w:r>
        <w:rPr>
          <w:rFonts w:hint="eastAsia" w:ascii="宋体" w:hAnsi="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服务方式</w:t>
      </w:r>
      <w:bookmarkEnd w:id="9"/>
    </w:p>
    <w:p w14:paraId="7308436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要求安排服务人员进驻采购人指定地点提供现场服务，通过建立健全科学高效的运维服务机制，综合采用热线电话、QQ服务群、邮箱和运维平台等方式提供运维服务。</w:t>
      </w:r>
    </w:p>
    <w:p w14:paraId="3078C77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sz w:val="21"/>
          <w:szCs w:val="21"/>
        </w:rPr>
      </w:pPr>
      <w:bookmarkStart w:id="10" w:name="_Toc20973"/>
      <w:r>
        <w:rPr>
          <w:rFonts w:hint="eastAsia" w:ascii="宋体" w:hAnsi="宋体" w:cs="宋体"/>
          <w:b/>
          <w:bCs/>
          <w:sz w:val="21"/>
          <w:szCs w:val="21"/>
          <w:lang w:val="en-US" w:eastAsia="zh-CN"/>
        </w:rPr>
        <w:t>5</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w:t>
      </w:r>
      <w:r>
        <w:rPr>
          <w:rFonts w:hint="eastAsia" w:ascii="宋体" w:hAnsi="宋体" w:eastAsia="宋体" w:cs="宋体"/>
          <w:b/>
          <w:bCs/>
          <w:sz w:val="21"/>
          <w:szCs w:val="21"/>
          <w:lang w:eastAsia="zh-CN"/>
        </w:rPr>
        <w:t>期限、</w:t>
      </w:r>
      <w:r>
        <w:rPr>
          <w:rFonts w:hint="eastAsia" w:ascii="宋体" w:hAnsi="宋体" w:eastAsia="宋体" w:cs="宋体"/>
          <w:b/>
          <w:bCs/>
          <w:sz w:val="21"/>
          <w:szCs w:val="21"/>
        </w:rPr>
        <w:t>地点</w:t>
      </w:r>
      <w:bookmarkEnd w:id="10"/>
    </w:p>
    <w:p w14:paraId="6E5F6D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服务期限：</w:t>
      </w:r>
      <w:r>
        <w:rPr>
          <w:rFonts w:hint="eastAsia" w:ascii="宋体" w:hAnsi="宋体" w:eastAsia="宋体" w:cs="宋体"/>
          <w:sz w:val="21"/>
          <w:szCs w:val="21"/>
          <w:highlight w:val="none"/>
          <w:lang w:val="en-US" w:eastAsia="zh-CN"/>
        </w:rPr>
        <w:t>1年（因新系统上线或采购内容需要调整等重大变故，采购人有权提前终止合同执行，费用按实际服务时间和考核结果结算，不视为采购人违约）</w:t>
      </w:r>
    </w:p>
    <w:p w14:paraId="0B351CB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服务地点：广西壮族自治区税务局民族办公区和园湖办公区（南宁市青秀区民族大道105号、园湖南路26号）</w:t>
      </w:r>
      <w:r>
        <w:rPr>
          <w:rFonts w:hint="eastAsia" w:ascii="宋体" w:hAnsi="宋体" w:eastAsia="宋体" w:cs="宋体"/>
          <w:sz w:val="21"/>
          <w:szCs w:val="21"/>
          <w:highlight w:val="none"/>
        </w:rPr>
        <w:t>。</w:t>
      </w:r>
    </w:p>
    <w:p w14:paraId="7A635C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rPr>
      </w:pPr>
      <w:bookmarkStart w:id="11" w:name="_Toc25797"/>
      <w:r>
        <w:rPr>
          <w:rFonts w:hint="eastAsia" w:ascii="宋体" w:hAnsi="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服务要求</w:t>
      </w:r>
      <w:bookmarkEnd w:id="11"/>
    </w:p>
    <w:p w14:paraId="0A85A65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提高运维效率</w:t>
      </w:r>
    </w:p>
    <w:p w14:paraId="7F565CA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定期进行业务和技术培训</w:t>
      </w:r>
      <w:r>
        <w:rPr>
          <w:rFonts w:hint="eastAsia" w:ascii="宋体" w:hAnsi="宋体" w:eastAsia="宋体" w:cs="宋体"/>
          <w:sz w:val="21"/>
          <w:szCs w:val="21"/>
          <w:lang w:eastAsia="zh-CN"/>
        </w:rPr>
        <w:t>，</w:t>
      </w:r>
      <w:r>
        <w:rPr>
          <w:rFonts w:hint="eastAsia" w:ascii="宋体" w:hAnsi="宋体" w:eastAsia="宋体" w:cs="宋体"/>
          <w:sz w:val="21"/>
          <w:szCs w:val="21"/>
        </w:rPr>
        <w:t>建立健全有效的运维机制，提高运维人员的业务水平和问题定位、跟踪、处理效率。</w:t>
      </w:r>
    </w:p>
    <w:p w14:paraId="45250AD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办结时效</w:t>
      </w:r>
    </w:p>
    <w:p w14:paraId="1B47E47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运维平台问题单处理，咨询类要求当天办结，一般问题</w:t>
      </w:r>
      <w:r>
        <w:rPr>
          <w:rFonts w:hint="eastAsia" w:ascii="宋体" w:hAnsi="宋体" w:eastAsia="宋体" w:cs="宋体"/>
          <w:sz w:val="21"/>
          <w:szCs w:val="21"/>
          <w:lang w:val="en-US" w:eastAsia="zh-CN"/>
        </w:rPr>
        <w:t>3个</w:t>
      </w:r>
      <w:r>
        <w:rPr>
          <w:rFonts w:hint="eastAsia" w:ascii="宋体" w:hAnsi="宋体" w:eastAsia="宋体" w:cs="宋体"/>
          <w:sz w:val="21"/>
          <w:szCs w:val="21"/>
        </w:rPr>
        <w:t>工作日内办结，复杂问题5个工作日内办结，如果超过时限要求的，按要求报送相关业务部门，并说明原因。</w:t>
      </w:r>
    </w:p>
    <w:p w14:paraId="4B5DCEF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操作问题。处理时限应小于0.5个工作日（现场）或小于2个工作日（全程）   </w:t>
      </w:r>
    </w:p>
    <w:p w14:paraId="72E9E34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程序错误。处理时限应小于3个工作日（现场）或小于5个工作日（全程），需要在现场根据实际数据跟踪，来发现程序的缺陷，视实际情况有条件</w:t>
      </w:r>
      <w:r>
        <w:rPr>
          <w:rFonts w:hint="eastAsia" w:ascii="宋体" w:hAnsi="宋体" w:eastAsia="宋体" w:cs="宋体"/>
          <w:sz w:val="21"/>
          <w:szCs w:val="21"/>
          <w:lang w:eastAsia="zh-CN"/>
        </w:rPr>
        <w:t>地</w:t>
      </w:r>
      <w:r>
        <w:rPr>
          <w:rFonts w:hint="eastAsia" w:ascii="宋体" w:hAnsi="宋体" w:eastAsia="宋体" w:cs="宋体"/>
          <w:sz w:val="21"/>
          <w:szCs w:val="21"/>
        </w:rPr>
        <w:t xml:space="preserve">解决问题。 </w:t>
      </w:r>
    </w:p>
    <w:p w14:paraId="353B812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业务问题。现场支持人员不对响应时间</w:t>
      </w:r>
      <w:r>
        <w:rPr>
          <w:rFonts w:hint="eastAsia" w:ascii="宋体" w:hAnsi="宋体" w:eastAsia="宋体" w:cs="宋体"/>
          <w:sz w:val="21"/>
          <w:szCs w:val="21"/>
          <w:lang w:eastAsia="zh-CN"/>
        </w:rPr>
        <w:t>作出</w:t>
      </w:r>
      <w:r>
        <w:rPr>
          <w:rFonts w:hint="eastAsia" w:ascii="宋体" w:hAnsi="宋体" w:eastAsia="宋体" w:cs="宋体"/>
          <w:sz w:val="21"/>
          <w:szCs w:val="21"/>
        </w:rPr>
        <w:t xml:space="preserve">承诺，针对紧急问题必须在当日给出响应，并予解决。 </w:t>
      </w:r>
    </w:p>
    <w:p w14:paraId="276B0E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升级说明。处理时限应小于2个工作日。   </w:t>
      </w:r>
    </w:p>
    <w:p w14:paraId="1F33F4E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数据修改。处理时限应小于2个工作日（现场）。   </w:t>
      </w:r>
    </w:p>
    <w:p w14:paraId="7D184BC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注意：现场是指由现场维护人员完成工作的响应时间；全程是指，现场维护人员未能解决问题的情况下，安排公司相关的支持人员进行远程支持或者到现场完成工作解决问题的时间。</w:t>
      </w:r>
    </w:p>
    <w:p w14:paraId="605AC0D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工作时间要求</w:t>
      </w:r>
    </w:p>
    <w:p w14:paraId="46ECDD8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工作日，工程师提供日常5*8小时驻场技术服务；非工作日，</w:t>
      </w:r>
      <w:r>
        <w:rPr>
          <w:rFonts w:hint="eastAsia" w:ascii="宋体" w:hAnsi="宋体" w:eastAsia="宋体" w:cs="宋体"/>
          <w:color w:val="000000"/>
          <w:sz w:val="21"/>
          <w:szCs w:val="21"/>
          <w:highlight w:val="none"/>
          <w:shd w:val="clear" w:color="auto" w:fill="auto"/>
          <w:lang w:val="en-US" w:eastAsia="zh-Hans"/>
        </w:rPr>
        <w:t>提供</w:t>
      </w:r>
      <w:r>
        <w:rPr>
          <w:rFonts w:hint="eastAsia" w:ascii="宋体" w:hAnsi="宋体" w:eastAsia="宋体" w:cs="宋体"/>
          <w:color w:val="000000"/>
          <w:sz w:val="21"/>
          <w:szCs w:val="21"/>
          <w:highlight w:val="none"/>
          <w:shd w:val="clear" w:color="auto" w:fill="auto"/>
          <w:lang w:eastAsia="zh-Hans"/>
        </w:rPr>
        <w:t>7*24</w:t>
      </w:r>
      <w:r>
        <w:rPr>
          <w:rFonts w:hint="eastAsia" w:ascii="宋体" w:hAnsi="宋体" w:eastAsia="宋体" w:cs="宋体"/>
          <w:color w:val="000000"/>
          <w:sz w:val="21"/>
          <w:szCs w:val="21"/>
          <w:highlight w:val="none"/>
          <w:shd w:val="clear" w:color="auto" w:fill="auto"/>
          <w:lang w:val="en-US" w:eastAsia="zh-Hans"/>
        </w:rPr>
        <w:t>小时电话远程支持服务</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eastAsia="宋体" w:cs="宋体"/>
          <w:color w:val="000000"/>
          <w:sz w:val="21"/>
          <w:szCs w:val="21"/>
          <w:shd w:val="clear" w:color="auto" w:fill="auto"/>
        </w:rPr>
        <w:t>中</w:t>
      </w:r>
      <w:r>
        <w:rPr>
          <w:rFonts w:hint="eastAsia" w:ascii="宋体" w:hAnsi="宋体" w:eastAsia="宋体" w:cs="宋体"/>
          <w:sz w:val="21"/>
          <w:szCs w:val="21"/>
          <w:shd w:val="clear" w:color="auto" w:fill="auto"/>
        </w:rPr>
        <w:t>标人必须</w:t>
      </w:r>
      <w:r>
        <w:rPr>
          <w:rFonts w:hint="eastAsia" w:ascii="宋体" w:hAnsi="宋体" w:eastAsia="宋体" w:cs="宋体"/>
          <w:sz w:val="21"/>
          <w:szCs w:val="21"/>
        </w:rPr>
        <w:t>按照采购人要求提供运维服务，可以采用远程方式提供服务，但对于远程方式不能解决处理的必须按照要求及时提供现场服务；法定节假日期间，中标人需在放假最后一天安排人员对本项目涉及</w:t>
      </w:r>
      <w:r>
        <w:rPr>
          <w:rFonts w:hint="eastAsia" w:ascii="宋体" w:hAnsi="宋体" w:eastAsia="宋体" w:cs="宋体"/>
          <w:sz w:val="21"/>
          <w:szCs w:val="21"/>
          <w:lang w:eastAsia="zh-CN"/>
        </w:rPr>
        <w:t>应用</w:t>
      </w:r>
      <w:r>
        <w:rPr>
          <w:rFonts w:hint="eastAsia" w:ascii="宋体" w:hAnsi="宋体" w:eastAsia="宋体" w:cs="宋体"/>
          <w:sz w:val="21"/>
          <w:szCs w:val="21"/>
        </w:rPr>
        <w:t>环境进行全面检查，及时解决存在的问题，确保收假后正常上班期间本项目</w:t>
      </w:r>
      <w:r>
        <w:rPr>
          <w:rFonts w:hint="eastAsia" w:ascii="宋体" w:hAnsi="宋体" w:eastAsia="宋体" w:cs="宋体"/>
          <w:sz w:val="21"/>
          <w:szCs w:val="21"/>
          <w:lang w:eastAsia="zh-CN"/>
        </w:rPr>
        <w:t>应用</w:t>
      </w:r>
      <w:r>
        <w:rPr>
          <w:rFonts w:hint="eastAsia" w:ascii="宋体" w:hAnsi="宋体" w:eastAsia="宋体" w:cs="宋体"/>
          <w:sz w:val="21"/>
          <w:szCs w:val="21"/>
        </w:rPr>
        <w:t>环境的正常运行。</w:t>
      </w:r>
    </w:p>
    <w:p w14:paraId="31EE411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rPr>
      </w:pPr>
      <w:bookmarkStart w:id="12" w:name="_Toc23683"/>
      <w:r>
        <w:rPr>
          <w:rFonts w:hint="eastAsia" w:ascii="宋体" w:hAnsi="宋体" w:cs="宋体"/>
          <w:b/>
          <w:bCs/>
          <w:sz w:val="21"/>
          <w:szCs w:val="21"/>
          <w:lang w:val="en-US" w:eastAsia="zh-CN"/>
        </w:rPr>
        <w:t>7</w:t>
      </w:r>
      <w:r>
        <w:rPr>
          <w:rFonts w:hint="eastAsia" w:ascii="宋体" w:hAnsi="宋体" w:eastAsia="宋体" w:cs="宋体"/>
          <w:b/>
          <w:bCs/>
          <w:sz w:val="21"/>
          <w:szCs w:val="21"/>
          <w:lang w:eastAsia="zh-CN"/>
        </w:rPr>
        <w:t>、</w:t>
      </w:r>
      <w:r>
        <w:rPr>
          <w:rFonts w:hint="eastAsia" w:ascii="宋体" w:hAnsi="宋体" w:eastAsia="宋体" w:cs="宋体"/>
          <w:b/>
          <w:bCs/>
          <w:sz w:val="21"/>
          <w:szCs w:val="21"/>
        </w:rPr>
        <w:t>组织架构</w:t>
      </w:r>
      <w:bookmarkEnd w:id="12"/>
    </w:p>
    <w:p w14:paraId="0768CD5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为保证金税三期的正常运行，</w:t>
      </w:r>
      <w:r>
        <w:rPr>
          <w:rFonts w:hint="eastAsia" w:ascii="宋体" w:hAnsi="宋体" w:eastAsia="宋体" w:cs="宋体"/>
          <w:sz w:val="21"/>
          <w:szCs w:val="21"/>
          <w:lang w:eastAsia="zh-CN"/>
        </w:rPr>
        <w:t>中标人</w:t>
      </w:r>
      <w:r>
        <w:rPr>
          <w:rFonts w:hint="eastAsia" w:ascii="宋体" w:hAnsi="宋体" w:eastAsia="宋体" w:cs="宋体"/>
          <w:sz w:val="21"/>
          <w:szCs w:val="21"/>
        </w:rPr>
        <w:t>必须选派有丰富经验的专业人员，组建现场、二线、开发在内的三级专业运维团队。</w:t>
      </w:r>
    </w:p>
    <w:p w14:paraId="53FCB85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rPr>
      </w:pPr>
      <w:bookmarkStart w:id="13" w:name="_Toc8426"/>
      <w:r>
        <w:rPr>
          <w:rFonts w:hint="eastAsia" w:ascii="宋体" w:hAnsi="宋体" w:cs="宋体"/>
          <w:sz w:val="21"/>
          <w:szCs w:val="21"/>
          <w:lang w:val="en-US" w:eastAsia="zh-CN"/>
        </w:rPr>
        <w:t>7.1</w:t>
      </w:r>
      <w:r>
        <w:rPr>
          <w:rFonts w:hint="eastAsia" w:ascii="宋体" w:hAnsi="宋体" w:eastAsia="宋体" w:cs="宋体"/>
          <w:sz w:val="21"/>
          <w:szCs w:val="21"/>
        </w:rPr>
        <w:t>二线运维</w:t>
      </w:r>
      <w:bookmarkEnd w:id="13"/>
    </w:p>
    <w:p w14:paraId="4CD02A0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二线运维人员主要负责接收来自现场运维人员提交的问题进行分析并同公司总部需求及开发进行沟通，以此辅助现场运维解决问题。</w:t>
      </w:r>
    </w:p>
    <w:p w14:paraId="7535A43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主要有以下几方面的运维工作内容：</w:t>
      </w:r>
    </w:p>
    <w:p w14:paraId="42E28C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rPr>
        <w:t>分析各单位提报的程序类、需求类问题，进一步核实问题要素，如问题要素不足或存疑的，需将问题转派现场运维团队处理或积极进行核实；</w:t>
      </w:r>
    </w:p>
    <w:p w14:paraId="42F4142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分析核实各单位提报的问题是否已经解决，如果已经解决，则填写解决方案和解决日期（指版本出厂日期），并将问题转派现场运维团队；</w:t>
      </w:r>
    </w:p>
    <w:p w14:paraId="29F093F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对问题进行去重处理，重复类问题不需要再转派开发团队，将重复问题赋予重复问题编号，要求问题管理平台支持通过问题编号将重复问题进行关联，自动刷新关联问题状态。</w:t>
      </w:r>
    </w:p>
    <w:p w14:paraId="60BD6F5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工作日将</w:t>
      </w:r>
      <w:r>
        <w:rPr>
          <w:rFonts w:hint="eastAsia" w:ascii="宋体" w:hAnsi="宋体" w:eastAsia="宋体" w:cs="宋体"/>
          <w:sz w:val="21"/>
          <w:szCs w:val="21"/>
          <w:lang w:eastAsia="zh-CN"/>
        </w:rPr>
        <w:t>接收到</w:t>
      </w:r>
      <w:r>
        <w:rPr>
          <w:rFonts w:hint="eastAsia" w:ascii="宋体" w:hAnsi="宋体" w:eastAsia="宋体" w:cs="宋体"/>
          <w:sz w:val="21"/>
          <w:szCs w:val="21"/>
        </w:rPr>
        <w:t>的问题要素正确完整的非重复类、未解决的问题转派需求设计开发团队，并跟踪问题的后续处理情况，需要跟踪的处理情况包括：</w:t>
      </w:r>
    </w:p>
    <w:p w14:paraId="72C0676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a）跟踪需求、设计开发制定解决方案和明确完成时间；</w:t>
      </w:r>
    </w:p>
    <w:p w14:paraId="76218B3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b）跟踪设计开发是否按照计划解决相关问题</w:t>
      </w:r>
      <w:r>
        <w:rPr>
          <w:rFonts w:hint="eastAsia" w:ascii="宋体" w:hAnsi="宋体" w:eastAsia="宋体" w:cs="宋体"/>
          <w:sz w:val="21"/>
          <w:szCs w:val="21"/>
          <w:lang w:eastAsia="zh-CN"/>
        </w:rPr>
        <w:t>。</w:t>
      </w:r>
    </w:p>
    <w:p w14:paraId="4D29204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平台中流转至二线各岗位名下的问题，原则上最晚在第二个工作日下班前处理完成，不能及时处理的，向负责人提交情况说明；</w:t>
      </w:r>
    </w:p>
    <w:p w14:paraId="3BD125D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对</w:t>
      </w:r>
      <w:r>
        <w:rPr>
          <w:rFonts w:hint="eastAsia" w:ascii="宋体" w:hAnsi="宋体" w:eastAsia="宋体" w:cs="宋体"/>
          <w:sz w:val="21"/>
          <w:szCs w:val="21"/>
          <w:lang w:eastAsia="zh-CN"/>
        </w:rPr>
        <w:t>采购人</w:t>
      </w:r>
      <w:r>
        <w:rPr>
          <w:rFonts w:hint="eastAsia" w:ascii="宋体" w:hAnsi="宋体" w:eastAsia="宋体" w:cs="宋体"/>
          <w:sz w:val="21"/>
          <w:szCs w:val="21"/>
        </w:rPr>
        <w:t>提报的紧急问题、对系统运行产生较大范围影响的问题，进行及时反馈和跟踪处理。</w:t>
      </w:r>
    </w:p>
    <w:p w14:paraId="36A9FEF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rPr>
      </w:pPr>
      <w:bookmarkStart w:id="14" w:name="_Toc23422"/>
      <w:r>
        <w:rPr>
          <w:rFonts w:hint="eastAsia" w:ascii="宋体" w:hAnsi="宋体" w:cs="宋体"/>
          <w:sz w:val="21"/>
          <w:szCs w:val="21"/>
          <w:lang w:val="en-US" w:eastAsia="zh-CN"/>
        </w:rPr>
        <w:t>7.2</w:t>
      </w:r>
      <w:r>
        <w:rPr>
          <w:rFonts w:hint="eastAsia" w:ascii="宋体" w:hAnsi="宋体" w:eastAsia="宋体" w:cs="宋体"/>
          <w:sz w:val="21"/>
          <w:szCs w:val="21"/>
        </w:rPr>
        <w:t>现场运维</w:t>
      </w:r>
      <w:bookmarkEnd w:id="14"/>
    </w:p>
    <w:p w14:paraId="62DA6B6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lang w:val="en-US" w:eastAsia="zh-CN"/>
        </w:rPr>
        <w:t>1</w:t>
      </w:r>
      <w:r>
        <w:rPr>
          <w:rFonts w:hint="eastAsia" w:ascii="宋体" w:hAnsi="宋体" w:eastAsia="宋体" w:cs="宋体"/>
          <w:sz w:val="21"/>
          <w:szCs w:val="21"/>
        </w:rPr>
        <w:t>项目经理岗</w:t>
      </w:r>
    </w:p>
    <w:p w14:paraId="5692BCE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运维项目经理是运维目标能否实现、运维质量保障的核心人员。</w:t>
      </w:r>
    </w:p>
    <w:p w14:paraId="57C89AD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项目经理通过协调</w:t>
      </w:r>
      <w:r>
        <w:rPr>
          <w:rFonts w:hint="eastAsia" w:ascii="宋体" w:hAnsi="宋体" w:eastAsia="宋体" w:cs="宋体"/>
          <w:sz w:val="21"/>
          <w:szCs w:val="21"/>
          <w:lang w:eastAsia="zh-CN"/>
        </w:rPr>
        <w:t>采购人</w:t>
      </w:r>
      <w:r>
        <w:rPr>
          <w:rFonts w:hint="eastAsia" w:ascii="宋体" w:hAnsi="宋体" w:eastAsia="宋体" w:cs="宋体"/>
          <w:sz w:val="21"/>
          <w:szCs w:val="21"/>
        </w:rPr>
        <w:t>、公司、外部厂商相关人员，使得金税三期系统运行得到保障，运作中的问题得到解决；</w:t>
      </w:r>
    </w:p>
    <w:p w14:paraId="5567282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项目经理通过有效</w:t>
      </w:r>
      <w:r>
        <w:rPr>
          <w:rFonts w:hint="eastAsia" w:ascii="宋体" w:hAnsi="宋体" w:eastAsia="宋体" w:cs="宋体"/>
          <w:sz w:val="21"/>
          <w:szCs w:val="21"/>
          <w:lang w:eastAsia="zh-CN"/>
        </w:rPr>
        <w:t>地</w:t>
      </w:r>
      <w:r>
        <w:rPr>
          <w:rFonts w:hint="eastAsia" w:ascii="宋体" w:hAnsi="宋体" w:eastAsia="宋体" w:cs="宋体"/>
          <w:sz w:val="21"/>
          <w:szCs w:val="21"/>
        </w:rPr>
        <w:t>组织团队成员，对运维工作中处理的问题进行分配、跟踪、监督、检查，使得每个问题得到优质解决，以保证每个问题得到及时响应解决，而不影响大厅前台操作人员的操作使用和各关联外围系统的稳定运行；</w:t>
      </w:r>
    </w:p>
    <w:p w14:paraId="5C90F22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项目经理通过定期向</w:t>
      </w:r>
      <w:r>
        <w:rPr>
          <w:rFonts w:hint="eastAsia" w:ascii="宋体" w:hAnsi="宋体" w:eastAsia="宋体" w:cs="宋体"/>
          <w:sz w:val="21"/>
          <w:szCs w:val="21"/>
          <w:lang w:eastAsia="zh-CN"/>
        </w:rPr>
        <w:t>采购人</w:t>
      </w:r>
      <w:r>
        <w:rPr>
          <w:rFonts w:hint="eastAsia" w:ascii="宋体" w:hAnsi="宋体" w:eastAsia="宋体" w:cs="宋体"/>
          <w:sz w:val="21"/>
          <w:szCs w:val="21"/>
        </w:rPr>
        <w:t>领导、公司上级领导汇报运维工作情况、进展，对运维项目工作中发现的问题和风险进行及时提出风险报告，对各种风险做到早发现、早解决，使得问题的要规避。</w:t>
      </w:r>
    </w:p>
    <w:p w14:paraId="7E8C6C5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项目经理通过同公司沟通，使得公司相关信息资源能让</w:t>
      </w:r>
      <w:r>
        <w:rPr>
          <w:rFonts w:hint="eastAsia" w:ascii="宋体" w:hAnsi="宋体" w:eastAsia="宋体" w:cs="宋体"/>
          <w:sz w:val="21"/>
          <w:szCs w:val="21"/>
          <w:lang w:eastAsia="zh-CN"/>
        </w:rPr>
        <w:t>采购人</w:t>
      </w:r>
      <w:r>
        <w:rPr>
          <w:rFonts w:hint="eastAsia" w:ascii="宋体" w:hAnsi="宋体" w:eastAsia="宋体" w:cs="宋体"/>
          <w:sz w:val="21"/>
          <w:szCs w:val="21"/>
        </w:rPr>
        <w:t>和运维团队成员使用。</w:t>
      </w:r>
    </w:p>
    <w:p w14:paraId="10A80AD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lang w:val="en-US" w:eastAsia="zh-CN"/>
        </w:rPr>
        <w:t>2</w:t>
      </w:r>
      <w:r>
        <w:rPr>
          <w:rFonts w:hint="eastAsia" w:ascii="宋体" w:hAnsi="宋体" w:eastAsia="宋体" w:cs="宋体"/>
          <w:sz w:val="21"/>
          <w:szCs w:val="21"/>
        </w:rPr>
        <w:t>问题处理岗</w:t>
      </w:r>
    </w:p>
    <w:p w14:paraId="20C10E2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现场运维人员根据各渠道接收全区各单位各部门使用系统人员所提交的问题进行及时分析、有效处理。</w:t>
      </w:r>
    </w:p>
    <w:p w14:paraId="11CBA33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问题分析和处理、编制操作手册、数据运维、培训服务、数据交换、协调解决与各个系统之间相关问题、配合</w:t>
      </w:r>
      <w:r>
        <w:rPr>
          <w:rFonts w:hint="eastAsia" w:ascii="宋体" w:hAnsi="宋体" w:eastAsia="宋体" w:cs="宋体"/>
          <w:sz w:val="21"/>
          <w:szCs w:val="21"/>
          <w:lang w:eastAsia="zh-CN"/>
        </w:rPr>
        <w:t>采购人</w:t>
      </w:r>
      <w:r>
        <w:rPr>
          <w:rFonts w:hint="eastAsia" w:ascii="宋体" w:hAnsi="宋体" w:eastAsia="宋体" w:cs="宋体"/>
          <w:sz w:val="21"/>
          <w:szCs w:val="21"/>
        </w:rPr>
        <w:t>进行业务需求分析、配合</w:t>
      </w:r>
      <w:r>
        <w:rPr>
          <w:rFonts w:hint="eastAsia" w:ascii="宋体" w:hAnsi="宋体" w:eastAsia="宋体" w:cs="宋体"/>
          <w:sz w:val="21"/>
          <w:szCs w:val="21"/>
          <w:lang w:eastAsia="zh-CN"/>
        </w:rPr>
        <w:t>采购人</w:t>
      </w:r>
      <w:r>
        <w:rPr>
          <w:rFonts w:hint="eastAsia" w:ascii="宋体" w:hAnsi="宋体" w:eastAsia="宋体" w:cs="宋体"/>
          <w:sz w:val="21"/>
          <w:szCs w:val="21"/>
        </w:rPr>
        <w:t>制订业务处理方案、完成版本发布后的测试验证工作，并形成测试文档、解答用户测试、操作所遇到的问题、制定问题管理流程、业务问题反馈和上报等工作、与二线运维沟通、处理现场无法解决的问题。</w:t>
      </w:r>
    </w:p>
    <w:p w14:paraId="485F5FC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（1）申报组</w:t>
      </w:r>
    </w:p>
    <w:p w14:paraId="5190E13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配合</w:t>
      </w:r>
      <w:r>
        <w:rPr>
          <w:rFonts w:hint="eastAsia" w:ascii="宋体" w:hAnsi="宋体" w:eastAsia="宋体" w:cs="宋体"/>
          <w:sz w:val="21"/>
          <w:szCs w:val="21"/>
          <w:lang w:eastAsia="zh-CN"/>
        </w:rPr>
        <w:t>采购人</w:t>
      </w:r>
      <w:r>
        <w:rPr>
          <w:rFonts w:hint="eastAsia" w:ascii="宋体" w:hAnsi="宋体" w:eastAsia="宋体" w:cs="宋体"/>
          <w:sz w:val="21"/>
          <w:szCs w:val="21"/>
        </w:rPr>
        <w:t>处理通用申报、企业所得税申报、增值税申报、房产税申报等申报类问题。</w:t>
      </w:r>
    </w:p>
    <w:p w14:paraId="7A4B5F1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（2）征收、票证组</w:t>
      </w:r>
    </w:p>
    <w:p w14:paraId="3E8D2B4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配合</w:t>
      </w:r>
      <w:r>
        <w:rPr>
          <w:rFonts w:hint="eastAsia" w:ascii="宋体" w:hAnsi="宋体" w:eastAsia="宋体" w:cs="宋体"/>
          <w:sz w:val="21"/>
          <w:szCs w:val="21"/>
          <w:lang w:eastAsia="zh-CN"/>
        </w:rPr>
        <w:t>采购人</w:t>
      </w:r>
      <w:r>
        <w:rPr>
          <w:rFonts w:hint="eastAsia" w:ascii="宋体" w:hAnsi="宋体" w:eastAsia="宋体" w:cs="宋体"/>
          <w:sz w:val="21"/>
          <w:szCs w:val="21"/>
        </w:rPr>
        <w:t>处理税款征收、出口退税、开票过程中遇到的问题，处理票证使用过程中遇到的相关问题。</w:t>
      </w:r>
    </w:p>
    <w:p w14:paraId="400FB17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（3）登记、认定、优惠组</w:t>
      </w:r>
    </w:p>
    <w:p w14:paraId="5DDE9D9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处理与工商数据交换、税费中认定、税款优惠认定过程中遇到的各类问题。</w:t>
      </w:r>
    </w:p>
    <w:p w14:paraId="6FD7C32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（4）发票组</w:t>
      </w:r>
    </w:p>
    <w:p w14:paraId="379CFF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与各部门密切配合，分析、处理纳税人在代开发票申请、发票开具过程中遇到的问题，处理与发票2.0系统间的数据交换问题。</w:t>
      </w:r>
    </w:p>
    <w:p w14:paraId="5F3DCB2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（5）稽查、法制组</w:t>
      </w:r>
    </w:p>
    <w:p w14:paraId="3762FE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分析和处理税务机关在对纳税人进行违法行为登记、立案、审查、处罚过程中遇到的操作类和数据问题。</w:t>
      </w:r>
    </w:p>
    <w:p w14:paraId="5B32E37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（6）证明、会统、评估审计、综合</w:t>
      </w:r>
    </w:p>
    <w:p w14:paraId="312D5BA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分析和处理</w:t>
      </w:r>
      <w:r>
        <w:rPr>
          <w:rFonts w:hint="eastAsia" w:ascii="宋体" w:hAnsi="宋体" w:eastAsia="宋体" w:cs="宋体"/>
          <w:sz w:val="21"/>
          <w:szCs w:val="21"/>
          <w:lang w:eastAsia="zh-CN"/>
        </w:rPr>
        <w:t>税务机关在办理</w:t>
      </w:r>
      <w:r>
        <w:rPr>
          <w:rFonts w:hint="eastAsia" w:ascii="宋体" w:hAnsi="宋体" w:eastAsia="宋体" w:cs="宋体"/>
          <w:sz w:val="21"/>
          <w:szCs w:val="21"/>
        </w:rPr>
        <w:t>证明、会统、评估审计、综合</w:t>
      </w:r>
      <w:r>
        <w:rPr>
          <w:rFonts w:hint="eastAsia" w:ascii="宋体" w:hAnsi="宋体" w:eastAsia="宋体" w:cs="宋体"/>
          <w:sz w:val="21"/>
          <w:szCs w:val="21"/>
          <w:lang w:eastAsia="zh-CN"/>
        </w:rPr>
        <w:t>业务时</w:t>
      </w:r>
      <w:r>
        <w:rPr>
          <w:rFonts w:hint="eastAsia" w:ascii="宋体" w:hAnsi="宋体" w:eastAsia="宋体" w:cs="宋体"/>
          <w:sz w:val="21"/>
          <w:szCs w:val="21"/>
        </w:rPr>
        <w:t>遇到的操作类和数据问题。</w:t>
      </w:r>
    </w:p>
    <w:p w14:paraId="50AABBD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（7）出口退税组</w:t>
      </w:r>
    </w:p>
    <w:p w14:paraId="423530B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对税务人员以及</w:t>
      </w:r>
      <w:r>
        <w:rPr>
          <w:rFonts w:hint="eastAsia" w:ascii="宋体" w:hAnsi="宋体" w:eastAsia="宋体" w:cs="宋体"/>
          <w:sz w:val="21"/>
          <w:szCs w:val="21"/>
          <w:lang w:eastAsia="zh-CN"/>
        </w:rPr>
        <w:t>区局</w:t>
      </w:r>
      <w:r>
        <w:rPr>
          <w:rFonts w:hint="eastAsia" w:ascii="宋体" w:hAnsi="宋体" w:eastAsia="宋体" w:cs="宋体"/>
          <w:sz w:val="21"/>
          <w:szCs w:val="21"/>
        </w:rPr>
        <w:t>处室提出的出口退税问题进行分析、处理、跟踪，对电子税务局出口退税系统与出口退税系统</w:t>
      </w:r>
      <w:r>
        <w:rPr>
          <w:rFonts w:hint="eastAsia" w:ascii="宋体" w:hAnsi="宋体" w:cs="宋体"/>
          <w:sz w:val="21"/>
          <w:szCs w:val="21"/>
          <w:lang w:eastAsia="zh-CN"/>
        </w:rPr>
        <w:t>之间</w:t>
      </w:r>
      <w:r>
        <w:rPr>
          <w:rFonts w:hint="eastAsia" w:ascii="宋体" w:hAnsi="宋体" w:eastAsia="宋体" w:cs="宋体"/>
          <w:sz w:val="21"/>
          <w:szCs w:val="21"/>
        </w:rPr>
        <w:t>的数据交互、接口调用问题进行排查处理，对电子税务局出口退税系统写入的错误数据进行调整，以确保数据符合金三业务规则，保证后续业务正常办理。</w:t>
      </w:r>
    </w:p>
    <w:p w14:paraId="6E8254C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）系统运行保障组</w:t>
      </w:r>
    </w:p>
    <w:p w14:paraId="6FC387F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负责系统版本发布、协调管理第三方厂商版本升级发布、国家税务总局新建与保留软件与核心征管间关联关系分析、服务接口梳理以及组织第三方厂商联调测试等工作事宜。</w:t>
      </w:r>
    </w:p>
    <w:p w14:paraId="39B52F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负责系统的日常巡检、系统升级、故障分析及处理、应用及数据库优化、应急处理、联调服务等工作，配合总局及区局完成审计数据导出与上报、网络攻防演习、机房调整等工作。</w:t>
      </w:r>
    </w:p>
    <w:p w14:paraId="5EA9B0D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lang w:val="en-US" w:eastAsia="zh-CN"/>
        </w:rPr>
        <w:t>3</w:t>
      </w:r>
      <w:r>
        <w:rPr>
          <w:rFonts w:hint="eastAsia" w:ascii="宋体" w:hAnsi="宋体" w:eastAsia="宋体" w:cs="宋体"/>
          <w:sz w:val="21"/>
          <w:szCs w:val="21"/>
        </w:rPr>
        <w:t>专项服务岗</w:t>
      </w:r>
    </w:p>
    <w:p w14:paraId="3A92488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当国家税务总局税收政策发生变化，核心征管、出口退税业务流程发生调整时，应用运维人员应第一时间了解核心征管、出口退税业务流程调整内容，结合本地实际业务情况，充分考虑系统升级带来的数据逻辑的调整、涉及历史数据的衔接、业务办理的变化。发起专题会议，与采购人共同分析讨论征管业务执行方法和流程。</w:t>
      </w:r>
    </w:p>
    <w:p w14:paraId="4D0B18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lang w:val="en-US" w:eastAsia="zh-CN"/>
        </w:rPr>
        <w:t>4</w:t>
      </w:r>
      <w:r>
        <w:rPr>
          <w:rFonts w:hint="eastAsia" w:ascii="宋体" w:hAnsi="宋体" w:eastAsia="宋体" w:cs="宋体"/>
          <w:sz w:val="21"/>
          <w:szCs w:val="21"/>
        </w:rPr>
        <w:t>数据</w:t>
      </w:r>
      <w:r>
        <w:rPr>
          <w:rFonts w:hint="eastAsia" w:ascii="宋体" w:hAnsi="宋体" w:eastAsia="宋体" w:cs="宋体"/>
          <w:sz w:val="21"/>
          <w:szCs w:val="21"/>
          <w:lang w:eastAsia="zh-CN"/>
        </w:rPr>
        <w:t>链路</w:t>
      </w:r>
      <w:r>
        <w:rPr>
          <w:rFonts w:hint="eastAsia" w:ascii="宋体" w:hAnsi="宋体" w:eastAsia="宋体" w:cs="宋体"/>
          <w:sz w:val="21"/>
          <w:szCs w:val="21"/>
        </w:rPr>
        <w:t>岗</w:t>
      </w:r>
    </w:p>
    <w:p w14:paraId="03A030F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eastAsia="宋体" w:cs="宋体"/>
          <w:sz w:val="21"/>
          <w:szCs w:val="21"/>
          <w:lang w:eastAsia="zh-CN"/>
        </w:rPr>
        <w:t>负责分发库及数据链路维护，负责与金税四期系统间的接口调用分析、数据同步保障工作，处理分发库和数据链路的异常问题，并及时报告总局项目组、金税四期项目组，协调总局项目组和金税四期项目组一起排查和处理，避免因异常导致区局被考核扣分情况出现</w:t>
      </w:r>
      <w:r>
        <w:rPr>
          <w:rFonts w:hint="eastAsia" w:ascii="宋体" w:hAnsi="宋体" w:eastAsia="宋体" w:cs="宋体"/>
          <w:sz w:val="21"/>
          <w:szCs w:val="21"/>
        </w:rPr>
        <w:t>。</w:t>
      </w:r>
    </w:p>
    <w:p w14:paraId="236FEF3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rPr>
      </w:pPr>
      <w:bookmarkStart w:id="15" w:name="_Toc13404"/>
      <w:r>
        <w:rPr>
          <w:rFonts w:hint="eastAsia" w:ascii="宋体" w:hAnsi="宋体" w:cs="宋体"/>
          <w:sz w:val="21"/>
          <w:szCs w:val="21"/>
          <w:lang w:val="en-US" w:eastAsia="zh-CN"/>
        </w:rPr>
        <w:t>7.3</w:t>
      </w:r>
      <w:r>
        <w:rPr>
          <w:rFonts w:hint="eastAsia" w:ascii="宋体" w:hAnsi="宋体" w:eastAsia="宋体" w:cs="宋体"/>
          <w:sz w:val="21"/>
          <w:szCs w:val="21"/>
        </w:rPr>
        <w:t>人员要求</w:t>
      </w:r>
      <w:bookmarkEnd w:id="15"/>
    </w:p>
    <w:p w14:paraId="0464B73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7.3.</w:t>
      </w:r>
      <w:r>
        <w:rPr>
          <w:rFonts w:hint="eastAsia" w:ascii="宋体" w:hAnsi="宋体" w:eastAsia="宋体" w:cs="宋体"/>
          <w:sz w:val="21"/>
          <w:szCs w:val="21"/>
          <w:lang w:val="en-US" w:eastAsia="zh-CN"/>
        </w:rPr>
        <w:t>1</w:t>
      </w:r>
      <w:r>
        <w:rPr>
          <w:rFonts w:hint="eastAsia" w:ascii="宋体" w:hAnsi="宋体" w:eastAsia="宋体" w:cs="宋体"/>
          <w:sz w:val="21"/>
          <w:szCs w:val="21"/>
        </w:rPr>
        <w:t>驻场人员数量与技能要求</w:t>
      </w:r>
    </w:p>
    <w:p w14:paraId="2A29019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本项目要求驻场运维人员16名。驻场人员应具有计算机相关专业</w:t>
      </w:r>
      <w:r>
        <w:rPr>
          <w:rFonts w:hint="eastAsia" w:ascii="宋体" w:hAnsi="宋体" w:eastAsia="宋体" w:cs="宋体"/>
          <w:sz w:val="21"/>
          <w:szCs w:val="21"/>
          <w:lang w:eastAsia="zh-CN"/>
        </w:rPr>
        <w:t>专科</w:t>
      </w:r>
      <w:r>
        <w:rPr>
          <w:rFonts w:hint="eastAsia" w:ascii="宋体" w:hAnsi="宋体" w:eastAsia="宋体" w:cs="宋体"/>
          <w:sz w:val="21"/>
          <w:szCs w:val="21"/>
        </w:rPr>
        <w:t>及以上学历人员，</w:t>
      </w:r>
      <w:r>
        <w:rPr>
          <w:rFonts w:hint="eastAsia" w:ascii="宋体" w:hAnsi="宋体" w:cs="宋体"/>
          <w:sz w:val="21"/>
          <w:szCs w:val="21"/>
          <w:lang w:eastAsia="zh-CN"/>
        </w:rPr>
        <w:t>具有</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信息化</w:t>
      </w:r>
      <w:r>
        <w:rPr>
          <w:rFonts w:hint="eastAsia" w:ascii="宋体" w:hAnsi="宋体" w:eastAsia="宋体" w:cs="宋体"/>
          <w:sz w:val="21"/>
          <w:szCs w:val="21"/>
          <w:lang w:eastAsia="zh-CN"/>
        </w:rPr>
        <w:t>工作经验</w:t>
      </w:r>
      <w:r>
        <w:rPr>
          <w:rFonts w:hint="eastAsia" w:ascii="宋体" w:hAnsi="宋体" w:eastAsia="宋体" w:cs="宋体"/>
          <w:sz w:val="21"/>
          <w:szCs w:val="21"/>
        </w:rPr>
        <w:t>；应熟练掌握oracle数据库、weblogic中间件等技能，具备一定的oracle数据库、weblogic中间件运行维护经验；应熟悉金税三期核心征管</w:t>
      </w:r>
      <w:r>
        <w:rPr>
          <w:rFonts w:hint="eastAsia" w:ascii="宋体" w:hAnsi="宋体" w:eastAsia="宋体" w:cs="宋体"/>
          <w:sz w:val="21"/>
          <w:szCs w:val="21"/>
          <w:lang w:eastAsia="zh-CN"/>
        </w:rPr>
        <w:t>系统及</w:t>
      </w:r>
      <w:r>
        <w:rPr>
          <w:rFonts w:hint="eastAsia" w:ascii="宋体" w:hAnsi="宋体" w:eastAsia="宋体" w:cs="宋体"/>
          <w:sz w:val="21"/>
          <w:szCs w:val="21"/>
        </w:rPr>
        <w:t>出口退税系统的系统操作、业务流程和数据表结构</w:t>
      </w:r>
      <w:r>
        <w:rPr>
          <w:rFonts w:hint="eastAsia" w:ascii="宋体" w:hAnsi="宋体" w:eastAsia="宋体" w:cs="宋体"/>
          <w:sz w:val="21"/>
          <w:szCs w:val="21"/>
          <w:lang w:eastAsia="zh-CN"/>
        </w:rPr>
        <w:t>，熟悉金税三期系统与金税四期系统间的关联关系</w:t>
      </w:r>
      <w:r>
        <w:rPr>
          <w:rFonts w:hint="eastAsia" w:ascii="宋体" w:hAnsi="宋体" w:eastAsia="宋体" w:cs="宋体"/>
          <w:sz w:val="21"/>
          <w:szCs w:val="21"/>
        </w:rPr>
        <w:t>。</w:t>
      </w:r>
    </w:p>
    <w:p w14:paraId="12332C7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highlight w:val="none"/>
        </w:rPr>
      </w:pPr>
      <w:r>
        <w:rPr>
          <w:rFonts w:hint="eastAsia" w:ascii="宋体" w:hAnsi="宋体" w:cs="宋体"/>
          <w:sz w:val="21"/>
          <w:szCs w:val="21"/>
          <w:lang w:val="en-US" w:eastAsia="zh-CN"/>
        </w:rPr>
        <w:t>7.3.</w:t>
      </w:r>
      <w:r>
        <w:rPr>
          <w:rFonts w:hint="eastAsia" w:ascii="宋体" w:hAnsi="宋体" w:eastAsia="宋体" w:cs="宋体"/>
          <w:sz w:val="21"/>
          <w:szCs w:val="21"/>
          <w:lang w:val="en-US" w:eastAsia="zh-CN"/>
        </w:rPr>
        <w:t>2</w:t>
      </w:r>
      <w:r>
        <w:rPr>
          <w:rFonts w:hint="eastAsia" w:ascii="宋体" w:hAnsi="宋体" w:eastAsia="宋体" w:cs="宋体"/>
          <w:sz w:val="21"/>
          <w:szCs w:val="21"/>
        </w:rPr>
        <w:t>驻场人员资质要求</w:t>
      </w:r>
      <w:r>
        <w:rPr>
          <w:rFonts w:hint="eastAsia" w:ascii="宋体" w:hAnsi="宋体" w:eastAsia="宋体" w:cs="宋体"/>
          <w:sz w:val="21"/>
          <w:szCs w:val="21"/>
          <w:lang w:eastAsia="zh-CN"/>
        </w:rPr>
        <w:t>：</w:t>
      </w:r>
      <w:r>
        <w:rPr>
          <w:rFonts w:hint="eastAsia" w:ascii="宋体" w:hAnsi="宋体" w:cs="宋体"/>
          <w:sz w:val="21"/>
          <w:szCs w:val="21"/>
          <w:lang w:eastAsia="zh-CN"/>
        </w:rPr>
        <w:t>供应商应优先投入具备</w:t>
      </w:r>
      <w:r>
        <w:rPr>
          <w:rFonts w:hint="eastAsia" w:hAnsi="宋体" w:cs="Times New Roman"/>
          <w:color w:val="000000"/>
          <w:highlight w:val="none"/>
          <w:lang w:eastAsia="zh-CN"/>
        </w:rPr>
        <w:t>计算机技术与软件专业技术资格证书的人员进行驻场服务</w:t>
      </w:r>
      <w:r>
        <w:rPr>
          <w:rFonts w:hint="eastAsia" w:ascii="宋体" w:hAnsi="宋体" w:cs="宋体"/>
          <w:sz w:val="21"/>
          <w:szCs w:val="21"/>
          <w:highlight w:val="none"/>
          <w:lang w:eastAsia="zh-CN"/>
        </w:rPr>
        <w:t>。</w:t>
      </w:r>
    </w:p>
    <w:p w14:paraId="51F9977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7.3.</w:t>
      </w:r>
      <w:r>
        <w:rPr>
          <w:rFonts w:hint="eastAsia" w:ascii="宋体" w:hAnsi="宋体" w:eastAsia="宋体" w:cs="宋体"/>
          <w:sz w:val="21"/>
          <w:szCs w:val="21"/>
          <w:lang w:val="en-US" w:eastAsia="zh-CN"/>
        </w:rPr>
        <w:t>3</w:t>
      </w:r>
      <w:r>
        <w:rPr>
          <w:rFonts w:hint="eastAsia" w:ascii="宋体" w:hAnsi="宋体" w:eastAsia="宋体" w:cs="宋体"/>
          <w:sz w:val="21"/>
          <w:szCs w:val="21"/>
        </w:rPr>
        <w:t>驻场人员分工要求</w:t>
      </w:r>
    </w:p>
    <w:p w14:paraId="502396D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★项目经理1人，负责协调各部门、厂商，管理运维团队，确保运维工作有效快速进行。</w:t>
      </w:r>
    </w:p>
    <w:p w14:paraId="1763B2D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金税三期核心征管系统及出口退税系统1</w:t>
      </w:r>
      <w:r>
        <w:rPr>
          <w:rFonts w:hint="eastAsia" w:ascii="宋体" w:hAnsi="宋体" w:eastAsia="宋体" w:cs="宋体"/>
          <w:sz w:val="21"/>
          <w:szCs w:val="21"/>
          <w:lang w:val="en-US" w:eastAsia="zh-CN"/>
        </w:rPr>
        <w:t>2</w:t>
      </w:r>
      <w:r>
        <w:rPr>
          <w:rFonts w:hint="eastAsia" w:ascii="宋体" w:hAnsi="宋体" w:eastAsia="宋体" w:cs="宋体"/>
          <w:sz w:val="21"/>
          <w:szCs w:val="21"/>
        </w:rPr>
        <w:t>人，负责处理本项目涉及系统的问题处理、培训服务、突发事件处理、系统版本发布及协调管理及系统运行保障工作，核心分发库及数据同步链路维护工作，保障分发库链路正常，确保核心征管、社保费、好差评数据正常同步总局，保障系统平稳运行、问题及时有效解决，保障系统接口调用正常以及相关问题的处理，确保总局新政策得到有效执行。</w:t>
      </w:r>
    </w:p>
    <w:p w14:paraId="5BFFA14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广西壮族自治区税务局</w:t>
      </w:r>
      <w:r>
        <w:rPr>
          <w:rFonts w:hint="eastAsia" w:ascii="宋体" w:hAnsi="宋体" w:eastAsia="宋体" w:cs="宋体"/>
          <w:sz w:val="21"/>
          <w:szCs w:val="21"/>
        </w:rPr>
        <w:t>金税三期核心征管系统及出口退税系统专项服务1人，当国家税务总局税收政策发生变化，服务人员应结合本地实际业务情况，充分考虑系统升级带来的数据逻辑的调整、涉及历史数据的衔接、业务办理的变化，发起专题会议，与采购人共同分析讨论征管业务执行方法和流程确保新政策得以有效执行。</w:t>
      </w:r>
    </w:p>
    <w:p w14:paraId="48CEA3C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数据链路维护</w:t>
      </w:r>
      <w:r>
        <w:rPr>
          <w:rFonts w:hint="eastAsia" w:ascii="宋体" w:hAnsi="宋体" w:eastAsia="宋体" w:cs="宋体"/>
          <w:sz w:val="21"/>
          <w:szCs w:val="21"/>
          <w:lang w:val="en-US" w:eastAsia="zh-CN"/>
        </w:rPr>
        <w:t>2人</w:t>
      </w:r>
      <w:r>
        <w:rPr>
          <w:rFonts w:hint="eastAsia" w:ascii="宋体" w:hAnsi="宋体" w:eastAsia="宋体" w:cs="宋体"/>
          <w:sz w:val="21"/>
          <w:szCs w:val="21"/>
        </w:rPr>
        <w:t>，负责分发库及数据链路维护，负责与金税四期系统间的接口调用分析、数据同步保障工作，处理分发库和数据链路的异常问题，并及时报告总局项目组、金税四期项目组，协调总局项目组和金税四期项目组一起排查和处理，避免因异常导致</w:t>
      </w:r>
      <w:r>
        <w:rPr>
          <w:rFonts w:hint="eastAsia" w:ascii="宋体" w:hAnsi="宋体" w:eastAsia="宋体" w:cs="宋体"/>
          <w:sz w:val="21"/>
          <w:szCs w:val="21"/>
          <w:lang w:eastAsia="zh-CN"/>
        </w:rPr>
        <w:t>区局</w:t>
      </w:r>
      <w:r>
        <w:rPr>
          <w:rFonts w:hint="eastAsia" w:ascii="宋体" w:hAnsi="宋体" w:eastAsia="宋体" w:cs="宋体"/>
          <w:sz w:val="21"/>
          <w:szCs w:val="21"/>
        </w:rPr>
        <w:t>被考核扣分情况出现。</w:t>
      </w:r>
    </w:p>
    <w:p w14:paraId="6647ED6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3"/>
        <w:rPr>
          <w:rFonts w:hint="eastAsia" w:ascii="宋体" w:hAnsi="宋体" w:eastAsia="宋体" w:cs="宋体"/>
          <w:sz w:val="21"/>
          <w:szCs w:val="21"/>
        </w:rPr>
      </w:pPr>
      <w:r>
        <w:rPr>
          <w:rFonts w:hint="eastAsia" w:ascii="宋体" w:hAnsi="宋体" w:cs="宋体"/>
          <w:sz w:val="21"/>
          <w:szCs w:val="21"/>
          <w:lang w:val="en-US" w:eastAsia="zh-CN"/>
        </w:rPr>
        <w:t>7.3.</w:t>
      </w:r>
      <w:r>
        <w:rPr>
          <w:rFonts w:hint="eastAsia" w:ascii="宋体" w:hAnsi="宋体" w:eastAsia="宋体" w:cs="宋体"/>
          <w:sz w:val="21"/>
          <w:szCs w:val="21"/>
          <w:lang w:val="en-US" w:eastAsia="zh-CN"/>
        </w:rPr>
        <w:t>4</w:t>
      </w:r>
      <w:r>
        <w:rPr>
          <w:rFonts w:hint="eastAsia" w:ascii="宋体" w:hAnsi="宋体" w:eastAsia="宋体" w:cs="宋体"/>
          <w:sz w:val="21"/>
          <w:szCs w:val="21"/>
        </w:rPr>
        <w:t>二线及开发人员要求</w:t>
      </w:r>
    </w:p>
    <w:p w14:paraId="6D33908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本项目要求组建二线运维及开发团队，二线及开发人员应具有本科及以上学历。</w:t>
      </w:r>
      <w:r>
        <w:rPr>
          <w:rFonts w:hint="eastAsia" w:ascii="宋体" w:hAnsi="宋体" w:eastAsia="宋体" w:cs="宋体"/>
          <w:sz w:val="21"/>
          <w:szCs w:val="21"/>
          <w:lang w:eastAsia="zh-CN"/>
        </w:rPr>
        <w:t>熟练掌握</w:t>
      </w:r>
      <w:r>
        <w:rPr>
          <w:rFonts w:hint="eastAsia" w:ascii="宋体" w:hAnsi="宋体" w:eastAsia="宋体" w:cs="宋体"/>
          <w:sz w:val="21"/>
          <w:szCs w:val="21"/>
        </w:rPr>
        <w:t>金税三期核心征管、出口退税及数据治理监控的系统操作、业务流程和数据表结构。</w:t>
      </w:r>
    </w:p>
    <w:p w14:paraId="0D80635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运维人员应当是</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的正式人员，或者是与</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签订1年以上劳动合同且实际工作满1年的人员，常驻运维人员应当为技术骨干</w:t>
      </w:r>
      <w:r>
        <w:rPr>
          <w:rFonts w:hint="eastAsia" w:ascii="宋体" w:hAnsi="宋体" w:eastAsia="宋体" w:cs="宋体"/>
          <w:sz w:val="21"/>
          <w:szCs w:val="21"/>
          <w:highlight w:val="none"/>
          <w:lang w:val="en-US" w:eastAsia="zh-CN"/>
        </w:rPr>
        <w:t>。</w:t>
      </w:r>
    </w:p>
    <w:p w14:paraId="6FE0962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lang w:eastAsia="zh-CN"/>
        </w:rPr>
      </w:pPr>
      <w:bookmarkStart w:id="16" w:name="_Toc28706"/>
      <w:r>
        <w:rPr>
          <w:rFonts w:hint="eastAsia" w:ascii="宋体" w:hAnsi="宋体" w:cs="宋体"/>
          <w:b/>
          <w:bCs/>
          <w:sz w:val="21"/>
          <w:szCs w:val="21"/>
          <w:lang w:val="en-US" w:eastAsia="zh-CN"/>
        </w:rPr>
        <w:t>8</w:t>
      </w:r>
      <w:r>
        <w:rPr>
          <w:rFonts w:hint="eastAsia" w:ascii="宋体" w:hAnsi="宋体" w:eastAsia="宋体" w:cs="宋体"/>
          <w:b/>
          <w:bCs/>
          <w:sz w:val="21"/>
          <w:szCs w:val="21"/>
          <w:lang w:eastAsia="zh-CN"/>
        </w:rPr>
        <w:t>、问题处理流程</w:t>
      </w:r>
      <w:bookmarkEnd w:id="16"/>
    </w:p>
    <w:p w14:paraId="2DEC79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接收问题</w:t>
      </w:r>
    </w:p>
    <w:p w14:paraId="2FFB045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接收</w:t>
      </w:r>
      <w:r>
        <w:rPr>
          <w:rFonts w:hint="eastAsia" w:ascii="宋体" w:hAnsi="宋体" w:eastAsia="宋体" w:cs="宋体"/>
          <w:sz w:val="21"/>
          <w:szCs w:val="21"/>
          <w:lang w:eastAsia="zh-CN"/>
        </w:rPr>
        <w:t>采购人</w:t>
      </w:r>
      <w:r>
        <w:rPr>
          <w:rFonts w:hint="eastAsia" w:ascii="宋体" w:hAnsi="宋体" w:eastAsia="宋体" w:cs="宋体"/>
          <w:sz w:val="21"/>
          <w:szCs w:val="21"/>
        </w:rPr>
        <w:t>、其他运维人员、使用用户等提出的业务操作、数据运维等业务问题。</w:t>
      </w:r>
    </w:p>
    <w:p w14:paraId="677937E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分析问题</w:t>
      </w:r>
    </w:p>
    <w:p w14:paraId="6A32A67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现场应用运维人员根据接收到的问题，结合系统实现原理、数据结构、操作流程等情况进行分析，最后得出问题形成原因，确认问题需求等。</w:t>
      </w:r>
    </w:p>
    <w:p w14:paraId="2CDC03A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形成问题处理方案</w:t>
      </w:r>
    </w:p>
    <w:p w14:paraId="22EF358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根据问题的实际形成原因以及问题的明细需求，结合实际业务，形成处理方案，编写脚本。</w:t>
      </w:r>
    </w:p>
    <w:p w14:paraId="43B9D47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问题处理与跟踪</w:t>
      </w:r>
    </w:p>
    <w:p w14:paraId="6AB2777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按照问题处理方案处理问题，执行相关脚本，向提交问题人员反馈处理结果，并对问题的解决情况进行跟踪。</w:t>
      </w:r>
    </w:p>
    <w:p w14:paraId="0728E4E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2" w:firstLineChars="200"/>
        <w:jc w:val="both"/>
        <w:textAlignment w:val="baseline"/>
        <w:outlineLvl w:val="1"/>
        <w:rPr>
          <w:rFonts w:hint="eastAsia" w:ascii="宋体" w:hAnsi="宋体" w:eastAsia="宋体" w:cs="宋体"/>
          <w:b/>
          <w:bCs/>
          <w:sz w:val="21"/>
          <w:szCs w:val="21"/>
          <w:lang w:val="en-US" w:eastAsia="zh-CN"/>
        </w:rPr>
      </w:pPr>
      <w:bookmarkStart w:id="17" w:name="_Toc18950"/>
      <w:r>
        <w:rPr>
          <w:rFonts w:hint="eastAsia" w:ascii="宋体" w:hAnsi="宋体" w:cs="宋体"/>
          <w:b/>
          <w:bCs/>
          <w:sz w:val="21"/>
          <w:szCs w:val="21"/>
          <w:lang w:val="en-US" w:eastAsia="zh-CN"/>
        </w:rPr>
        <w:t>9</w:t>
      </w:r>
      <w:r>
        <w:rPr>
          <w:rFonts w:hint="eastAsia" w:ascii="宋体" w:hAnsi="宋体" w:eastAsia="宋体" w:cs="宋体"/>
          <w:b/>
          <w:bCs/>
          <w:sz w:val="21"/>
          <w:szCs w:val="21"/>
          <w:lang w:val="en-US" w:eastAsia="zh-CN"/>
        </w:rPr>
        <w:t>、验收方式及标准</w:t>
      </w:r>
      <w:bookmarkEnd w:id="17"/>
    </w:p>
    <w:p w14:paraId="7E869F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lang w:val="en-US" w:eastAsia="zh-CN"/>
        </w:rPr>
      </w:pPr>
      <w:bookmarkStart w:id="18" w:name="_Toc7751"/>
      <w:r>
        <w:rPr>
          <w:rFonts w:hint="eastAsia" w:ascii="宋体" w:hAnsi="宋体" w:eastAsia="宋体" w:cs="宋体"/>
          <w:sz w:val="21"/>
          <w:szCs w:val="21"/>
          <w:lang w:val="en-US" w:eastAsia="zh-CN"/>
        </w:rPr>
        <w:t>（一）验收方式</w:t>
      </w:r>
      <w:bookmarkEnd w:id="18"/>
    </w:p>
    <w:p w14:paraId="4549FFC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本项目验收工作由采购人按照内部验收的有关制度和流程组织开展。</w:t>
      </w:r>
    </w:p>
    <w:p w14:paraId="1A98261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在合同约定的服务期结束后进行一次项目服务验收。中标人在合同约定的服务期结束后的一个月内向采购人提出验收申请，采购人负责审核是否满足项目验收准入条件。满足验收准入条件后，予以启动项目验收程序。</w:t>
      </w:r>
    </w:p>
    <w:p w14:paraId="4E57C18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lang w:val="en-US" w:eastAsia="zh-CN"/>
        </w:rPr>
      </w:pPr>
      <w:bookmarkStart w:id="19" w:name="_Toc3975"/>
      <w:r>
        <w:rPr>
          <w:rFonts w:hint="eastAsia" w:ascii="宋体" w:hAnsi="宋体" w:eastAsia="宋体" w:cs="宋体"/>
          <w:sz w:val="21"/>
          <w:szCs w:val="21"/>
          <w:lang w:val="en-US" w:eastAsia="zh-CN"/>
        </w:rPr>
        <w:t>（二）验收准入条件</w:t>
      </w:r>
      <w:bookmarkEnd w:id="19"/>
    </w:p>
    <w:p w14:paraId="7E2DB8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本需求书中包含的服务需求内容全部完成，满足本技术需求书的规定要求。</w:t>
      </w:r>
    </w:p>
    <w:p w14:paraId="2B25207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2"/>
        <w:rPr>
          <w:rFonts w:hint="eastAsia" w:ascii="宋体" w:hAnsi="宋体" w:eastAsia="宋体" w:cs="宋体"/>
          <w:sz w:val="21"/>
          <w:szCs w:val="21"/>
          <w:lang w:val="en-US" w:eastAsia="zh-CN"/>
        </w:rPr>
      </w:pPr>
      <w:bookmarkStart w:id="20" w:name="_Toc23152"/>
      <w:r>
        <w:rPr>
          <w:rFonts w:hint="eastAsia" w:ascii="宋体" w:hAnsi="宋体" w:eastAsia="宋体" w:cs="宋体"/>
          <w:sz w:val="21"/>
          <w:szCs w:val="21"/>
          <w:lang w:val="en-US" w:eastAsia="zh-CN"/>
        </w:rPr>
        <w:t>（三）验收标准</w:t>
      </w:r>
      <w:bookmarkEnd w:id="20"/>
    </w:p>
    <w:p w14:paraId="284BF30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以本需求书相关内容为依据，作为项目验收标准。中标人是否按照本需求书中定义的各项服务内容，按照定义的工作规程和服务管理开展各项工作，工作流程和结果是否符合采购人质量管理要求，是否在规定时间内提交相关工作文档。</w:t>
      </w:r>
    </w:p>
    <w:p w14:paraId="14D639D0">
      <w:pPr>
        <w:pStyle w:val="6"/>
        <w:ind w:firstLine="422"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（四）考核方法</w:t>
      </w:r>
    </w:p>
    <w:p w14:paraId="764D9CD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采购人对运维服务质量进行考核，每月按照《运维厂商考核表》（详见下表）进行评分（满分100分），每扣1分相应扣减合同总金额0.2%，不足1分的按1分算。</w:t>
      </w:r>
    </w:p>
    <w:p w14:paraId="61FC141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如每月评分低于90分，采购人对中标人进行约谈，约谈三次中标人仍未改善，采购人有权提前终止合同执行，费用按实际服务时间和考核结果结算，不视为采购人违约。</w:t>
      </w: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13"/>
        <w:gridCol w:w="997"/>
        <w:gridCol w:w="2453"/>
        <w:gridCol w:w="802"/>
        <w:gridCol w:w="2655"/>
        <w:gridCol w:w="812"/>
      </w:tblGrid>
      <w:tr w14:paraId="2BC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05" w:type="dxa"/>
            <w:gridSpan w:val="7"/>
            <w:noWrap w:val="0"/>
            <w:vAlign w:val="center"/>
          </w:tcPr>
          <w:p w14:paraId="3B2EC54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广西壮族自治区税务局</w:t>
            </w:r>
            <w:r>
              <w:rPr>
                <w:rFonts w:hint="eastAsia" w:ascii="宋体" w:hAnsi="宋体" w:eastAsia="宋体" w:cs="宋体"/>
                <w:color w:val="000000"/>
                <w:kern w:val="0"/>
                <w:sz w:val="21"/>
                <w:szCs w:val="21"/>
              </w:rPr>
              <w:t>XXX系统XX年XX月运维厂商考核表</w:t>
            </w:r>
          </w:p>
        </w:tc>
      </w:tr>
      <w:tr w14:paraId="5DAF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3" w:type="dxa"/>
            <w:noWrap w:val="0"/>
            <w:vAlign w:val="center"/>
          </w:tcPr>
          <w:p w14:paraId="0BFA004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分类</w:t>
            </w:r>
          </w:p>
        </w:tc>
        <w:tc>
          <w:tcPr>
            <w:tcW w:w="613" w:type="dxa"/>
            <w:noWrap w:val="0"/>
            <w:vAlign w:val="center"/>
          </w:tcPr>
          <w:p w14:paraId="482ACAA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997" w:type="dxa"/>
            <w:noWrap w:val="0"/>
            <w:vAlign w:val="center"/>
          </w:tcPr>
          <w:p w14:paraId="4756794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w:t>
            </w:r>
          </w:p>
        </w:tc>
        <w:tc>
          <w:tcPr>
            <w:tcW w:w="2453" w:type="dxa"/>
            <w:noWrap w:val="0"/>
            <w:vAlign w:val="center"/>
          </w:tcPr>
          <w:p w14:paraId="17A7B1B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项目描述</w:t>
            </w:r>
          </w:p>
        </w:tc>
        <w:tc>
          <w:tcPr>
            <w:tcW w:w="802" w:type="dxa"/>
            <w:noWrap w:val="0"/>
            <w:vAlign w:val="center"/>
          </w:tcPr>
          <w:p w14:paraId="4D62E91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655" w:type="dxa"/>
            <w:noWrap w:val="0"/>
            <w:vAlign w:val="center"/>
          </w:tcPr>
          <w:p w14:paraId="583C848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评分标准</w:t>
            </w:r>
          </w:p>
        </w:tc>
        <w:tc>
          <w:tcPr>
            <w:tcW w:w="812" w:type="dxa"/>
            <w:noWrap w:val="0"/>
            <w:vAlign w:val="center"/>
          </w:tcPr>
          <w:p w14:paraId="6E4E221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r>
      <w:tr w14:paraId="38E7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restart"/>
            <w:noWrap w:val="0"/>
            <w:vAlign w:val="center"/>
          </w:tcPr>
          <w:p w14:paraId="1DFB37F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资源配备</w:t>
            </w:r>
          </w:p>
        </w:tc>
        <w:tc>
          <w:tcPr>
            <w:tcW w:w="613" w:type="dxa"/>
            <w:noWrap w:val="0"/>
            <w:vAlign w:val="center"/>
          </w:tcPr>
          <w:p w14:paraId="3EC7D0B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7" w:type="dxa"/>
            <w:noWrap w:val="0"/>
            <w:vAlign w:val="center"/>
          </w:tcPr>
          <w:p w14:paraId="6E9F15D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人员到位情况</w:t>
            </w:r>
          </w:p>
        </w:tc>
        <w:tc>
          <w:tcPr>
            <w:tcW w:w="2453" w:type="dxa"/>
            <w:noWrap w:val="0"/>
            <w:vAlign w:val="center"/>
          </w:tcPr>
          <w:p w14:paraId="52933C6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运维厂商按照合同约定配备的管理、业务和技术人员数量是否达到</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的要求。</w:t>
            </w:r>
          </w:p>
        </w:tc>
        <w:tc>
          <w:tcPr>
            <w:tcW w:w="802" w:type="dxa"/>
            <w:noWrap w:val="0"/>
            <w:vAlign w:val="center"/>
          </w:tcPr>
          <w:p w14:paraId="3F3044B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028374E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配置人员数量满足需求和合同约定的，不扣分，否则少一人扣0.5分。</w:t>
            </w:r>
          </w:p>
        </w:tc>
        <w:tc>
          <w:tcPr>
            <w:tcW w:w="812" w:type="dxa"/>
            <w:noWrap w:val="0"/>
            <w:vAlign w:val="center"/>
          </w:tcPr>
          <w:p w14:paraId="3CA107F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AEC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3" w:type="dxa"/>
            <w:vMerge w:val="continue"/>
            <w:noWrap w:val="0"/>
            <w:vAlign w:val="center"/>
          </w:tcPr>
          <w:p w14:paraId="6A6E463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12B74C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7" w:type="dxa"/>
            <w:noWrap w:val="0"/>
            <w:vAlign w:val="center"/>
          </w:tcPr>
          <w:p w14:paraId="2EE340C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人员素质情况</w:t>
            </w:r>
          </w:p>
        </w:tc>
        <w:tc>
          <w:tcPr>
            <w:tcW w:w="2453" w:type="dxa"/>
            <w:noWrap w:val="0"/>
            <w:vAlign w:val="center"/>
          </w:tcPr>
          <w:p w14:paraId="2D23D48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运维厂商按照合同约定配备的管理、技术人员能力和持证情况是否符合</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的具体要求。</w:t>
            </w:r>
          </w:p>
        </w:tc>
        <w:tc>
          <w:tcPr>
            <w:tcW w:w="802" w:type="dxa"/>
            <w:noWrap w:val="0"/>
            <w:vAlign w:val="center"/>
          </w:tcPr>
          <w:p w14:paraId="18CFD3D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584E5D6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具备相关管理和技能水平，持有专业职业技术证书，符合需求和合同约定要求的不扣分，否则，缺少一样扣0.5分。</w:t>
            </w:r>
          </w:p>
        </w:tc>
        <w:tc>
          <w:tcPr>
            <w:tcW w:w="812" w:type="dxa"/>
            <w:noWrap w:val="0"/>
            <w:vAlign w:val="center"/>
          </w:tcPr>
          <w:p w14:paraId="28D263C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6CF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3" w:type="dxa"/>
            <w:vMerge w:val="continue"/>
            <w:noWrap w:val="0"/>
            <w:vAlign w:val="center"/>
          </w:tcPr>
          <w:p w14:paraId="1AF300F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445848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97" w:type="dxa"/>
            <w:noWrap w:val="0"/>
            <w:vAlign w:val="center"/>
          </w:tcPr>
          <w:p w14:paraId="5301684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工作衔接情况</w:t>
            </w:r>
          </w:p>
        </w:tc>
        <w:tc>
          <w:tcPr>
            <w:tcW w:w="2453" w:type="dxa"/>
            <w:noWrap w:val="0"/>
            <w:vAlign w:val="center"/>
          </w:tcPr>
          <w:p w14:paraId="48F1F72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人员发生变动后，新人能力是否胜任该岗位工作、工作交接是否影响正常运维工作。</w:t>
            </w:r>
          </w:p>
        </w:tc>
        <w:tc>
          <w:tcPr>
            <w:tcW w:w="802" w:type="dxa"/>
            <w:noWrap w:val="0"/>
            <w:vAlign w:val="center"/>
          </w:tcPr>
          <w:p w14:paraId="4F6E476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21308A6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因人员变动影响正常运维工作，每次0.5分。</w:t>
            </w:r>
          </w:p>
        </w:tc>
        <w:tc>
          <w:tcPr>
            <w:tcW w:w="812" w:type="dxa"/>
            <w:noWrap w:val="0"/>
            <w:vAlign w:val="center"/>
          </w:tcPr>
          <w:p w14:paraId="4247C5C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780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restart"/>
            <w:noWrap w:val="0"/>
            <w:vAlign w:val="center"/>
          </w:tcPr>
          <w:p w14:paraId="08BED14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工作质效</w:t>
            </w:r>
          </w:p>
        </w:tc>
        <w:tc>
          <w:tcPr>
            <w:tcW w:w="613" w:type="dxa"/>
            <w:noWrap w:val="0"/>
            <w:vAlign w:val="center"/>
          </w:tcPr>
          <w:p w14:paraId="33545F6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997" w:type="dxa"/>
            <w:noWrap w:val="0"/>
            <w:vAlign w:val="center"/>
          </w:tcPr>
          <w:p w14:paraId="5CDFF28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运维处理时效</w:t>
            </w:r>
          </w:p>
        </w:tc>
        <w:tc>
          <w:tcPr>
            <w:tcW w:w="2453" w:type="dxa"/>
            <w:noWrap w:val="0"/>
            <w:vAlign w:val="center"/>
          </w:tcPr>
          <w:p w14:paraId="39611CB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运行维护项目是否按照</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规定的运维时效完成。</w:t>
            </w:r>
          </w:p>
        </w:tc>
        <w:tc>
          <w:tcPr>
            <w:tcW w:w="802" w:type="dxa"/>
            <w:noWrap w:val="0"/>
            <w:vAlign w:val="center"/>
          </w:tcPr>
          <w:p w14:paraId="5D657B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25B9486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由运维部门按照运维管理办法规定时效进行打分，按照1-5级评估扣分，每级1.5分。</w:t>
            </w:r>
          </w:p>
        </w:tc>
        <w:tc>
          <w:tcPr>
            <w:tcW w:w="812" w:type="dxa"/>
            <w:noWrap w:val="0"/>
            <w:vAlign w:val="center"/>
          </w:tcPr>
          <w:p w14:paraId="25C32AA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DEA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3" w:type="dxa"/>
            <w:vMerge w:val="continue"/>
            <w:noWrap w:val="0"/>
            <w:vAlign w:val="center"/>
          </w:tcPr>
          <w:p w14:paraId="4756D02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47F0FF1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97" w:type="dxa"/>
            <w:noWrap w:val="0"/>
            <w:vAlign w:val="center"/>
          </w:tcPr>
          <w:p w14:paraId="28F3313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检查频次要求</w:t>
            </w:r>
          </w:p>
        </w:tc>
        <w:tc>
          <w:tcPr>
            <w:tcW w:w="2453" w:type="dxa"/>
            <w:noWrap w:val="0"/>
            <w:vAlign w:val="center"/>
          </w:tcPr>
          <w:p w14:paraId="61466D7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巡检值守服务是否按照规定的频次完成。</w:t>
            </w:r>
          </w:p>
        </w:tc>
        <w:tc>
          <w:tcPr>
            <w:tcW w:w="802" w:type="dxa"/>
            <w:noWrap w:val="0"/>
            <w:vAlign w:val="center"/>
          </w:tcPr>
          <w:p w14:paraId="4BC373C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6CC2C84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按照合同约定的频次按期完成内容，超期或压缩检查项目的由运维部门评估打分，推迟或压缩内容占整体项目数每缺少一项扣0.5分。</w:t>
            </w:r>
          </w:p>
        </w:tc>
        <w:tc>
          <w:tcPr>
            <w:tcW w:w="812" w:type="dxa"/>
            <w:noWrap w:val="0"/>
            <w:vAlign w:val="center"/>
          </w:tcPr>
          <w:p w14:paraId="7A66C02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C14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10250C6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52FD30A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997" w:type="dxa"/>
            <w:noWrap w:val="0"/>
            <w:vAlign w:val="center"/>
          </w:tcPr>
          <w:p w14:paraId="6E4E384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问题处理</w:t>
            </w:r>
          </w:p>
        </w:tc>
        <w:tc>
          <w:tcPr>
            <w:tcW w:w="2453" w:type="dxa"/>
            <w:noWrap w:val="0"/>
            <w:vAlign w:val="center"/>
          </w:tcPr>
          <w:p w14:paraId="4B62077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系统版本有效性。</w:t>
            </w:r>
          </w:p>
        </w:tc>
        <w:tc>
          <w:tcPr>
            <w:tcW w:w="802" w:type="dxa"/>
            <w:noWrap w:val="0"/>
            <w:vAlign w:val="center"/>
          </w:tcPr>
          <w:p w14:paraId="73FA1AD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6F15A47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版本（补丁）未能按计划有效解决相关问题的，按次扣0.5分。</w:t>
            </w:r>
          </w:p>
        </w:tc>
        <w:tc>
          <w:tcPr>
            <w:tcW w:w="812" w:type="dxa"/>
            <w:noWrap w:val="0"/>
            <w:vAlign w:val="center"/>
          </w:tcPr>
          <w:p w14:paraId="4CF278D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B5C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0917118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61A9CB9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997" w:type="dxa"/>
            <w:noWrap w:val="0"/>
            <w:vAlign w:val="center"/>
          </w:tcPr>
          <w:p w14:paraId="57724BE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版本质量</w:t>
            </w:r>
          </w:p>
        </w:tc>
        <w:tc>
          <w:tcPr>
            <w:tcW w:w="2453" w:type="dxa"/>
            <w:noWrap w:val="0"/>
            <w:vAlign w:val="center"/>
          </w:tcPr>
          <w:p w14:paraId="6CDA072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系统版本问题率。</w:t>
            </w:r>
          </w:p>
        </w:tc>
        <w:tc>
          <w:tcPr>
            <w:tcW w:w="802" w:type="dxa"/>
            <w:noWrap w:val="0"/>
            <w:vAlign w:val="center"/>
          </w:tcPr>
          <w:p w14:paraId="3FB6A7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343124B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由于发布版本（补丁）引发新问题的，且未能及时向上反馈、解决的，按次扣0.5分。</w:t>
            </w:r>
          </w:p>
        </w:tc>
        <w:tc>
          <w:tcPr>
            <w:tcW w:w="812" w:type="dxa"/>
            <w:noWrap w:val="0"/>
            <w:vAlign w:val="center"/>
          </w:tcPr>
          <w:p w14:paraId="5A8E2C7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D27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3937A37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3E075A5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997" w:type="dxa"/>
            <w:noWrap w:val="0"/>
            <w:vAlign w:val="center"/>
          </w:tcPr>
          <w:p w14:paraId="238A872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其他任务完成情况</w:t>
            </w:r>
          </w:p>
        </w:tc>
        <w:tc>
          <w:tcPr>
            <w:tcW w:w="2453" w:type="dxa"/>
            <w:noWrap w:val="0"/>
            <w:vAlign w:val="center"/>
          </w:tcPr>
          <w:p w14:paraId="46B8E54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对于需求方在需求总体框架内提出的其他需求的满足完成情况。</w:t>
            </w:r>
          </w:p>
        </w:tc>
        <w:tc>
          <w:tcPr>
            <w:tcW w:w="802" w:type="dxa"/>
            <w:noWrap w:val="0"/>
            <w:vAlign w:val="center"/>
          </w:tcPr>
          <w:p w14:paraId="4B424C3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6C980DE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对于需求部门提出的合理需求按期完成的，不扣分；每少完成一次扣0.5分，扣完为止。</w:t>
            </w:r>
          </w:p>
        </w:tc>
        <w:tc>
          <w:tcPr>
            <w:tcW w:w="812" w:type="dxa"/>
            <w:noWrap w:val="0"/>
            <w:vAlign w:val="center"/>
          </w:tcPr>
          <w:p w14:paraId="470E051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AEE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34291A2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27E426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997" w:type="dxa"/>
            <w:noWrap w:val="0"/>
            <w:vAlign w:val="center"/>
          </w:tcPr>
          <w:p w14:paraId="0C4EB13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应急情况处置</w:t>
            </w:r>
          </w:p>
        </w:tc>
        <w:tc>
          <w:tcPr>
            <w:tcW w:w="2453" w:type="dxa"/>
            <w:noWrap w:val="0"/>
            <w:vAlign w:val="center"/>
          </w:tcPr>
          <w:p w14:paraId="1858203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出现紧急情况时的处理情况。</w:t>
            </w:r>
          </w:p>
        </w:tc>
        <w:tc>
          <w:tcPr>
            <w:tcW w:w="802" w:type="dxa"/>
            <w:noWrap w:val="0"/>
            <w:vAlign w:val="center"/>
          </w:tcPr>
          <w:p w14:paraId="7194819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39F3472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出现应急情况时，能采取合理的方式按时处置，按照1-5级评估扣分，每级1.5分。</w:t>
            </w:r>
          </w:p>
        </w:tc>
        <w:tc>
          <w:tcPr>
            <w:tcW w:w="812" w:type="dxa"/>
            <w:noWrap w:val="0"/>
            <w:vAlign w:val="center"/>
          </w:tcPr>
          <w:p w14:paraId="630C4B6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8DA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3B5DD8F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238316F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997" w:type="dxa"/>
            <w:noWrap w:val="0"/>
            <w:vAlign w:val="center"/>
          </w:tcPr>
          <w:p w14:paraId="2A0A2E9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报告制度</w:t>
            </w:r>
          </w:p>
        </w:tc>
        <w:tc>
          <w:tcPr>
            <w:tcW w:w="2453" w:type="dxa"/>
            <w:noWrap w:val="0"/>
            <w:vAlign w:val="center"/>
          </w:tcPr>
          <w:p w14:paraId="4A45409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是否按照需求和合同约定的要求定期提交周报、月报、年报等报表、报告文档。</w:t>
            </w:r>
          </w:p>
        </w:tc>
        <w:tc>
          <w:tcPr>
            <w:tcW w:w="802" w:type="dxa"/>
            <w:noWrap w:val="0"/>
            <w:vAlign w:val="center"/>
          </w:tcPr>
          <w:p w14:paraId="413FFDB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09D5D6F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按照需求约定按时提交定期报表的不扣分，少提交一次扣0.5分，扣完为止。</w:t>
            </w:r>
          </w:p>
        </w:tc>
        <w:tc>
          <w:tcPr>
            <w:tcW w:w="812" w:type="dxa"/>
            <w:noWrap w:val="0"/>
            <w:vAlign w:val="center"/>
          </w:tcPr>
          <w:p w14:paraId="6F5123D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469A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3" w:type="dxa"/>
            <w:vMerge w:val="continue"/>
            <w:noWrap w:val="0"/>
            <w:vAlign w:val="center"/>
          </w:tcPr>
          <w:p w14:paraId="3EDF7FA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3060C27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997" w:type="dxa"/>
            <w:noWrap w:val="0"/>
            <w:vAlign w:val="center"/>
          </w:tcPr>
          <w:p w14:paraId="4B732AE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系统运行故障率</w:t>
            </w:r>
          </w:p>
        </w:tc>
        <w:tc>
          <w:tcPr>
            <w:tcW w:w="2453" w:type="dxa"/>
            <w:noWrap w:val="0"/>
            <w:vAlign w:val="center"/>
          </w:tcPr>
          <w:p w14:paraId="1EF8028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由运维厂商所开发、维护和保障的系统、资源发生运行故障的比例。</w:t>
            </w:r>
          </w:p>
        </w:tc>
        <w:tc>
          <w:tcPr>
            <w:tcW w:w="802" w:type="dxa"/>
            <w:noWrap w:val="0"/>
            <w:vAlign w:val="center"/>
          </w:tcPr>
          <w:p w14:paraId="1F7611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55" w:type="dxa"/>
            <w:noWrap w:val="0"/>
            <w:vAlign w:val="center"/>
          </w:tcPr>
          <w:p w14:paraId="55FC6CD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按照系统运行的工作日天数计算故障率，由运维部门评估确定故障主体，每出现一次，记为当天故障，故障率每个百分点扣0.5分。</w:t>
            </w:r>
          </w:p>
        </w:tc>
        <w:tc>
          <w:tcPr>
            <w:tcW w:w="812" w:type="dxa"/>
            <w:noWrap w:val="0"/>
            <w:vAlign w:val="center"/>
          </w:tcPr>
          <w:p w14:paraId="22EAE70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7B7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73" w:type="dxa"/>
            <w:vMerge w:val="restart"/>
            <w:noWrap w:val="0"/>
            <w:vAlign w:val="center"/>
          </w:tcPr>
          <w:p w14:paraId="23B8747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信息安全</w:t>
            </w:r>
          </w:p>
        </w:tc>
        <w:tc>
          <w:tcPr>
            <w:tcW w:w="613" w:type="dxa"/>
            <w:noWrap w:val="0"/>
            <w:vAlign w:val="center"/>
          </w:tcPr>
          <w:p w14:paraId="47E8825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97" w:type="dxa"/>
            <w:noWrap w:val="0"/>
            <w:vAlign w:val="center"/>
          </w:tcPr>
          <w:p w14:paraId="2609632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系统安全漏洞</w:t>
            </w:r>
          </w:p>
        </w:tc>
        <w:tc>
          <w:tcPr>
            <w:tcW w:w="2453" w:type="dxa"/>
            <w:noWrap w:val="0"/>
            <w:vAlign w:val="center"/>
          </w:tcPr>
          <w:p w14:paraId="3CFF692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安全系统或第三方检测服务所发现的由运维厂商所开发、维护和保障的系统中的安全漏洞（运维厂商事前已发现并向</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报备，由于特殊原因暂时无法修复的除外）。</w:t>
            </w:r>
          </w:p>
        </w:tc>
        <w:tc>
          <w:tcPr>
            <w:tcW w:w="802" w:type="dxa"/>
            <w:noWrap w:val="0"/>
            <w:vAlign w:val="center"/>
          </w:tcPr>
          <w:p w14:paraId="4CE026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31DDF62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检出一项扣0.4分。</w:t>
            </w:r>
          </w:p>
        </w:tc>
        <w:tc>
          <w:tcPr>
            <w:tcW w:w="812" w:type="dxa"/>
            <w:noWrap w:val="0"/>
            <w:vAlign w:val="center"/>
          </w:tcPr>
          <w:p w14:paraId="0C841A0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49FE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4DB66A8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553E7B8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997" w:type="dxa"/>
            <w:noWrap w:val="0"/>
            <w:vAlign w:val="center"/>
          </w:tcPr>
          <w:p w14:paraId="01C8BDB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内控机制制度</w:t>
            </w:r>
          </w:p>
        </w:tc>
        <w:tc>
          <w:tcPr>
            <w:tcW w:w="2453" w:type="dxa"/>
            <w:noWrap w:val="0"/>
            <w:vAlign w:val="center"/>
          </w:tcPr>
          <w:p w14:paraId="6E702BA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运维厂商在内部岗位设置、工作流程等方面制定了制约或控制制度。</w:t>
            </w:r>
          </w:p>
        </w:tc>
        <w:tc>
          <w:tcPr>
            <w:tcW w:w="802" w:type="dxa"/>
            <w:noWrap w:val="0"/>
            <w:vAlign w:val="center"/>
          </w:tcPr>
          <w:p w14:paraId="1FE943A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0853654C">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建立了相关制度的，不扣分，未按</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要求制定相关制度的，每缺一项扣0.4分。</w:t>
            </w:r>
          </w:p>
        </w:tc>
        <w:tc>
          <w:tcPr>
            <w:tcW w:w="812" w:type="dxa"/>
            <w:noWrap w:val="0"/>
            <w:vAlign w:val="center"/>
          </w:tcPr>
          <w:p w14:paraId="6EA591F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153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5CEF4DC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4647007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997" w:type="dxa"/>
            <w:noWrap w:val="0"/>
            <w:vAlign w:val="center"/>
          </w:tcPr>
          <w:p w14:paraId="26A761E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内控机制执行</w:t>
            </w:r>
          </w:p>
        </w:tc>
        <w:tc>
          <w:tcPr>
            <w:tcW w:w="2453" w:type="dxa"/>
            <w:noWrap w:val="0"/>
            <w:vAlign w:val="center"/>
          </w:tcPr>
          <w:p w14:paraId="40E11AF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运维厂商在内部岗位设置、工作流程等制度的遵照执行情况。</w:t>
            </w:r>
          </w:p>
        </w:tc>
        <w:tc>
          <w:tcPr>
            <w:tcW w:w="802" w:type="dxa"/>
            <w:noWrap w:val="0"/>
            <w:vAlign w:val="center"/>
          </w:tcPr>
          <w:p w14:paraId="031EBA0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7D464BF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按照制度规范执行的，不扣分，每违反一项扣0.4分。</w:t>
            </w:r>
          </w:p>
        </w:tc>
        <w:tc>
          <w:tcPr>
            <w:tcW w:w="812" w:type="dxa"/>
            <w:noWrap w:val="0"/>
            <w:vAlign w:val="center"/>
          </w:tcPr>
          <w:p w14:paraId="315584A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46BD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32ED69A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49446FF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997" w:type="dxa"/>
            <w:noWrap w:val="0"/>
            <w:vAlign w:val="center"/>
          </w:tcPr>
          <w:p w14:paraId="0197389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安全培训</w:t>
            </w:r>
          </w:p>
        </w:tc>
        <w:tc>
          <w:tcPr>
            <w:tcW w:w="2453" w:type="dxa"/>
            <w:noWrap w:val="0"/>
            <w:vAlign w:val="center"/>
          </w:tcPr>
          <w:p w14:paraId="41AAD00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运维厂商人员是否对在岗人员进行了安全培训。</w:t>
            </w:r>
          </w:p>
        </w:tc>
        <w:tc>
          <w:tcPr>
            <w:tcW w:w="802" w:type="dxa"/>
            <w:noWrap w:val="0"/>
            <w:vAlign w:val="center"/>
          </w:tcPr>
          <w:p w14:paraId="1E55648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6EE5F97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每次大规模人员变动后都进行了安全培训的，不扣分。</w:t>
            </w:r>
          </w:p>
        </w:tc>
        <w:tc>
          <w:tcPr>
            <w:tcW w:w="812" w:type="dxa"/>
            <w:noWrap w:val="0"/>
            <w:vAlign w:val="center"/>
          </w:tcPr>
          <w:p w14:paraId="2BA0E42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D0C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55619E9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06666B4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97" w:type="dxa"/>
            <w:noWrap w:val="0"/>
            <w:vAlign w:val="center"/>
          </w:tcPr>
          <w:p w14:paraId="4D60BB2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安全协议</w:t>
            </w:r>
          </w:p>
        </w:tc>
        <w:tc>
          <w:tcPr>
            <w:tcW w:w="2453" w:type="dxa"/>
            <w:noWrap w:val="0"/>
            <w:vAlign w:val="center"/>
          </w:tcPr>
          <w:p w14:paraId="59D01EF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运维厂商人员是否与</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签订了安全保密协议。</w:t>
            </w:r>
          </w:p>
        </w:tc>
        <w:tc>
          <w:tcPr>
            <w:tcW w:w="802" w:type="dxa"/>
            <w:noWrap w:val="0"/>
            <w:vAlign w:val="center"/>
          </w:tcPr>
          <w:p w14:paraId="4B94706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455BDA3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签订了安全保密协议的，不扣分。</w:t>
            </w:r>
          </w:p>
        </w:tc>
        <w:tc>
          <w:tcPr>
            <w:tcW w:w="812" w:type="dxa"/>
            <w:noWrap w:val="0"/>
            <w:vAlign w:val="center"/>
          </w:tcPr>
          <w:p w14:paraId="6C0F922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22E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2C986E7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604C1D9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997" w:type="dxa"/>
            <w:noWrap w:val="0"/>
            <w:vAlign w:val="center"/>
          </w:tcPr>
          <w:p w14:paraId="36517D7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信息安全事故</w:t>
            </w:r>
          </w:p>
        </w:tc>
        <w:tc>
          <w:tcPr>
            <w:tcW w:w="2453" w:type="dxa"/>
            <w:noWrap w:val="0"/>
            <w:vAlign w:val="center"/>
          </w:tcPr>
          <w:p w14:paraId="6A7A16A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是否发生与运维工作相关的信息安全事故。如违规外联、违规进行数据运维等情况。</w:t>
            </w:r>
          </w:p>
        </w:tc>
        <w:tc>
          <w:tcPr>
            <w:tcW w:w="802" w:type="dxa"/>
            <w:noWrap w:val="0"/>
            <w:vAlign w:val="center"/>
          </w:tcPr>
          <w:p w14:paraId="2D8BD3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55" w:type="dxa"/>
            <w:noWrap w:val="0"/>
            <w:vAlign w:val="center"/>
          </w:tcPr>
          <w:p w14:paraId="06C830A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每出现一项扣1分。</w:t>
            </w:r>
          </w:p>
        </w:tc>
        <w:tc>
          <w:tcPr>
            <w:tcW w:w="812" w:type="dxa"/>
            <w:noWrap w:val="0"/>
            <w:vAlign w:val="center"/>
          </w:tcPr>
          <w:p w14:paraId="1257153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4C4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3" w:type="dxa"/>
            <w:vMerge w:val="restart"/>
            <w:noWrap w:val="0"/>
            <w:vAlign w:val="center"/>
          </w:tcPr>
          <w:p w14:paraId="6439B43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沟通交流</w:t>
            </w:r>
          </w:p>
        </w:tc>
        <w:tc>
          <w:tcPr>
            <w:tcW w:w="613" w:type="dxa"/>
            <w:noWrap w:val="0"/>
            <w:vAlign w:val="center"/>
          </w:tcPr>
          <w:p w14:paraId="36412A4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997" w:type="dxa"/>
            <w:noWrap w:val="0"/>
            <w:vAlign w:val="center"/>
          </w:tcPr>
          <w:p w14:paraId="5E9B632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培训指导</w:t>
            </w:r>
          </w:p>
        </w:tc>
        <w:tc>
          <w:tcPr>
            <w:tcW w:w="2453" w:type="dxa"/>
            <w:noWrap w:val="0"/>
            <w:vAlign w:val="center"/>
          </w:tcPr>
          <w:p w14:paraId="6133F33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运维厂商是否按照需求进行相关培训，业务、技术指导。</w:t>
            </w:r>
          </w:p>
        </w:tc>
        <w:tc>
          <w:tcPr>
            <w:tcW w:w="802" w:type="dxa"/>
            <w:noWrap w:val="0"/>
            <w:vAlign w:val="center"/>
          </w:tcPr>
          <w:p w14:paraId="2273B5C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5987E4C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按照合同约定对</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相关应用人员、运维人员、技术人员开展了培训指导的，不扣分；发生一次培训指导不到位的，扣0.2分。</w:t>
            </w:r>
          </w:p>
        </w:tc>
        <w:tc>
          <w:tcPr>
            <w:tcW w:w="812" w:type="dxa"/>
            <w:noWrap w:val="0"/>
            <w:vAlign w:val="center"/>
          </w:tcPr>
          <w:p w14:paraId="670F416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8F3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continue"/>
            <w:noWrap w:val="0"/>
            <w:vAlign w:val="center"/>
          </w:tcPr>
          <w:p w14:paraId="64D23FC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5419B4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997" w:type="dxa"/>
            <w:noWrap w:val="0"/>
            <w:vAlign w:val="center"/>
          </w:tcPr>
          <w:p w14:paraId="0BD4553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投诉举报</w:t>
            </w:r>
          </w:p>
        </w:tc>
        <w:tc>
          <w:tcPr>
            <w:tcW w:w="2453" w:type="dxa"/>
            <w:noWrap w:val="0"/>
            <w:vAlign w:val="center"/>
          </w:tcPr>
          <w:p w14:paraId="2F0C14A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是否收到来自纳税人或者</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的投诉举报，并经</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运维工作主管部门核实确认的。</w:t>
            </w:r>
          </w:p>
        </w:tc>
        <w:tc>
          <w:tcPr>
            <w:tcW w:w="802" w:type="dxa"/>
            <w:noWrap w:val="0"/>
            <w:vAlign w:val="center"/>
          </w:tcPr>
          <w:p w14:paraId="5B49710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0E1C4E0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每收到一次投诉，扣0.2分，扣完为止。</w:t>
            </w:r>
          </w:p>
        </w:tc>
        <w:tc>
          <w:tcPr>
            <w:tcW w:w="812" w:type="dxa"/>
            <w:noWrap w:val="0"/>
            <w:vAlign w:val="center"/>
          </w:tcPr>
          <w:p w14:paraId="33D0640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2A0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3" w:type="dxa"/>
            <w:vMerge w:val="continue"/>
            <w:noWrap w:val="0"/>
            <w:vAlign w:val="center"/>
          </w:tcPr>
          <w:p w14:paraId="1891BD6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20F8C61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97" w:type="dxa"/>
            <w:noWrap w:val="0"/>
            <w:vAlign w:val="center"/>
          </w:tcPr>
          <w:p w14:paraId="5C4E063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主动作为</w:t>
            </w:r>
          </w:p>
        </w:tc>
        <w:tc>
          <w:tcPr>
            <w:tcW w:w="2453" w:type="dxa"/>
            <w:noWrap w:val="0"/>
            <w:vAlign w:val="center"/>
          </w:tcPr>
          <w:p w14:paraId="09CC1E7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对于工作任务的主动完成情况和结果反馈情况。</w:t>
            </w:r>
          </w:p>
        </w:tc>
        <w:tc>
          <w:tcPr>
            <w:tcW w:w="802" w:type="dxa"/>
            <w:noWrap w:val="0"/>
            <w:vAlign w:val="center"/>
          </w:tcPr>
          <w:p w14:paraId="42C7C5E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601FB8B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对于工作中的问题主动跟进，对于</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提出的工作项目根据进度主动反馈结果，分为1-5档、每档0.5分，由运维部门评估酌情分档打分。</w:t>
            </w:r>
          </w:p>
        </w:tc>
        <w:tc>
          <w:tcPr>
            <w:tcW w:w="812" w:type="dxa"/>
            <w:noWrap w:val="0"/>
            <w:vAlign w:val="center"/>
          </w:tcPr>
          <w:p w14:paraId="0D7AE4C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0A3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3" w:type="dxa"/>
            <w:vMerge w:val="continue"/>
            <w:noWrap w:val="0"/>
            <w:vAlign w:val="center"/>
          </w:tcPr>
          <w:p w14:paraId="047CFEB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7F9D9EB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997" w:type="dxa"/>
            <w:noWrap w:val="0"/>
            <w:vAlign w:val="center"/>
          </w:tcPr>
          <w:p w14:paraId="7819FDF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交流渠道</w:t>
            </w:r>
          </w:p>
        </w:tc>
        <w:tc>
          <w:tcPr>
            <w:tcW w:w="2453" w:type="dxa"/>
            <w:noWrap w:val="0"/>
            <w:vAlign w:val="center"/>
          </w:tcPr>
          <w:p w14:paraId="1A68E54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运维厂商人员的通讯工具畅通性和微信群交流渠道。</w:t>
            </w:r>
          </w:p>
        </w:tc>
        <w:tc>
          <w:tcPr>
            <w:tcW w:w="802" w:type="dxa"/>
            <w:noWrap w:val="0"/>
            <w:vAlign w:val="center"/>
          </w:tcPr>
          <w:p w14:paraId="42DB77B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76AA292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主动建立各种便于工作沟通的渠道，运维部门评估确认，有相关渠道的不扣分，按照工作标准分为1-5档、每档0.5分，由运维部门评估酌情分档打分。</w:t>
            </w:r>
          </w:p>
        </w:tc>
        <w:tc>
          <w:tcPr>
            <w:tcW w:w="812" w:type="dxa"/>
            <w:noWrap w:val="0"/>
            <w:vAlign w:val="center"/>
          </w:tcPr>
          <w:p w14:paraId="0BC138F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08F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3" w:type="dxa"/>
            <w:vMerge w:val="restart"/>
            <w:noWrap w:val="0"/>
            <w:vAlign w:val="center"/>
          </w:tcPr>
          <w:p w14:paraId="16362A3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服务质量</w:t>
            </w:r>
          </w:p>
        </w:tc>
        <w:tc>
          <w:tcPr>
            <w:tcW w:w="613" w:type="dxa"/>
            <w:noWrap w:val="0"/>
            <w:vAlign w:val="center"/>
          </w:tcPr>
          <w:p w14:paraId="450661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997" w:type="dxa"/>
            <w:noWrap w:val="0"/>
            <w:vAlign w:val="center"/>
          </w:tcPr>
          <w:p w14:paraId="79AF2FC1">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基本服务项目</w:t>
            </w:r>
          </w:p>
        </w:tc>
        <w:tc>
          <w:tcPr>
            <w:tcW w:w="2453" w:type="dxa"/>
            <w:noWrap w:val="0"/>
            <w:vAlign w:val="center"/>
          </w:tcPr>
          <w:p w14:paraId="7F24766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挂牌上岗、礼貌</w:t>
            </w:r>
            <w:r>
              <w:rPr>
                <w:rFonts w:hint="eastAsia" w:ascii="宋体" w:hAnsi="宋体" w:eastAsia="宋体" w:cs="宋体"/>
                <w:color w:val="000000"/>
                <w:kern w:val="0"/>
                <w:sz w:val="21"/>
                <w:szCs w:val="21"/>
                <w:lang w:eastAsia="zh-CN"/>
              </w:rPr>
              <w:t>用语</w:t>
            </w:r>
            <w:r>
              <w:rPr>
                <w:rFonts w:hint="eastAsia" w:ascii="宋体" w:hAnsi="宋体" w:eastAsia="宋体" w:cs="宋体"/>
                <w:color w:val="000000"/>
                <w:kern w:val="0"/>
                <w:sz w:val="21"/>
                <w:szCs w:val="21"/>
              </w:rPr>
              <w:t>、环境卫生、仪表得体。</w:t>
            </w:r>
          </w:p>
        </w:tc>
        <w:tc>
          <w:tcPr>
            <w:tcW w:w="802" w:type="dxa"/>
            <w:noWrap w:val="0"/>
            <w:vAlign w:val="center"/>
          </w:tcPr>
          <w:p w14:paraId="276BFF6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0AF6AE79">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由运维部门评估，分为1-5档，每档0.5分，按照具体落实内容酌情分档打分。</w:t>
            </w:r>
          </w:p>
        </w:tc>
        <w:tc>
          <w:tcPr>
            <w:tcW w:w="812" w:type="dxa"/>
            <w:noWrap w:val="0"/>
            <w:vAlign w:val="center"/>
          </w:tcPr>
          <w:p w14:paraId="76E679A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7F3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619692D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22668BCD">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997" w:type="dxa"/>
            <w:noWrap w:val="0"/>
            <w:vAlign w:val="center"/>
          </w:tcPr>
          <w:p w14:paraId="0A339C1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建立工作制度</w:t>
            </w:r>
          </w:p>
        </w:tc>
        <w:tc>
          <w:tcPr>
            <w:tcW w:w="2453" w:type="dxa"/>
            <w:noWrap w:val="0"/>
            <w:vAlign w:val="center"/>
          </w:tcPr>
          <w:p w14:paraId="792237DF">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是否建立完善的管理、业务、沟通等工作制度。</w:t>
            </w:r>
          </w:p>
        </w:tc>
        <w:tc>
          <w:tcPr>
            <w:tcW w:w="802" w:type="dxa"/>
            <w:noWrap w:val="0"/>
            <w:vAlign w:val="center"/>
          </w:tcPr>
          <w:p w14:paraId="0D7C342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5CAC615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建立了相关的工作制度的，不扣分，否则缺少一项扣0.2分</w:t>
            </w:r>
          </w:p>
        </w:tc>
        <w:tc>
          <w:tcPr>
            <w:tcW w:w="812" w:type="dxa"/>
            <w:noWrap w:val="0"/>
            <w:vAlign w:val="center"/>
          </w:tcPr>
          <w:p w14:paraId="44E6B1DE">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493A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3" w:type="dxa"/>
            <w:vMerge w:val="continue"/>
            <w:noWrap w:val="0"/>
            <w:vAlign w:val="center"/>
          </w:tcPr>
          <w:p w14:paraId="1D8FD3E2">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0C64243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997" w:type="dxa"/>
            <w:noWrap w:val="0"/>
            <w:vAlign w:val="center"/>
          </w:tcPr>
          <w:p w14:paraId="3DFC15A0">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工作制度执行</w:t>
            </w:r>
          </w:p>
        </w:tc>
        <w:tc>
          <w:tcPr>
            <w:tcW w:w="2453" w:type="dxa"/>
            <w:noWrap w:val="0"/>
            <w:vAlign w:val="center"/>
          </w:tcPr>
          <w:p w14:paraId="4362F5F4">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对各项工作制度的落实执行情况。</w:t>
            </w:r>
          </w:p>
        </w:tc>
        <w:tc>
          <w:tcPr>
            <w:tcW w:w="802" w:type="dxa"/>
            <w:noWrap w:val="0"/>
            <w:vAlign w:val="center"/>
          </w:tcPr>
          <w:p w14:paraId="7FC990F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1547A6C5">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按相关工作制度逐项落实的，不扣分，否则缺少一项扣0.2分。</w:t>
            </w:r>
          </w:p>
        </w:tc>
        <w:tc>
          <w:tcPr>
            <w:tcW w:w="812" w:type="dxa"/>
            <w:noWrap w:val="0"/>
            <w:vAlign w:val="center"/>
          </w:tcPr>
          <w:p w14:paraId="08F394AB">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679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73" w:type="dxa"/>
            <w:vMerge w:val="continue"/>
            <w:noWrap w:val="0"/>
            <w:vAlign w:val="center"/>
          </w:tcPr>
          <w:p w14:paraId="27183E3A">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p>
        </w:tc>
        <w:tc>
          <w:tcPr>
            <w:tcW w:w="613" w:type="dxa"/>
            <w:noWrap w:val="0"/>
            <w:vAlign w:val="center"/>
          </w:tcPr>
          <w:p w14:paraId="16FB6F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997" w:type="dxa"/>
            <w:noWrap w:val="0"/>
            <w:vAlign w:val="center"/>
          </w:tcPr>
          <w:p w14:paraId="20E505C7">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满意度调查</w:t>
            </w:r>
          </w:p>
        </w:tc>
        <w:tc>
          <w:tcPr>
            <w:tcW w:w="2453" w:type="dxa"/>
            <w:noWrap w:val="0"/>
            <w:vAlign w:val="center"/>
          </w:tcPr>
          <w:p w14:paraId="6E800976">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定期对各系统运维服务质量</w:t>
            </w:r>
            <w:r>
              <w:rPr>
                <w:rFonts w:hint="eastAsia" w:ascii="宋体" w:hAnsi="宋体" w:eastAsia="宋体" w:cs="宋体"/>
                <w:color w:val="000000"/>
                <w:kern w:val="0"/>
                <w:sz w:val="21"/>
                <w:szCs w:val="21"/>
                <w:lang w:eastAsia="zh-CN"/>
              </w:rPr>
              <w:t>开展的</w:t>
            </w:r>
            <w:r>
              <w:rPr>
                <w:rFonts w:hint="eastAsia" w:ascii="宋体" w:hAnsi="宋体" w:eastAsia="宋体" w:cs="宋体"/>
                <w:color w:val="000000"/>
                <w:kern w:val="0"/>
                <w:sz w:val="21"/>
                <w:szCs w:val="21"/>
              </w:rPr>
              <w:t>满意度调查，面对基层税务机关开展的满意度调查工作。</w:t>
            </w:r>
          </w:p>
        </w:tc>
        <w:tc>
          <w:tcPr>
            <w:tcW w:w="802" w:type="dxa"/>
            <w:noWrap w:val="0"/>
            <w:vAlign w:val="center"/>
          </w:tcPr>
          <w:p w14:paraId="1BB8BAA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55" w:type="dxa"/>
            <w:noWrap w:val="0"/>
            <w:vAlign w:val="center"/>
          </w:tcPr>
          <w:p w14:paraId="58D45A4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每年定期开展针对不同系统的满意度调查，对基层税务机关从系统应用、操作等方面进行满意度问卷调查，根据问卷调查的满意度折算，满意度每5个百分点分档，每档0.2分。</w:t>
            </w:r>
          </w:p>
        </w:tc>
        <w:tc>
          <w:tcPr>
            <w:tcW w:w="812" w:type="dxa"/>
            <w:noWrap w:val="0"/>
            <w:vAlign w:val="center"/>
          </w:tcPr>
          <w:p w14:paraId="35CC9B63">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14:paraId="05FB9C93">
      <w:pPr>
        <w:keepNext w:val="0"/>
        <w:keepLines w:val="0"/>
        <w:pageBreakBefore w:val="0"/>
        <w:widowControl w:val="0"/>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14:paraId="5BF05DAF">
      <w:pPr>
        <w:pStyle w:val="2"/>
        <w:rPr>
          <w:rFonts w:hint="eastAsia" w:ascii="宋体" w:hAnsi="宋体" w:eastAsia="宋体" w:cs="宋体"/>
          <w:sz w:val="21"/>
          <w:szCs w:val="21"/>
        </w:rPr>
      </w:pPr>
    </w:p>
    <w:p w14:paraId="6533CF58">
      <w:pPr>
        <w:pStyle w:val="5"/>
        <w:bidi w:val="0"/>
        <w:jc w:val="center"/>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商务要求</w:t>
      </w:r>
      <w:bookmarkEnd w:id="3"/>
    </w:p>
    <w:p w14:paraId="3F1A33A5">
      <w:pPr>
        <w:pStyle w:val="6"/>
        <w:spacing w:line="360" w:lineRule="auto"/>
        <w:ind w:firstLine="211" w:firstLineChars="100"/>
        <w:jc w:val="left"/>
        <w:rPr>
          <w:rFonts w:hint="eastAsia" w:ascii="宋体" w:hAnsi="宋体" w:eastAsia="宋体" w:cs="宋体"/>
          <w:sz w:val="21"/>
          <w:szCs w:val="21"/>
        </w:rPr>
      </w:pPr>
      <w:bookmarkStart w:id="21" w:name="_Toc129529572"/>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.报价要求：</w:t>
      </w:r>
    </w:p>
    <w:p w14:paraId="7F073602">
      <w:pPr>
        <w:pStyle w:val="6"/>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投标报价包含但不限于以下部分：</w:t>
      </w:r>
    </w:p>
    <w:p w14:paraId="72907978">
      <w:pPr>
        <w:pStyle w:val="6"/>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（1）服务的价格；</w:t>
      </w:r>
    </w:p>
    <w:p w14:paraId="7140CCC8">
      <w:pPr>
        <w:pStyle w:val="6"/>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（2）必要的保险费用和各项税金；</w:t>
      </w:r>
    </w:p>
    <w:p w14:paraId="2B0E8A00">
      <w:pPr>
        <w:pStyle w:val="6"/>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（3）服务过程中所发生的一切服务费用；</w:t>
      </w:r>
    </w:p>
    <w:p w14:paraId="6731BAE9">
      <w:pPr>
        <w:pStyle w:val="6"/>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（4）在本项目服务期内，投标总价不予调整，采购人不再支付中标价格以外的任何费用。</w:t>
      </w:r>
    </w:p>
    <w:p w14:paraId="1384FCE5">
      <w:pPr>
        <w:pStyle w:val="6"/>
        <w:spacing w:line="360" w:lineRule="auto"/>
        <w:ind w:firstLine="211" w:firstLineChars="1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.服务地点、服务期限：</w:t>
      </w:r>
    </w:p>
    <w:p w14:paraId="4D0E18F3">
      <w:pPr>
        <w:spacing w:line="360" w:lineRule="auto"/>
        <w:ind w:firstLine="420" w:firstLineChars="200"/>
        <w:jc w:val="left"/>
        <w:rPr>
          <w:rFonts w:hint="eastAsia" w:ascii="宋体" w:hAnsi="宋体" w:eastAsia="宋体" w:cs="宋体"/>
          <w:sz w:val="21"/>
          <w:szCs w:val="21"/>
        </w:rPr>
      </w:pPr>
      <w:bookmarkStart w:id="22" w:name="_Toc29751"/>
      <w:bookmarkStart w:id="23" w:name="_Toc17983"/>
      <w:bookmarkStart w:id="24" w:name="_Toc28317"/>
      <w:r>
        <w:rPr>
          <w:rFonts w:hint="eastAsia" w:ascii="宋体" w:hAnsi="宋体" w:cs="宋体"/>
          <w:sz w:val="21"/>
          <w:szCs w:val="21"/>
          <w:lang w:val="en-US" w:eastAsia="zh-CN"/>
        </w:rPr>
        <w:t>2.</w:t>
      </w:r>
      <w:r>
        <w:rPr>
          <w:rFonts w:hint="eastAsia" w:ascii="宋体" w:hAnsi="宋体" w:eastAsia="宋体" w:cs="宋体"/>
          <w:sz w:val="21"/>
          <w:szCs w:val="21"/>
          <w:lang w:val="en-US" w:eastAsia="zh-CN"/>
        </w:rPr>
        <w:t>1</w:t>
      </w:r>
      <w:r>
        <w:rPr>
          <w:rFonts w:hint="eastAsia" w:ascii="宋体" w:hAnsi="宋体" w:eastAsia="宋体" w:cs="宋体"/>
          <w:sz w:val="21"/>
          <w:szCs w:val="21"/>
        </w:rPr>
        <w:t>服务地点：</w:t>
      </w:r>
      <w:bookmarkEnd w:id="22"/>
      <w:bookmarkEnd w:id="23"/>
      <w:bookmarkEnd w:id="24"/>
      <w:r>
        <w:rPr>
          <w:rFonts w:hint="eastAsia" w:ascii="宋体" w:hAnsi="宋体" w:eastAsia="宋体" w:cs="宋体"/>
          <w:sz w:val="21"/>
          <w:szCs w:val="21"/>
        </w:rPr>
        <w:t>广西壮族自治区税务局民族办公区和园湖办公区（南宁市青秀区民族大道105号、园湖南路26号）。</w:t>
      </w:r>
    </w:p>
    <w:p w14:paraId="6582D204">
      <w:pPr>
        <w:pStyle w:val="6"/>
        <w:spacing w:line="360" w:lineRule="auto"/>
        <w:ind w:firstLine="420" w:firstLineChars="200"/>
        <w:jc w:val="left"/>
        <w:rPr>
          <w:rFonts w:hint="eastAsia" w:ascii="宋体" w:hAnsi="宋体" w:eastAsia="宋体" w:cs="宋体"/>
          <w:b w:val="0"/>
          <w:bCs/>
          <w:color w:val="000000"/>
          <w:sz w:val="21"/>
          <w:szCs w:val="21"/>
        </w:rPr>
      </w:pPr>
      <w:bookmarkStart w:id="25" w:name="_Toc20019"/>
      <w:bookmarkStart w:id="26" w:name="_Toc12878"/>
      <w:bookmarkStart w:id="27" w:name="_Toc4013"/>
      <w:r>
        <w:rPr>
          <w:rFonts w:hint="eastAsia" w:ascii="宋体" w:hAnsi="宋体" w:cs="宋体"/>
          <w:b w:val="0"/>
          <w:bCs/>
          <w:color w:val="000000"/>
          <w:sz w:val="21"/>
          <w:szCs w:val="21"/>
          <w:lang w:val="en-US" w:eastAsia="zh-CN"/>
        </w:rPr>
        <w:t>2.</w:t>
      </w: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服务期限：</w:t>
      </w:r>
      <w:bookmarkEnd w:id="25"/>
      <w:bookmarkEnd w:id="26"/>
      <w:bookmarkEnd w:id="27"/>
      <w:r>
        <w:rPr>
          <w:rFonts w:hint="eastAsia" w:ascii="宋体" w:hAnsi="宋体" w:eastAsia="宋体" w:cs="宋体"/>
          <w:b w:val="0"/>
          <w:bCs/>
          <w:color w:val="000000"/>
          <w:sz w:val="21"/>
          <w:szCs w:val="21"/>
        </w:rPr>
        <w:t>1年（因新系统上线或采购内容需要调整等重大变故，采购人有权提前终止合同执行，费用按实际服务时间和考核结果结算，不视为采购人违约）</w:t>
      </w:r>
    </w:p>
    <w:p w14:paraId="491ED3D3">
      <w:pPr>
        <w:pStyle w:val="6"/>
        <w:spacing w:line="360" w:lineRule="auto"/>
        <w:ind w:firstLine="211" w:firstLineChars="100"/>
        <w:jc w:val="left"/>
        <w:rPr>
          <w:rFonts w:hint="eastAsia" w:ascii="宋体" w:hAnsi="宋体" w:eastAsia="宋体" w:cs="宋体"/>
          <w:sz w:val="21"/>
          <w:szCs w:val="21"/>
        </w:rPr>
      </w:pPr>
      <w:r>
        <w:rPr>
          <w:rFonts w:hint="eastAsia" w:ascii="宋体" w:hAnsi="宋体" w:eastAsia="宋体" w:cs="宋体"/>
          <w:sz w:val="21"/>
          <w:szCs w:val="21"/>
        </w:rPr>
        <w:t>★3.付款方式：</w:t>
      </w:r>
    </w:p>
    <w:p w14:paraId="3662741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在签订合同30日内，采购人向中标人支付合同总金额的50%。在服务期满后，采购人对项目进行验收，并根据项目验收标准及合同罚责条款进行考核，按考核结果对合同服务费进行核算，采购人向中标人支付合同相应的剩余款项。  </w:t>
      </w:r>
    </w:p>
    <w:p w14:paraId="28E7934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付款前，中标人应向采购人开具等额有效的增值税发票，采购人收到发票后10个工作日内将合同款项支付到合同约定的中标人账户；采购人未收到发票的，有权不予支付相应款项直至中标人提供合格发票，并不承担延迟付款责任。</w:t>
      </w:r>
    </w:p>
    <w:p w14:paraId="45958138">
      <w:pPr>
        <w:pStyle w:val="7"/>
        <w:spacing w:line="360" w:lineRule="auto"/>
        <w:ind w:firstLine="420" w:firstLineChars="200"/>
        <w:jc w:val="left"/>
        <w:rPr>
          <w:rFonts w:hint="eastAsia" w:ascii="宋体" w:hAnsi="宋体" w:eastAsia="宋体" w:cs="宋体"/>
          <w:sz w:val="21"/>
          <w:szCs w:val="21"/>
        </w:rPr>
      </w:pPr>
    </w:p>
    <w:p w14:paraId="11730C3D">
      <w:pPr>
        <w:pStyle w:val="5"/>
        <w:numPr>
          <w:ilvl w:val="0"/>
          <w:numId w:val="2"/>
        </w:numPr>
        <w:bidi w:val="0"/>
        <w:jc w:val="center"/>
        <w:rPr>
          <w:rFonts w:hint="eastAsia" w:ascii="宋体" w:hAnsi="宋体" w:eastAsia="宋体" w:cs="宋体"/>
          <w:sz w:val="24"/>
          <w:szCs w:val="24"/>
          <w:lang w:eastAsia="zh-CN"/>
        </w:rPr>
      </w:pPr>
      <w:r>
        <w:rPr>
          <w:rFonts w:hint="eastAsia" w:ascii="宋体" w:hAnsi="宋体" w:eastAsia="宋体" w:cs="宋体"/>
          <w:sz w:val="24"/>
          <w:szCs w:val="24"/>
        </w:rPr>
        <w:t>其他事</w:t>
      </w:r>
      <w:bookmarkEnd w:id="21"/>
      <w:r>
        <w:rPr>
          <w:rFonts w:hint="eastAsia" w:ascii="宋体" w:hAnsi="宋体" w:eastAsia="宋体" w:cs="宋体"/>
          <w:sz w:val="24"/>
          <w:szCs w:val="24"/>
          <w:lang w:eastAsia="zh-CN"/>
        </w:rPr>
        <w:t>项</w:t>
      </w:r>
    </w:p>
    <w:p w14:paraId="739E84F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1"/>
        <w:rPr>
          <w:rFonts w:hint="eastAsia" w:ascii="宋体" w:hAnsi="宋体" w:eastAsia="宋体" w:cs="宋体"/>
          <w:sz w:val="21"/>
          <w:szCs w:val="21"/>
          <w:highlight w:val="none"/>
          <w:lang w:val="en-US" w:eastAsia="zh-CN"/>
        </w:rPr>
      </w:pPr>
      <w:bookmarkStart w:id="28" w:name="_Toc2334"/>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安全保障和罚则要求</w:t>
      </w:r>
      <w:bookmarkEnd w:id="28"/>
    </w:p>
    <w:p w14:paraId="57F2CEF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outlineLvl w:val="1"/>
        <w:rPr>
          <w:rFonts w:hint="eastAsia" w:ascii="宋体" w:hAnsi="宋体" w:eastAsia="宋体" w:cs="宋体"/>
          <w:sz w:val="21"/>
          <w:szCs w:val="21"/>
        </w:rPr>
      </w:pPr>
      <w:bookmarkStart w:id="29" w:name="_Toc15091"/>
      <w:r>
        <w:rPr>
          <w:rFonts w:hint="eastAsia" w:ascii="宋体" w:hAnsi="宋体" w:eastAsia="宋体" w:cs="宋体"/>
          <w:sz w:val="21"/>
          <w:szCs w:val="21"/>
          <w:highlight w:val="none"/>
          <w:lang w:val="en-US" w:eastAsia="zh-CN"/>
        </w:rPr>
        <w:t>★</w:t>
      </w:r>
      <w:r>
        <w:rPr>
          <w:rFonts w:hint="eastAsia" w:ascii="宋体" w:hAnsi="宋体" w:cs="宋体"/>
          <w:sz w:val="21"/>
          <w:szCs w:val="21"/>
          <w:lang w:val="en-US" w:eastAsia="zh-CN"/>
        </w:rPr>
        <w:t>1.1</w:t>
      </w:r>
      <w:r>
        <w:rPr>
          <w:rFonts w:hint="eastAsia" w:ascii="宋体" w:hAnsi="宋体" w:eastAsia="宋体" w:cs="宋体"/>
          <w:sz w:val="21"/>
          <w:szCs w:val="21"/>
        </w:rPr>
        <w:t>信息安全保密要求</w:t>
      </w:r>
      <w:bookmarkEnd w:id="29"/>
    </w:p>
    <w:p w14:paraId="462771D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在未经过采购人书面批准的情况下，不得将任何采购人认为涉及数据安全的观点、数据、系统结构信息、测试结论以及测试记录传播、披露和使用。未经采购人书面批准，</w:t>
      </w:r>
      <w:r>
        <w:rPr>
          <w:rFonts w:hint="eastAsia" w:ascii="宋体" w:hAnsi="宋体" w:eastAsia="宋体" w:cs="宋体"/>
          <w:sz w:val="21"/>
          <w:szCs w:val="21"/>
          <w:lang w:eastAsia="zh-CN"/>
        </w:rPr>
        <w:t>中标人</w:t>
      </w:r>
      <w:r>
        <w:rPr>
          <w:rFonts w:hint="eastAsia" w:ascii="宋体" w:hAnsi="宋体" w:eastAsia="宋体" w:cs="宋体"/>
          <w:sz w:val="21"/>
          <w:szCs w:val="21"/>
        </w:rPr>
        <w:t>不得擅自修改任何程序和数据。</w:t>
      </w:r>
    </w:p>
    <w:p w14:paraId="6E90470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1</w:t>
      </w:r>
      <w:r>
        <w:rPr>
          <w:rFonts w:hint="eastAsia" w:ascii="宋体" w:hAnsi="宋体" w:eastAsia="宋体" w:cs="宋体"/>
          <w:sz w:val="21"/>
          <w:szCs w:val="21"/>
        </w:rPr>
        <w:t>必须严格遵守</w:t>
      </w:r>
      <w:r>
        <w:rPr>
          <w:rFonts w:hint="eastAsia" w:ascii="宋体" w:hAnsi="宋体" w:eastAsia="宋体" w:cs="宋体"/>
          <w:sz w:val="21"/>
          <w:szCs w:val="21"/>
          <w:lang w:eastAsia="zh-CN"/>
        </w:rPr>
        <w:t>采购人</w:t>
      </w:r>
      <w:r>
        <w:rPr>
          <w:rFonts w:hint="eastAsia" w:ascii="宋体" w:hAnsi="宋体" w:eastAsia="宋体" w:cs="宋体"/>
          <w:sz w:val="21"/>
          <w:szCs w:val="21"/>
        </w:rPr>
        <w:t>的安全保密制度</w:t>
      </w:r>
      <w:r>
        <w:rPr>
          <w:rFonts w:hint="eastAsia" w:ascii="宋体" w:hAnsi="宋体" w:eastAsia="宋体" w:cs="宋体"/>
          <w:sz w:val="21"/>
          <w:szCs w:val="21"/>
          <w:lang w:val="en-US" w:eastAsia="zh-CN"/>
        </w:rPr>
        <w:t>。</w:t>
      </w:r>
    </w:p>
    <w:p w14:paraId="7A8FA5D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2</w:t>
      </w:r>
      <w:r>
        <w:rPr>
          <w:rFonts w:hint="eastAsia" w:ascii="宋体" w:hAnsi="宋体" w:eastAsia="宋体" w:cs="宋体"/>
          <w:sz w:val="21"/>
          <w:szCs w:val="21"/>
        </w:rPr>
        <w:t>支持人员需保证遵守国家有关版权和知识产权保护的政策、法律、法规和制度。</w:t>
      </w:r>
    </w:p>
    <w:p w14:paraId="5C97927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3</w:t>
      </w:r>
      <w:r>
        <w:rPr>
          <w:rFonts w:hint="eastAsia" w:ascii="宋体" w:hAnsi="宋体" w:eastAsia="宋体" w:cs="宋体"/>
          <w:sz w:val="21"/>
          <w:szCs w:val="21"/>
        </w:rPr>
        <w:t>技术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14:paraId="2F1F9B1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4</w:t>
      </w:r>
      <w:r>
        <w:rPr>
          <w:rFonts w:hint="eastAsia" w:ascii="宋体" w:hAnsi="宋体" w:eastAsia="宋体" w:cs="宋体"/>
          <w:sz w:val="21"/>
          <w:szCs w:val="21"/>
        </w:rPr>
        <w:t>技术支持运维服务公司须与国家税务总局广西壮族自治区税务局签署合同项目实施期间的信息保密协议。</w:t>
      </w:r>
    </w:p>
    <w:p w14:paraId="2EE704D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5</w:t>
      </w:r>
      <w:r>
        <w:rPr>
          <w:rFonts w:hint="eastAsia" w:ascii="宋体" w:hAnsi="宋体" w:eastAsia="宋体" w:cs="宋体"/>
          <w:sz w:val="21"/>
          <w:szCs w:val="21"/>
        </w:rPr>
        <w:t>技术人员必须与国家税务总局广西壮族自治区税务局签署合同项目实施期间的信息保密承诺书</w:t>
      </w:r>
      <w:r>
        <w:rPr>
          <w:rFonts w:hint="eastAsia" w:ascii="宋体" w:hAnsi="宋体" w:eastAsia="宋体" w:cs="宋体"/>
          <w:sz w:val="21"/>
          <w:szCs w:val="21"/>
          <w:lang w:eastAsia="zh-CN"/>
        </w:rPr>
        <w:t>。</w:t>
      </w:r>
    </w:p>
    <w:p w14:paraId="0A51860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供应链安全管理要求</w:t>
      </w:r>
    </w:p>
    <w:p w14:paraId="0934455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1中标人应要求供应链厂商严格落实供应链安全管理各项规定，包括按照国家相关法律法规开展的安全审查、安全评估、渗透测试等，并将供应链厂商落实情况作为项目验收的检查内容。</w:t>
      </w:r>
    </w:p>
    <w:p w14:paraId="2E2D033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2中标人应要求供应链厂商严格遵守采购合同、协议、承诺书等文件中的安全相关条款，对供应链厂商履行网络安全责任不到位、造成安全事件或产生不良影响的行为，采购人将视安全事件严重情况按合同金额的20%-30%的比例进行扣减。</w:t>
      </w:r>
    </w:p>
    <w:p w14:paraId="4114710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lang w:val="en-US" w:eastAsia="zh-CN"/>
        </w:rPr>
        <w:t>1.3</w:t>
      </w:r>
      <w:r>
        <w:rPr>
          <w:rFonts w:hint="eastAsia" w:ascii="宋体" w:hAnsi="宋体" w:eastAsia="宋体" w:cs="宋体"/>
          <w:sz w:val="21"/>
          <w:szCs w:val="21"/>
          <w:lang w:val="en-US" w:eastAsia="zh-CN"/>
        </w:rPr>
        <w:t>网络安全和数据安全管理要求</w:t>
      </w:r>
    </w:p>
    <w:p w14:paraId="14F5D65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投入的项目人员在合同期间应严格按采购人的网络安全和数据安全相关规定开展工作，由于中标人投入的项目人员网络安全工作落实不到位引发安全事件的，采购人将视安全事件严重情况按合同金额的20%-30%的比例进行扣减。</w:t>
      </w:r>
    </w:p>
    <w:p w14:paraId="0109758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安全事件具体内容主要包括(但不限于)以下内容：</w:t>
      </w:r>
    </w:p>
    <w:p w14:paraId="3DB1EFE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1.因补丁升级、漏洞修复、系统杀毒、数据备份、应用监控、网络监控等工作未落实到位，发生服务器被控制和应用系统被攻破的安全事件，被主管部门通报的。</w:t>
      </w:r>
    </w:p>
    <w:p w14:paraId="284B53B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2.因违规进行税费数据查询、导出和拷出等操作造成敏感数据泄漏，以及发生非法窃取数据行为。</w:t>
      </w:r>
    </w:p>
    <w:p w14:paraId="2299D34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3.因运维操作处置不当导致重要应用系统发生严重卡顿、停用的重大事件。</w:t>
      </w:r>
    </w:p>
    <w:p w14:paraId="6DA1A1B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罚责条款</w:t>
      </w:r>
    </w:p>
    <w:p w14:paraId="77BDF9A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建设和运维过程中，因系统在对接、运行等服务中，导致其他系统受到影响的，由中标人负责组织相关服务厂商共同排查，明确问题根源、责任并报告采购人。中标人无法判定问题根源的，由中标人承担全部责任。采购人将视问题轻重、中标人责任大小等情况，按不高于合同金额的5%的比例进行扣减。</w:t>
      </w:r>
    </w:p>
    <w:p w14:paraId="357EECF0">
      <w:pPr>
        <w:numPr>
          <w:ilvl w:val="0"/>
          <w:numId w:val="0"/>
        </w:numPr>
        <w:rPr>
          <w:rFonts w:hint="eastAsia"/>
          <w:lang w:val="en-US" w:eastAsia="zh-CN"/>
        </w:rPr>
      </w:pPr>
    </w:p>
    <w:p w14:paraId="0903C40F"/>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5255"/>
    <w:multiLevelType w:val="singleLevel"/>
    <w:tmpl w:val="A0F65255"/>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3CF75883"/>
    <w:rsid w:val="34944EC7"/>
    <w:rsid w:val="3CF7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Body Text"/>
    <w:basedOn w:val="1"/>
    <w:next w:val="1"/>
    <w:qFormat/>
    <w:uiPriority w:val="1"/>
    <w:rPr>
      <w:b/>
      <w:szCs w:val="24"/>
    </w:rPr>
  </w:style>
  <w:style w:type="paragraph" w:styleId="7">
    <w:name w:val="Plain Text"/>
    <w:basedOn w:val="1"/>
    <w:next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2024-10-22T08:50:00Z</dcterms:created>
  <dc:creator>李柳婵</dc:creator>
  <cp:lastModifiedBy>李柳婵</cp:lastModifiedBy>
  <dcterms:modified xsi:type="dcterms:W3CDTF">2024-10-22T08:50:25Z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0777D2570D444A20854CBB15EE12DCD7_11</vt:lpwstr>
  </property>
</Properties>
</file>