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E10A1">
      <w:pPr>
        <w:widowControl w:val="0"/>
        <w:topLinePunct/>
        <w:autoSpaceDE w:val="0"/>
        <w:autoSpaceDN w:val="0"/>
        <w:spacing w:before="0" w:after="0" w:line="360" w:lineRule="auto"/>
        <w:jc w:val="center"/>
        <w:rPr>
          <w:rFonts w:hint="eastAsia" w:ascii="仿宋_GB2312" w:hAnsi="仿宋_GB2312" w:eastAsia="仿宋_GB2312" w:cs="仿宋_GB2312"/>
          <w:b/>
          <w:sz w:val="28"/>
          <w:szCs w:val="28"/>
          <w:lang w:eastAsia="zh-CN"/>
        </w:rPr>
      </w:pPr>
      <w:bookmarkStart w:id="23" w:name="_GoBack"/>
      <w:bookmarkEnd w:id="23"/>
    </w:p>
    <w:p w14:paraId="3B27B996">
      <w:pPr>
        <w:widowControl w:val="0"/>
        <w:topLinePunct/>
        <w:autoSpaceDE w:val="0"/>
        <w:autoSpaceDN w:val="0"/>
        <w:spacing w:before="0" w:after="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广西税务2025年安全设备及云平台安全防护</w:t>
      </w:r>
    </w:p>
    <w:p w14:paraId="6A10A11D">
      <w:pPr>
        <w:widowControl w:val="0"/>
        <w:topLinePunct/>
        <w:autoSpaceDE w:val="0"/>
        <w:autoSpaceDN w:val="0"/>
        <w:spacing w:before="0" w:after="0" w:line="360" w:lineRule="auto"/>
        <w:jc w:val="center"/>
        <w:rPr>
          <w:rFonts w:hint="eastAsia"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设备购买项目采购需求</w:t>
      </w:r>
    </w:p>
    <w:p w14:paraId="38C296DF">
      <w:pPr>
        <w:spacing w:before="0" w:after="0" w:line="360" w:lineRule="auto"/>
        <w:jc w:val="left"/>
        <w:rPr>
          <w:rFonts w:hint="eastAsia" w:ascii="仿宋_GB2312" w:hAnsi="仿宋_GB2312" w:eastAsia="仿宋_GB2312" w:cs="仿宋_GB2312"/>
          <w:sz w:val="28"/>
          <w:szCs w:val="28"/>
        </w:rPr>
      </w:pPr>
    </w:p>
    <w:p w14:paraId="68AE4C39">
      <w:pPr>
        <w:pStyle w:val="2"/>
        <w:keepNext w:val="0"/>
        <w:spacing w:before="0" w:after="0" w:line="360" w:lineRule="auto"/>
        <w:jc w:val="center"/>
        <w:rPr>
          <w:rFonts w:hint="eastAsia" w:ascii="仿宋_GB2312" w:hAnsi="仿宋_GB2312" w:eastAsia="仿宋_GB2312" w:cs="仿宋_GB2312"/>
          <w:b/>
          <w:bCs/>
          <w:sz w:val="28"/>
          <w:szCs w:val="28"/>
        </w:rPr>
      </w:pPr>
      <w:bookmarkStart w:id="0" w:name="_Toc256000000"/>
      <w:r>
        <w:rPr>
          <w:rFonts w:hint="eastAsia" w:ascii="仿宋_GB2312" w:hAnsi="仿宋_GB2312" w:eastAsia="仿宋_GB2312" w:cs="仿宋_GB2312"/>
          <w:kern w:val="36"/>
          <w:sz w:val="28"/>
          <w:szCs w:val="28"/>
        </w:rPr>
        <w:t>1项目概述</w:t>
      </w:r>
      <w:bookmarkEnd w:id="0"/>
    </w:p>
    <w:p w14:paraId="5E7E70B3">
      <w:pPr>
        <w:pStyle w:val="12"/>
        <w:spacing w:before="0" w:after="0" w:line="360" w:lineRule="auto"/>
        <w:ind w:left="0" w:righ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密码法》、《国家税务总局网络安全和信息化领导小组办公室关于落实网络安全等级保护制度和关键信息基础设施安全保护制度相关工作的通知》（税总信息办便函〔2021〕37号）以及金税四期网络安全工作的要求，各省税务局要贯彻落实《密码法》等有关法律法规规定和密码应用相关标准规范，第三级以上网络应正确、有效采用密码技术进行保护，使用符合相关要求的密码产品和服务。同时为了确保我局金税四期云上相关容器能得到有效防护，需要采购具有容器安全的软件系统，对云上容器进行安全防护。</w:t>
      </w:r>
    </w:p>
    <w:p w14:paraId="3E430594">
      <w:pPr>
        <w:pStyle w:val="4"/>
        <w:keepNext w:val="0"/>
        <w:spacing w:before="0" w:after="0" w:line="360" w:lineRule="auto"/>
        <w:jc w:val="center"/>
        <w:rPr>
          <w:rFonts w:hint="eastAsia" w:ascii="仿宋_GB2312" w:hAnsi="仿宋_GB2312" w:eastAsia="仿宋_GB2312" w:cs="仿宋_GB2312"/>
          <w:b/>
          <w:bCs/>
          <w:sz w:val="28"/>
          <w:szCs w:val="28"/>
        </w:rPr>
      </w:pPr>
      <w:bookmarkStart w:id="1" w:name="_Toc256000005"/>
      <w:r>
        <w:rPr>
          <w:rFonts w:hint="eastAsia" w:ascii="仿宋_GB2312" w:hAnsi="仿宋_GB2312" w:eastAsia="仿宋_GB2312" w:cs="仿宋_GB2312"/>
          <w:b/>
          <w:bCs/>
          <w:kern w:val="36"/>
          <w:sz w:val="28"/>
          <w:szCs w:val="28"/>
          <w:lang w:val="en-US" w:eastAsia="en-US" w:bidi="ar-SA"/>
        </w:rPr>
        <w:t>2采购内容</w:t>
      </w:r>
      <w:bookmarkEnd w:id="1"/>
    </w:p>
    <w:p w14:paraId="4E9A2349">
      <w:pPr>
        <w:pStyle w:val="12"/>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采购IPSEC VPN安全网关4台，部署在互联网区和专网区，确保网络流量可以通过IPSec VPN进行加密和保护，防止数据被窃听、篡改或泄露；采购SSL VPN安全网关2台，部署在专网区，确保对Web应用实现安全访问控制；采购堡垒机4台，部署在互联网区和专网区，通过国密算法来加密堡垒机操作行为，确保运维操作等敏感信息不被窃听和篡改。</w:t>
      </w:r>
    </w:p>
    <w:p w14:paraId="20321556">
      <w:pPr>
        <w:pStyle w:val="12"/>
        <w:spacing w:before="0" w:after="0" w:line="360" w:lineRule="auto"/>
        <w:ind w:left="0" w:right="0" w:firstLine="640"/>
        <w:textAlignment w:val="baseline"/>
        <w:rPr>
          <w:rFonts w:hint="eastAsia" w:ascii="仿宋_GB2312" w:hAnsi="仿宋_GB2312" w:eastAsia="仿宋_GB2312" w:cs="仿宋_GB2312"/>
          <w:kern w:val="36"/>
          <w:sz w:val="28"/>
          <w:szCs w:val="28"/>
        </w:rPr>
      </w:pPr>
      <w:r>
        <w:rPr>
          <w:rFonts w:hint="eastAsia" w:ascii="仿宋_GB2312" w:hAnsi="仿宋_GB2312" w:eastAsia="仿宋_GB2312" w:cs="仿宋_GB2312"/>
          <w:sz w:val="28"/>
          <w:szCs w:val="28"/>
        </w:rPr>
        <w:t>采购容器安全检测系统1套，部署在金四云上互联网区，授权许可不少于500个节点，提供容器防护等功能，确保云上容器安全。</w:t>
      </w:r>
      <w:bookmarkStart w:id="2" w:name="_Toc256000019"/>
    </w:p>
    <w:p w14:paraId="389EFB27">
      <w:pPr>
        <w:pStyle w:val="2"/>
        <w:keepNext w:val="0"/>
        <w:spacing w:before="0" w:after="0" w:line="360" w:lineRule="auto"/>
        <w:jc w:val="center"/>
        <w:rPr>
          <w:rFonts w:hint="eastAsia" w:ascii="仿宋_GB2312" w:hAnsi="仿宋_GB2312" w:eastAsia="仿宋_GB2312" w:cs="仿宋_GB2312"/>
          <w:kern w:val="36"/>
          <w:sz w:val="28"/>
          <w:szCs w:val="28"/>
        </w:rPr>
      </w:pPr>
    </w:p>
    <w:p w14:paraId="711F3EDF">
      <w:pPr>
        <w:pStyle w:val="2"/>
        <w:keepNext w:val="0"/>
        <w:spacing w:before="0" w:after="0" w:line="360" w:lineRule="auto"/>
        <w:jc w:val="center"/>
        <w:rPr>
          <w:rFonts w:hint="eastAsia" w:ascii="仿宋_GB2312" w:hAnsi="仿宋_GB2312" w:eastAsia="仿宋_GB2312" w:cs="仿宋_GB2312"/>
          <w:kern w:val="36"/>
          <w:sz w:val="28"/>
          <w:szCs w:val="28"/>
        </w:rPr>
      </w:pPr>
    </w:p>
    <w:p w14:paraId="15597FCA">
      <w:pPr>
        <w:rPr>
          <w:rFonts w:hint="eastAsia"/>
        </w:rPr>
      </w:pPr>
    </w:p>
    <w:p w14:paraId="69E2122F">
      <w:pPr>
        <w:pStyle w:val="2"/>
        <w:keepNext w:val="0"/>
        <w:spacing w:before="0" w:after="0" w:line="360" w:lineRule="auto"/>
        <w:jc w:val="center"/>
        <w:rPr>
          <w:rFonts w:hint="eastAsia" w:ascii="仿宋_GB2312" w:hAnsi="仿宋_GB2312" w:eastAsia="仿宋_GB2312" w:cs="仿宋_GB2312"/>
          <w:b/>
          <w:bCs/>
          <w:sz w:val="28"/>
          <w:szCs w:val="28"/>
        </w:rPr>
      </w:pPr>
      <w:r>
        <w:rPr>
          <w:rFonts w:hint="eastAsia" w:ascii="仿宋_GB2312" w:hAnsi="仿宋_GB2312" w:eastAsia="仿宋_GB2312" w:cs="仿宋_GB2312"/>
          <w:kern w:val="36"/>
          <w:sz w:val="28"/>
          <w:szCs w:val="28"/>
        </w:rPr>
        <w:t>3项目需求</w:t>
      </w:r>
      <w:bookmarkEnd w:id="2"/>
    </w:p>
    <w:p w14:paraId="0A846F14">
      <w:pPr>
        <w:pStyle w:val="3"/>
        <w:keepNext w:val="0"/>
        <w:spacing w:before="0" w:after="0" w:line="360" w:lineRule="auto"/>
        <w:rPr>
          <w:rFonts w:hint="eastAsia" w:ascii="仿宋_GB2312" w:hAnsi="仿宋_GB2312" w:eastAsia="仿宋_GB2312" w:cs="仿宋_GB2312"/>
          <w:b/>
          <w:bCs/>
          <w:sz w:val="28"/>
          <w:szCs w:val="28"/>
        </w:rPr>
      </w:pPr>
      <w:bookmarkStart w:id="3" w:name="_Toc256000020"/>
      <w:r>
        <w:rPr>
          <w:rFonts w:hint="eastAsia" w:ascii="仿宋_GB2312" w:hAnsi="仿宋_GB2312" w:eastAsia="仿宋_GB2312" w:cs="仿宋_GB2312"/>
          <w:i w:val="0"/>
          <w:iCs w:val="0"/>
          <w:sz w:val="28"/>
          <w:szCs w:val="28"/>
        </w:rPr>
        <w:t>3.1总体要求</w:t>
      </w:r>
      <w:bookmarkEnd w:id="3"/>
    </w:p>
    <w:tbl>
      <w:tblPr>
        <w:tblStyle w:val="13"/>
        <w:tblW w:w="4996" w:type="pct"/>
        <w:tblCellSpacing w:w="0" w:type="dxa"/>
        <w:tblInd w:w="0" w:type="dxa"/>
        <w:tblLayout w:type="autofit"/>
        <w:tblCellMar>
          <w:top w:w="15" w:type="dxa"/>
          <w:left w:w="15" w:type="dxa"/>
          <w:bottom w:w="15" w:type="dxa"/>
          <w:right w:w="15" w:type="dxa"/>
        </w:tblCellMar>
      </w:tblPr>
      <w:tblGrid>
        <w:gridCol w:w="575"/>
        <w:gridCol w:w="885"/>
        <w:gridCol w:w="852"/>
        <w:gridCol w:w="6881"/>
      </w:tblGrid>
      <w:tr w14:paraId="33761F03">
        <w:tblPrEx>
          <w:tblCellMar>
            <w:top w:w="15" w:type="dxa"/>
            <w:left w:w="15" w:type="dxa"/>
            <w:bottom w:w="15" w:type="dxa"/>
            <w:right w:w="15" w:type="dxa"/>
          </w:tblCellMar>
        </w:tblPrEx>
        <w:trPr>
          <w:trHeight w:val="567" w:hRule="atLeast"/>
          <w:tblCellSpacing w:w="0" w:type="dxa"/>
        </w:trPr>
        <w:tc>
          <w:tcPr>
            <w:tcW w:w="313" w:type="pct"/>
            <w:tcBorders>
              <w:top w:val="single" w:color="000000" w:sz="8" w:space="0"/>
              <w:left w:val="single" w:color="000000" w:sz="8" w:space="0"/>
              <w:bottom w:val="single" w:color="000000" w:sz="8" w:space="0"/>
              <w:right w:val="single" w:color="000000" w:sz="8" w:space="0"/>
            </w:tcBorders>
            <w:noWrap w:val="0"/>
            <w:tcMar>
              <w:top w:w="23" w:type="dxa"/>
              <w:left w:w="67" w:type="dxa"/>
              <w:bottom w:w="0" w:type="dxa"/>
              <w:right w:w="67" w:type="dxa"/>
            </w:tcMar>
            <w:vAlign w:val="center"/>
          </w:tcPr>
          <w:p w14:paraId="39742103">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序号</w:t>
            </w:r>
          </w:p>
        </w:tc>
        <w:tc>
          <w:tcPr>
            <w:tcW w:w="481" w:type="pct"/>
            <w:tcBorders>
              <w:top w:val="single" w:color="000000" w:sz="8" w:space="0"/>
              <w:bottom w:val="single" w:color="000000" w:sz="8" w:space="0"/>
              <w:right w:val="single" w:color="000000" w:sz="8" w:space="0"/>
            </w:tcBorders>
            <w:noWrap w:val="0"/>
            <w:tcMar>
              <w:top w:w="23" w:type="dxa"/>
              <w:left w:w="57" w:type="dxa"/>
              <w:bottom w:w="0" w:type="dxa"/>
              <w:right w:w="67" w:type="dxa"/>
            </w:tcMar>
            <w:vAlign w:val="center"/>
          </w:tcPr>
          <w:p w14:paraId="0A54E14E">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标的名称</w:t>
            </w:r>
          </w:p>
        </w:tc>
        <w:tc>
          <w:tcPr>
            <w:tcW w:w="463" w:type="pct"/>
            <w:tcBorders>
              <w:top w:val="single" w:color="000000" w:sz="8" w:space="0"/>
              <w:bottom w:val="single" w:color="000000" w:sz="8" w:space="0"/>
              <w:right w:val="single" w:color="000000" w:sz="8" w:space="0"/>
            </w:tcBorders>
            <w:noWrap w:val="0"/>
            <w:tcMar>
              <w:top w:w="23" w:type="dxa"/>
              <w:left w:w="57" w:type="dxa"/>
              <w:bottom w:w="0" w:type="dxa"/>
              <w:right w:w="67" w:type="dxa"/>
            </w:tcMar>
            <w:vAlign w:val="center"/>
          </w:tcPr>
          <w:p w14:paraId="752C024E">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数量及单位</w:t>
            </w:r>
          </w:p>
        </w:tc>
        <w:tc>
          <w:tcPr>
            <w:tcW w:w="3741" w:type="pct"/>
            <w:tcBorders>
              <w:top w:val="single" w:color="000000" w:sz="8" w:space="0"/>
              <w:bottom w:val="single" w:color="000000" w:sz="8" w:space="0"/>
              <w:right w:val="single" w:color="000000" w:sz="8" w:space="0"/>
            </w:tcBorders>
            <w:noWrap w:val="0"/>
            <w:tcMar>
              <w:top w:w="23" w:type="dxa"/>
              <w:left w:w="57" w:type="dxa"/>
              <w:bottom w:w="0" w:type="dxa"/>
              <w:right w:w="67" w:type="dxa"/>
            </w:tcMar>
            <w:vAlign w:val="center"/>
          </w:tcPr>
          <w:p w14:paraId="4F5C8763">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技术需求或者服务要求</w:t>
            </w:r>
          </w:p>
        </w:tc>
      </w:tr>
      <w:tr w14:paraId="422F1D55">
        <w:tblPrEx>
          <w:tblCellMar>
            <w:top w:w="15" w:type="dxa"/>
            <w:left w:w="15" w:type="dxa"/>
            <w:bottom w:w="15" w:type="dxa"/>
            <w:right w:w="15" w:type="dxa"/>
          </w:tblCellMar>
        </w:tblPrEx>
        <w:trPr>
          <w:trHeight w:val="567" w:hRule="atLeast"/>
          <w:tblCellSpacing w:w="0" w:type="dxa"/>
        </w:trPr>
        <w:tc>
          <w:tcPr>
            <w:tcW w:w="313" w:type="pct"/>
            <w:tcBorders>
              <w:left w:val="single" w:color="000000" w:sz="8" w:space="0"/>
              <w:bottom w:val="single" w:color="000000" w:sz="8" w:space="0"/>
              <w:right w:val="single" w:color="000000" w:sz="8" w:space="0"/>
            </w:tcBorders>
            <w:noWrap w:val="0"/>
            <w:tcMar>
              <w:top w:w="13" w:type="dxa"/>
              <w:left w:w="67" w:type="dxa"/>
              <w:bottom w:w="0" w:type="dxa"/>
              <w:right w:w="67" w:type="dxa"/>
            </w:tcMar>
            <w:vAlign w:val="center"/>
          </w:tcPr>
          <w:p w14:paraId="0177DAFB">
            <w:pPr>
              <w:pStyle w:val="12"/>
              <w:spacing w:before="0" w:after="0" w:line="380" w:lineRule="atLeast"/>
              <w:ind w:left="1537" w:right="0" w:hanging="1432"/>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w:t>
            </w:r>
          </w:p>
        </w:tc>
        <w:tc>
          <w:tcPr>
            <w:tcW w:w="481" w:type="pct"/>
            <w:tcBorders>
              <w:bottom w:val="single" w:color="000000" w:sz="8" w:space="0"/>
              <w:right w:val="single" w:color="000000" w:sz="8" w:space="0"/>
            </w:tcBorders>
            <w:noWrap w:val="0"/>
            <w:tcMar>
              <w:top w:w="13" w:type="dxa"/>
              <w:left w:w="57" w:type="dxa"/>
              <w:bottom w:w="0" w:type="dxa"/>
              <w:right w:w="67" w:type="dxa"/>
            </w:tcMar>
            <w:vAlign w:val="center"/>
          </w:tcPr>
          <w:p w14:paraId="16C99B35">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IPSEC VPN安全网关</w:t>
            </w:r>
          </w:p>
        </w:tc>
        <w:tc>
          <w:tcPr>
            <w:tcW w:w="463" w:type="pct"/>
            <w:tcBorders>
              <w:bottom w:val="single" w:color="000000" w:sz="8" w:space="0"/>
              <w:right w:val="single" w:color="000000" w:sz="8" w:space="0"/>
            </w:tcBorders>
            <w:noWrap w:val="0"/>
            <w:tcMar>
              <w:top w:w="13" w:type="dxa"/>
              <w:left w:w="57" w:type="dxa"/>
              <w:bottom w:w="0" w:type="dxa"/>
              <w:right w:w="67" w:type="dxa"/>
            </w:tcMar>
            <w:vAlign w:val="center"/>
          </w:tcPr>
          <w:p w14:paraId="0FBCC852">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4台</w:t>
            </w:r>
          </w:p>
        </w:tc>
        <w:tc>
          <w:tcPr>
            <w:tcW w:w="3741" w:type="pct"/>
            <w:tcBorders>
              <w:bottom w:val="single" w:color="000000" w:sz="8" w:space="0"/>
              <w:right w:val="single" w:color="000000" w:sz="8" w:space="0"/>
            </w:tcBorders>
            <w:noWrap w:val="0"/>
            <w:tcMar>
              <w:top w:w="13" w:type="dxa"/>
              <w:left w:w="57" w:type="dxa"/>
              <w:bottom w:w="0" w:type="dxa"/>
              <w:right w:w="67" w:type="dxa"/>
            </w:tcMar>
            <w:vAlign w:val="center"/>
          </w:tcPr>
          <w:p w14:paraId="6347AC19">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1、2U机架式设备，采用国产处理器；内存≥32G ；硬盘≥4T；电源≥350W，冗余电源；网络接口≥6千兆电口，≥4千兆光口，≥4万兆光口，最大并发隧道≥25000条，加解密延时≤0.3ms，吞吐量≥30Gbps，支持SM3、SM4商密算法；</w:t>
            </w:r>
          </w:p>
          <w:p w14:paraId="4C6451C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★支持隧道自愈功能，当网络恢复或重启时能够自动重新建立隧道连接；（投标文件中提供功能截图并加盖投标人公章）</w:t>
            </w:r>
          </w:p>
          <w:p w14:paraId="1A3A700F">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支持ESP协议封装方式，当ESP协议封装时，启用ESP协议中的验证操作；</w:t>
            </w:r>
          </w:p>
          <w:p w14:paraId="259B4A0E">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 支持DPD功能，在检测到对体异常时可重新发起协商；</w:t>
            </w:r>
          </w:p>
          <w:p w14:paraId="5BB642C6">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5、 ★支持清除管理后台敏感数据缓存，如用户口令、密码运算等临时数据；（投标文件中提供功能截图并加盖投标人公章）</w:t>
            </w:r>
          </w:p>
          <w:p w14:paraId="34265B5E">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6、 支持NAT穿越功能，并支持双向穿越；</w:t>
            </w:r>
          </w:p>
          <w:p w14:paraId="196196DB">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7、 支持授权终端管理，支持通过终端MAC地址（可通过txt批量导入）添加终端设备，支持删除、禁用设备，并可通过MAC地址、启用状态、添加时间等进行查询操作；</w:t>
            </w:r>
          </w:p>
          <w:p w14:paraId="3B790A07">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8、 支持告警设置，支持添加告警邮箱、配置邮箱服务器，支持针对数据完整性校验、审计日志存储超限、系统负载超限等进行告警项配置；</w:t>
            </w:r>
          </w:p>
          <w:p w14:paraId="30794B7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9、 支持设备密钥的备份和恢复管理；</w:t>
            </w:r>
          </w:p>
          <w:p w14:paraId="05508A10">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10、 ★支持策略高级设置：支持设置安全提议、交换模式、IKE生存时间、封装模式、协议类型；（投标文件中提供功能截图并加盖投标人公章）</w:t>
            </w:r>
          </w:p>
          <w:p w14:paraId="254343A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11、 支持查看IPsec安全联盟情况：隧道两端IP、传输模式、安全协议、验证算法、加密算法、DH组等；</w:t>
            </w:r>
          </w:p>
          <w:p w14:paraId="6F2F280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12、 支持对网络带宽、内存、CPU、磁盘使用率进行统计分析，并以图表形式展示；</w:t>
            </w:r>
          </w:p>
          <w:p w14:paraId="79D583FE">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13、 支持对管理员用户采取分权机制，实现基于数字证书认证技术的角色分离。为了避免因权限过大引发的安全隐患，分别设立超级管理员、系统管理员、安全管理员、审计管理员的角色对系统进行分级管理；</w:t>
            </w:r>
          </w:p>
          <w:p w14:paraId="222A6E7B">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★14、 产品具备《商用密码产品认证证书》，投标文件中提供该证书复印件并加盖公章；</w:t>
            </w:r>
          </w:p>
        </w:tc>
      </w:tr>
      <w:tr w14:paraId="4EB6120E">
        <w:tblPrEx>
          <w:tblCellMar>
            <w:top w:w="15" w:type="dxa"/>
            <w:left w:w="15" w:type="dxa"/>
            <w:bottom w:w="15" w:type="dxa"/>
            <w:right w:w="15" w:type="dxa"/>
          </w:tblCellMar>
        </w:tblPrEx>
        <w:trPr>
          <w:trHeight w:val="567" w:hRule="atLeast"/>
          <w:tblCellSpacing w:w="0" w:type="dxa"/>
        </w:trPr>
        <w:tc>
          <w:tcPr>
            <w:tcW w:w="313" w:type="pct"/>
            <w:tcBorders>
              <w:left w:val="single" w:color="000000" w:sz="8" w:space="0"/>
              <w:bottom w:val="single" w:color="000000" w:sz="8" w:space="0"/>
              <w:right w:val="single" w:color="000000" w:sz="8" w:space="0"/>
            </w:tcBorders>
            <w:noWrap w:val="0"/>
            <w:tcMar>
              <w:top w:w="13" w:type="dxa"/>
              <w:left w:w="67" w:type="dxa"/>
              <w:bottom w:w="0" w:type="dxa"/>
              <w:right w:w="67" w:type="dxa"/>
            </w:tcMar>
            <w:vAlign w:val="center"/>
          </w:tcPr>
          <w:p w14:paraId="116B7495">
            <w:pPr>
              <w:pStyle w:val="12"/>
              <w:spacing w:before="0" w:after="0" w:line="380" w:lineRule="atLeast"/>
              <w:ind w:left="1537" w:right="0" w:hanging="1432"/>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w:t>
            </w:r>
          </w:p>
        </w:tc>
        <w:tc>
          <w:tcPr>
            <w:tcW w:w="481" w:type="pct"/>
            <w:tcBorders>
              <w:bottom w:val="single" w:color="000000" w:sz="8" w:space="0"/>
              <w:right w:val="single" w:color="000000" w:sz="8" w:space="0"/>
            </w:tcBorders>
            <w:noWrap w:val="0"/>
            <w:tcMar>
              <w:top w:w="13" w:type="dxa"/>
              <w:left w:w="57" w:type="dxa"/>
              <w:bottom w:w="0" w:type="dxa"/>
              <w:right w:w="67" w:type="dxa"/>
            </w:tcMar>
            <w:vAlign w:val="center"/>
          </w:tcPr>
          <w:p w14:paraId="43DEA825">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SSL VPN安全网关</w:t>
            </w:r>
          </w:p>
        </w:tc>
        <w:tc>
          <w:tcPr>
            <w:tcW w:w="463" w:type="pct"/>
            <w:tcBorders>
              <w:bottom w:val="single" w:color="000000" w:sz="8" w:space="0"/>
              <w:right w:val="single" w:color="000000" w:sz="8" w:space="0"/>
            </w:tcBorders>
            <w:noWrap w:val="0"/>
            <w:tcMar>
              <w:top w:w="13" w:type="dxa"/>
              <w:left w:w="57" w:type="dxa"/>
              <w:bottom w:w="0" w:type="dxa"/>
              <w:right w:w="67" w:type="dxa"/>
            </w:tcMar>
            <w:vAlign w:val="center"/>
          </w:tcPr>
          <w:p w14:paraId="586E3FC6">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2台</w:t>
            </w:r>
          </w:p>
        </w:tc>
        <w:tc>
          <w:tcPr>
            <w:tcW w:w="3741" w:type="pct"/>
            <w:tcBorders>
              <w:bottom w:val="single" w:color="000000" w:sz="8" w:space="0"/>
              <w:right w:val="single" w:color="000000" w:sz="8" w:space="0"/>
            </w:tcBorders>
            <w:noWrap w:val="0"/>
            <w:tcMar>
              <w:top w:w="13" w:type="dxa"/>
              <w:left w:w="57" w:type="dxa"/>
              <w:bottom w:w="0" w:type="dxa"/>
              <w:right w:w="67" w:type="dxa"/>
            </w:tcMar>
            <w:vAlign w:val="center"/>
          </w:tcPr>
          <w:p w14:paraId="186AD41B">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★2U机架式设备，国产处理器，千兆网口≥2个，万兆网口≥2个，冗余电源供电；</w:t>
            </w:r>
          </w:p>
          <w:p w14:paraId="285A516D">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★SSL加密带宽≥1Gbps，最大并发用户数≥8000个，最大用户数≥10000个，含用户节点授权300个；</w:t>
            </w:r>
          </w:p>
          <w:p w14:paraId="6B797E3A">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支持TLS V1.1/V1.2/V1.3，同时支持国密标准SSL协议GMTLS V1.1；</w:t>
            </w:r>
          </w:p>
          <w:p w14:paraId="21BE05D7">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 支持反向代理、SSL VPN隧道工作模式；</w:t>
            </w:r>
          </w:p>
          <w:p w14:paraId="7C446E7E">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5、 支持SSL卸载，通过将应用访问过程中SSL的加解密过程转到网关之上，从而减少服务器端的性能压力，提升客户端的访问响应速度；</w:t>
            </w:r>
          </w:p>
          <w:p w14:paraId="30109620">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6、 支持FTP代理、HTTP/HTTPS代理、SMTP/SMTPS代理、POP3/POP3S代理、IMIP代理，可实现支持基于VPN隧道的应用代理，实现深层次的通信数据过滤，以及反病毒功能；</w:t>
            </w:r>
          </w:p>
          <w:p w14:paraId="345350A6">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7、 #支持SSL用户登录前通知消息和在线用户消息推送；（投标文件中提供具备CNAS资质检测机构出具的检测报告或功能截图并加盖投标人公章）</w:t>
            </w:r>
          </w:p>
          <w:p w14:paraId="46BA2BFC">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8、 支持国密和国际SSL协议自适应，可以在网关配置双证书，实现两类证书用户访问同一代理站点；</w:t>
            </w:r>
          </w:p>
          <w:p w14:paraId="02DEFAF3">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9、 #支持抗非法报文攻击、支持通用非法报文、非法TCP报文、非法ICMP报文的检测、支持抗系统扫描、支持抗洪泛攻击；（投标文件中提供国家认可并具有资质的第三方检测机构出具的检测报告或功能截图并加盖投标人公章）</w:t>
            </w:r>
          </w:p>
          <w:p w14:paraId="167A941A">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10、 支持NAT穿越、支持双边NAT建隧道、支持DPD探测；</w:t>
            </w:r>
          </w:p>
          <w:p w14:paraId="11F04B8C">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11、 #支持基于原和目的的五元组规则进行带宽管理；（投标文件中提供国家认可并具有资质的第三方检测机构出具的检测报告或功能截图并加盖投标人公章）</w:t>
            </w:r>
          </w:p>
          <w:p w14:paraId="1BC23B86">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12、 #支持基于IP/MAC绑定、支持动态端口协议、支持报文合法性检查；（投标文件中提供国家认可并具有资质的第三方检测机构出具的检测报告或功能截图并加盖投标人公章）</w:t>
            </w:r>
          </w:p>
          <w:p w14:paraId="51150CCB">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13、 #支持用户访问细粒度控制，支持用户组虚IP地址池，控制用户的访问时间、地址、资源等，支持同一个用户分配至多个用户组下，并支持组间隔离，支持用户黑名单；（投标文件中提供国家认可并具有资质的第三方检测机构出具的检测报告或功能截图并加盖投标人公章）</w:t>
            </w:r>
          </w:p>
          <w:p w14:paraId="086FA556">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14、 支持多种负载均衡策略，包括：随机调度、轮询调度、权重调度、最小连接数调度、IP HASH和智能选路；</w:t>
            </w:r>
          </w:p>
          <w:p w14:paraId="7F5D1A6A">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15、 #支持用户终端安全检查，通过是否设置系统口令、特定文件、进程、注册表等情况进行检查，对于不符合要求的终端禁止接入网关；（投标文件中提供国家认可并具有资质的第三方检测机构出具的检测报告或功能截图并加盖投标人公章）</w:t>
            </w:r>
          </w:p>
          <w:p w14:paraId="2A0F80B2">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16、 具备《商用密码产品认证证书》。</w:t>
            </w:r>
          </w:p>
        </w:tc>
      </w:tr>
      <w:tr w14:paraId="4D394A23">
        <w:tblPrEx>
          <w:tblCellMar>
            <w:top w:w="15" w:type="dxa"/>
            <w:left w:w="15" w:type="dxa"/>
            <w:bottom w:w="15" w:type="dxa"/>
            <w:right w:w="15" w:type="dxa"/>
          </w:tblCellMar>
        </w:tblPrEx>
        <w:trPr>
          <w:trHeight w:val="567" w:hRule="atLeast"/>
          <w:tblCellSpacing w:w="0" w:type="dxa"/>
        </w:trPr>
        <w:tc>
          <w:tcPr>
            <w:tcW w:w="313" w:type="pct"/>
            <w:tcBorders>
              <w:left w:val="single" w:color="000000" w:sz="8" w:space="0"/>
              <w:bottom w:val="single" w:color="000000" w:sz="8" w:space="0"/>
              <w:right w:val="single" w:color="000000" w:sz="8" w:space="0"/>
            </w:tcBorders>
            <w:noWrap w:val="0"/>
            <w:tcMar>
              <w:top w:w="13" w:type="dxa"/>
              <w:left w:w="67" w:type="dxa"/>
              <w:bottom w:w="0" w:type="dxa"/>
              <w:right w:w="67" w:type="dxa"/>
            </w:tcMar>
            <w:vAlign w:val="center"/>
          </w:tcPr>
          <w:p w14:paraId="4F42545A">
            <w:pPr>
              <w:pStyle w:val="12"/>
              <w:spacing w:before="0" w:after="0" w:line="380" w:lineRule="atLeast"/>
              <w:ind w:left="1537" w:right="0" w:hanging="1432"/>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w:t>
            </w:r>
          </w:p>
        </w:tc>
        <w:tc>
          <w:tcPr>
            <w:tcW w:w="481" w:type="pct"/>
            <w:tcBorders>
              <w:bottom w:val="single" w:color="000000" w:sz="8" w:space="0"/>
              <w:right w:val="single" w:color="000000" w:sz="8" w:space="0"/>
            </w:tcBorders>
            <w:noWrap w:val="0"/>
            <w:tcMar>
              <w:top w:w="13" w:type="dxa"/>
              <w:left w:w="57" w:type="dxa"/>
              <w:bottom w:w="0" w:type="dxa"/>
              <w:right w:w="67" w:type="dxa"/>
            </w:tcMar>
            <w:vAlign w:val="center"/>
          </w:tcPr>
          <w:p w14:paraId="7F7B0477">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堡垒机</w:t>
            </w:r>
          </w:p>
        </w:tc>
        <w:tc>
          <w:tcPr>
            <w:tcW w:w="463" w:type="pct"/>
            <w:tcBorders>
              <w:bottom w:val="single" w:color="000000" w:sz="8" w:space="0"/>
              <w:right w:val="single" w:color="000000" w:sz="8" w:space="0"/>
            </w:tcBorders>
            <w:noWrap w:val="0"/>
            <w:tcMar>
              <w:top w:w="13" w:type="dxa"/>
              <w:left w:w="57" w:type="dxa"/>
              <w:bottom w:w="0" w:type="dxa"/>
              <w:right w:w="67" w:type="dxa"/>
            </w:tcMar>
            <w:vAlign w:val="center"/>
          </w:tcPr>
          <w:p w14:paraId="01F3D402">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4台</w:t>
            </w:r>
          </w:p>
        </w:tc>
        <w:tc>
          <w:tcPr>
            <w:tcW w:w="3741" w:type="pct"/>
            <w:tcBorders>
              <w:bottom w:val="single" w:color="000000" w:sz="8" w:space="0"/>
              <w:right w:val="single" w:color="000000" w:sz="8" w:space="0"/>
            </w:tcBorders>
            <w:noWrap w:val="0"/>
            <w:tcMar>
              <w:top w:w="13" w:type="dxa"/>
              <w:left w:w="57" w:type="dxa"/>
              <w:bottom w:w="0" w:type="dxa"/>
              <w:right w:w="67" w:type="dxa"/>
            </w:tcMar>
            <w:vAlign w:val="center"/>
          </w:tcPr>
          <w:p w14:paraId="14184E38">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★2U机架式设备，采用国产处理器，采用多核架构，支持交流双电源；配备国密硬件加密卡(二级)，并发字符连接最大数≥1000，并发图形≥300，运维资产授权数≥1000，支持双因子身份认证；</w:t>
            </w:r>
          </w:p>
          <w:p w14:paraId="47A2BC20">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★千兆电口≥6，千兆光口≥4，USB口≥2，硬盘≥2T*2，内存≥16G，1+1冗余双电源，3年硬件和软件维保服务；</w:t>
            </w:r>
          </w:p>
          <w:p w14:paraId="2AADF28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支持采用国密加密算法进行用户密码存储；</w:t>
            </w:r>
          </w:p>
          <w:p w14:paraId="51593299">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 支持用户多角色划分功能，如系统管理员、部门管理员、运维员、审计管理员、密码管理员等，对各类角色需要进行细粒度的权限管理；</w:t>
            </w:r>
          </w:p>
          <w:p w14:paraId="6BDA8E1B">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5、 支持用户的批量导入/导出，按用户类型等分组方式；支持用户安全策略功能，如密码锁定次数、密码有效期、密码复杂度、用户有效期、用户登录时间限制、用户登录IP范围等；</w:t>
            </w:r>
          </w:p>
          <w:p w14:paraId="50220A6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6、 ★支持按部门组织架构（至少5个层级的部门）管理用户数据、资产数据、授权数据、审计数据；（投标文件中提供功能截图并加盖投标人公章）</w:t>
            </w:r>
          </w:p>
          <w:p w14:paraId="23483CD9">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7、 ★支持与AD、LDAP、RADIUS、吉大正元、北京CA认证系统联动登录堡垒机，支持自动同步AD/LDAP用户；（投标文件中提供功能截图并加盖投标人公章）</w:t>
            </w:r>
          </w:p>
          <w:p w14:paraId="2C80BA10">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8、 支持标准化对接CAS、JWT、SAML2、OAuth2单点登录认证，且CAS、SAML2、OAuth2支持配置是否自动创建堡垒机中不存在用户；</w:t>
            </w:r>
          </w:p>
          <w:p w14:paraId="6F188943">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9、 堡垒机须内嵌动态令牌和usbkey认证引擎，可同时使用动态令牌和USBkey；</w:t>
            </w:r>
          </w:p>
          <w:p w14:paraId="16C2BDFC">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10、 支持对数据库运维会话的上行和下行命令进行审计；</w:t>
            </w:r>
          </w:p>
          <w:p w14:paraId="6AC87A4D">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11、 可以设置用户密码的长度、复杂度、相关度，其中相关度可以设置密码与用户名的关系，可以选择是否检查历史密码。并可支持密码过期前告警；</w:t>
            </w:r>
          </w:p>
          <w:p w14:paraId="29155838">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12、 支持常用的运维协议：SSH、TELNET、RDP、VNC、FTP、SFTP、rlogin；可通过应用发布的方式进行协议扩展，如数据库Oracle、MSSQL、MySQL、VMware vSphere Client、浏览器等客户端工具；</w:t>
            </w:r>
          </w:p>
          <w:p w14:paraId="70470D0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13、 ★支持ssh、telnet、rlogin、rdp、vnc协议的H5运维，无需本地运维客户端工具；（投标文件中提供功能截图并加盖投标人公章）</w:t>
            </w:r>
          </w:p>
          <w:p w14:paraId="02B41D3A">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14、 数据库支持命令管控能力，可以实现阻断会话、阻断命令、审批、直接放行4种动作，精确到数据库，表、字段级别；</w:t>
            </w:r>
          </w:p>
          <w:p w14:paraId="7442026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15、 支持对Web应用的自动改密功能，并且支持随堡垒机提供的改密插件录制向导，通过改密插件自动生成web应用的改密脚本；</w:t>
            </w:r>
          </w:p>
          <w:p w14:paraId="02646B1E">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16、 支持命令管控能力，可以实现阻断会话、阻断命令、审批、直接放行4种动作，精确到数据库，表、字段级别；</w:t>
            </w:r>
          </w:p>
          <w:p w14:paraId="06D17C9C">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17、 ★支持对运维操作会话的在线监控、实时阻断、日志回放、起止时间、来源用户、来源IP、目标设备、协议/应用类型、命令记录、操作内容（如对文件的上传、下载、删除、修改等操作等）的详细行（投标文件中提供功能截图并加盖投标人公章）。</w:t>
            </w:r>
          </w:p>
        </w:tc>
      </w:tr>
      <w:tr w14:paraId="54354851">
        <w:tblPrEx>
          <w:tblCellMar>
            <w:top w:w="15" w:type="dxa"/>
            <w:left w:w="15" w:type="dxa"/>
            <w:bottom w:w="15" w:type="dxa"/>
            <w:right w:w="15" w:type="dxa"/>
          </w:tblCellMar>
        </w:tblPrEx>
        <w:trPr>
          <w:trHeight w:val="567" w:hRule="atLeast"/>
          <w:tblCellSpacing w:w="0" w:type="dxa"/>
        </w:trPr>
        <w:tc>
          <w:tcPr>
            <w:tcW w:w="313" w:type="pct"/>
            <w:tcBorders>
              <w:left w:val="single" w:color="000000" w:sz="8" w:space="0"/>
              <w:bottom w:val="single" w:color="000000" w:sz="8" w:space="0"/>
              <w:right w:val="single" w:color="000000" w:sz="8" w:space="0"/>
            </w:tcBorders>
            <w:noWrap w:val="0"/>
            <w:tcMar>
              <w:top w:w="13" w:type="dxa"/>
              <w:left w:w="67" w:type="dxa"/>
              <w:bottom w:w="0" w:type="dxa"/>
              <w:right w:w="67" w:type="dxa"/>
            </w:tcMar>
            <w:vAlign w:val="center"/>
          </w:tcPr>
          <w:p w14:paraId="7872CEF0">
            <w:pPr>
              <w:pStyle w:val="12"/>
              <w:spacing w:before="0" w:after="0" w:line="380" w:lineRule="atLeast"/>
              <w:ind w:left="1537" w:right="0" w:hanging="1432"/>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4 </w:t>
            </w:r>
          </w:p>
        </w:tc>
        <w:tc>
          <w:tcPr>
            <w:tcW w:w="481" w:type="pct"/>
            <w:tcBorders>
              <w:bottom w:val="single" w:color="000000" w:sz="8" w:space="0"/>
              <w:right w:val="single" w:color="000000" w:sz="8" w:space="0"/>
            </w:tcBorders>
            <w:noWrap w:val="0"/>
            <w:tcMar>
              <w:top w:w="13" w:type="dxa"/>
              <w:left w:w="57" w:type="dxa"/>
              <w:bottom w:w="0" w:type="dxa"/>
              <w:right w:w="67" w:type="dxa"/>
            </w:tcMar>
            <w:vAlign w:val="center"/>
          </w:tcPr>
          <w:p w14:paraId="46EC6430">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容器安全检测系统</w:t>
            </w:r>
          </w:p>
        </w:tc>
        <w:tc>
          <w:tcPr>
            <w:tcW w:w="463" w:type="pct"/>
            <w:tcBorders>
              <w:bottom w:val="single" w:color="000000" w:sz="8" w:space="0"/>
              <w:right w:val="single" w:color="000000" w:sz="8" w:space="0"/>
            </w:tcBorders>
            <w:noWrap w:val="0"/>
            <w:tcMar>
              <w:top w:w="13" w:type="dxa"/>
              <w:left w:w="57" w:type="dxa"/>
              <w:bottom w:w="0" w:type="dxa"/>
              <w:right w:w="67" w:type="dxa"/>
            </w:tcMar>
            <w:vAlign w:val="center"/>
          </w:tcPr>
          <w:p w14:paraId="471B518E">
            <w:pPr>
              <w:pStyle w:val="12"/>
              <w:spacing w:before="0" w:after="0" w:line="380" w:lineRule="atLeast"/>
              <w:ind w:left="0" w:right="0"/>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1套</w:t>
            </w:r>
          </w:p>
        </w:tc>
        <w:tc>
          <w:tcPr>
            <w:tcW w:w="3741" w:type="pct"/>
            <w:tcBorders>
              <w:bottom w:val="single" w:color="000000" w:sz="8" w:space="0"/>
              <w:right w:val="single" w:color="000000" w:sz="8" w:space="0"/>
            </w:tcBorders>
            <w:noWrap w:val="0"/>
            <w:tcMar>
              <w:top w:w="13" w:type="dxa"/>
              <w:left w:w="57" w:type="dxa"/>
              <w:bottom w:w="0" w:type="dxa"/>
              <w:right w:w="67" w:type="dxa"/>
            </w:tcMar>
            <w:vAlign w:val="center"/>
          </w:tcPr>
          <w:p w14:paraId="113AE053">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★性能要求：配置≥500个防护节点安全容器；</w:t>
            </w:r>
          </w:p>
          <w:p w14:paraId="1AC45DB0">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资源限制：支持限制客户端的资源占用，Agent客户端的资源占用不超过1CPU和1G内存，客户端不得修改服务器操作系统内核或驱动；</w:t>
            </w:r>
          </w:p>
          <w:p w14:paraId="44DC5236">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安全性：客户端具备手动降级机制，当Agent出现异常时，允许管理员通过产品web页面，实时查看Agent资源占用，可下载Agent日志，可将Agent设置为停用模式、降级模式；当问题处理后，可通过web页面，将其设置为正常模式。Agent具备自杀&amp;重启机制，当Agent发现自身资源占用过大时，例如CPU、内存等，Agent进程会自杀重启。产品web页面，支持查看Agent是否频繁离线；</w:t>
            </w:r>
          </w:p>
          <w:p w14:paraId="09B83B3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 #登陆集成：支持对接第三方的身份认证系统，可直接在产品界面中进行配置，如LDAP、微软AD等；支持开启双因素认证，如Google Authenticator、Radius；（投标文件中提供功能截图并加盖投标人公章）</w:t>
            </w:r>
          </w:p>
          <w:p w14:paraId="1AB69B59">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5、 容器资产：</w:t>
            </w:r>
          </w:p>
          <w:p w14:paraId="119CE63D">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支持自动获取集群中的容器资产，并自动关联容器所属的节点、所属集群、对应pod、来源镜像信息，同时细粒度梳理容器中的进程、端口、数据挂载、网络、安装包等信息；</w:t>
            </w:r>
          </w:p>
          <w:p w14:paraId="0BC124B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支持自动清点仓库中的镜像信息，包括来源仓库类型、仓库地址、镜像名称、镜像大小等；并关联运行容器，以查看仓库中的镜像的使用情况；</w:t>
            </w:r>
          </w:p>
          <w:p w14:paraId="6D9E6A5A">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支持自动获取集群中的节点信息，包括节点IP、节点名、节点在线情况、节点操作系统、节点上agent安装时间等基本信息；节点上容器运行时类型、版本、运行的容器数、镜像数等；</w:t>
            </w:r>
          </w:p>
          <w:p w14:paraId="24A974C2">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6、 #集群资产：支持自动化获取集群中的资源信息：包含POD、Service、Endpoint、Ingress、Namespace、Controller、PV（Persistent Volume）、PVC（Persistent Volume Claim）、SA（Service Account）、Secret、Role、用户（组）等信息；（投标文件中提供功能截图并加盖投标人公章）</w:t>
            </w:r>
          </w:p>
          <w:p w14:paraId="65FDC2DF">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7、 应用资产：</w:t>
            </w:r>
          </w:p>
          <w:p w14:paraId="78079E22">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支持自动清点容器内的运行应用相关信息，包括：应用名、应用类别、版本号、运行用户、文件路径等。支持常见的软件应用，包括：SSH、Python、Tomcat、Nginx等；</w:t>
            </w:r>
          </w:p>
          <w:p w14:paraId="7720AE4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支持自动获取容器内正在运行的进程其关联的启动jar包资产，清点信息包括：jar包名称、版本、路径、所属容器等；</w:t>
            </w:r>
          </w:p>
          <w:p w14:paraId="54C00D0B">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#自持自动获取容器中的web资产，包括：1）自动获取容器内的web框架资产，如 Shiro、Spring、Log4j等，同时包括框架版本、框架语言、框架名、框架路径等。2）支持自动获取容器的web站点资产，如 Tomcat、Nginx等，同时包括域名、启动用户、主目录、所有者权限、虚拟目录信息等。3）支持自动获取容器的web应用资产，如Wordpress，同时包括版本、服务类型、站点域名、根目录、虚拟目录等；（投标文件中提供功能截图并加盖投标人公章）</w:t>
            </w:r>
          </w:p>
          <w:p w14:paraId="789C167A">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8、 镜像内容检查：</w:t>
            </w:r>
          </w:p>
          <w:p w14:paraId="20DC0CE4">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支持对镜像的操作系统未打的安全补丁进行检查，包括但不限于Redhat、Alpine、中标麒麟、银河麒麟、统信UOS，并详细展示补丁的危险程度、风险特征、发布时间、验证信息、修复建议、参考信息（CVE、CNNVD、CNVD、CWE等）、影响镜像、影响容器；</w:t>
            </w:r>
          </w:p>
          <w:p w14:paraId="6A82AA1B">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#支持对镜像进行软件成分分析，支持清点镜像的环境变量，应至少支持识别软件包：OS、Python、PHP、Node.js 、Ruby、Java、NET、Rust、Go等；（投标文件中提供功能截图并加盖投标人公章）</w:t>
            </w:r>
          </w:p>
          <w:p w14:paraId="16C663EC">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★支持检查运行的容器内应用的弱密码风险信息，例如SSH、WebLogic、Tomcat、Redis、TongWeb等；</w:t>
            </w:r>
          </w:p>
          <w:p w14:paraId="26D1983F">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 支持对镜像中的webshell、木马病毒进行检测，详细展示webshell的描述、命中规则、文件路径、文件MD5/SHA256、文件访问权限、文件大小、文件修改时间等，且能从产品界面上下载恶意文件进行风险确认，应至少支持3种以上的病毒引擎；</w:t>
            </w:r>
          </w:p>
          <w:p w14:paraId="5B7656F6">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（5） 支持对镜像中风险的软件版本信息进行识别，存在风险的软件版本支持自定义，支持对镜像中开源软件的license识别，以发现违规使用的license；</w:t>
            </w:r>
          </w:p>
          <w:p w14:paraId="13E52DE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9、 反弹检测：支持检测容器内反向连接行为，如nc、telnet、Python反弹场景，支持展示反弹shell详情。包括如对应的ATTCK技术、进程名、进程命令行、进程链信息、进程md5、进程sha256等。</w:t>
            </w:r>
          </w:p>
          <w:p w14:paraId="1F46E19D">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10、 webshell检测：支持实时检测容器内常见类型的web后门文件，支持手动扫描验证，支持对特定集群、节点进行手动的webshell扫描，以验证webshell问题是否被修复。支持展示web后门文件内容，并高亮出命中检测规则的代码段，支持下载恶意文件，方便用户判断分析；</w:t>
            </w:r>
          </w:p>
          <w:p w14:paraId="17048B48">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11、 病毒检测：支持实时检测容器中的运行进程中的挖矿程序、远控木马、恶意文件等病毒，支持手动对指定集群、节点中的容器进行病毒木马的检测，以帮助进行修复验证；</w:t>
            </w:r>
          </w:p>
          <w:p w14:paraId="1BF6AC4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12、 可疑脚本检测：支持实时检测程序加载的脚本，实时发现恶意的脚本执行行为，例如使用脚本执行挖矿程序、使用脚本执行反弹、使用脚本进行混淆加密操作等，包含：.sh，.py等；</w:t>
            </w:r>
          </w:p>
          <w:p w14:paraId="4F0A7FC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13、 #内存后门检测：支持实时检测内存恶意代码，可以手动扫描指定节点、指定集群的进程的内存恶意代码，并示展示和下载内存恶意代码的详细信息；支持实时检测在内存中加载的网站恶意文件，无任何本地文件的检测，支持支持下载原恶意的class文件，下载恶意的java反编译类、支持详细展示恶意类命中的规则情况，以方便用户进行研判分析；（投标文件中提供功能截图并加盖投标人公章）</w:t>
            </w:r>
          </w:p>
          <w:p w14:paraId="42215EDD">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14、 自定义规则：</w:t>
            </w:r>
          </w:p>
          <w:p w14:paraId="7C9A032F">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支持自定义恶意进程检测规则，包括ATTCK技术、单进程匹配/跨级进程匹配模式、进程名、父进程名等；</w:t>
            </w:r>
          </w:p>
          <w:p w14:paraId="39E4E05A">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支持自定义恶意文件检测规则，webshell的监控目录自定义、webshell文件正则、允许用户将自己的webshell样本文件录入规则库；正则匹配自定义脚本内容；并支持选定应用范围；</w:t>
            </w:r>
          </w:p>
          <w:p w14:paraId="6680C517">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 #支持检测利用容器中web漏洞远程执行恶意命令的行为，例如执行异常加解密、利用 dnslog 探测、利用 python 执行混淆代码的恶意行为；支持自定义IP、域名、文件的威胁情报，应至少包括恶意行为类型、危险程度、IP/域名、情报有效期等信息；（投标文件中提供功能截图并加盖投标人公章）</w:t>
            </w:r>
          </w:p>
          <w:p w14:paraId="0E70EB79">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15、 入侵白名单：支持对所有类型的攻击事件进行加白操作，为更好适配业务，支持对指定集群、指定节点范围内的业务进行加白；支持设置白名单规则是否影响历史告警；应提供影响范围显示，展示所有被加白的具体事件信息，防止误加白；</w:t>
            </w:r>
          </w:p>
          <w:p w14:paraId="03B9C46D">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16、 基线检查：</w:t>
            </w:r>
          </w:p>
          <w:p w14:paraId="1461BE04">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支持基于CIS 对docker基线进行检查，基线包括容器基线、镜像基线、docker应用的配置基线；</w:t>
            </w:r>
          </w:p>
          <w:p w14:paraId="35230A1C">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支持提供任务式基线扫描方式，即用户可自定义需要扫描的基线模版、范围（集群、节点）等进行创建任务扫描；</w:t>
            </w:r>
          </w:p>
          <w:p w14:paraId="7A63C76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17、 容器漏洞检查：</w:t>
            </w:r>
          </w:p>
          <w:p w14:paraId="450DD8A5">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 支持检查运行的容器中编译安装的应用漏洞，例如tomcat、weblogic等，支持检查运行的容器中的框架漏洞，例如Apache Dubbo、Spring Cloud等，支持检查运行的容器中java jar包的应用漏洞，例如strust2、shiro、FastJSON等；</w:t>
            </w:r>
          </w:p>
          <w:p w14:paraId="370D2580">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 支持采用POC方式，检测运行的容器中存在的漏洞，并且在页面上能显示详细的漏洞详情、POC的执行结果，以验证漏洞存在的真实性；</w:t>
            </w:r>
          </w:p>
          <w:p w14:paraId="56D1D491">
            <w:pPr>
              <w:pStyle w:val="12"/>
              <w:spacing w:before="0" w:after="0"/>
              <w:ind w:left="0" w:right="0" w:firstLine="420"/>
              <w:jc w:val="both"/>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18、 ★提供≥3年原厂商软件平台及许可升级服务。</w:t>
            </w:r>
          </w:p>
        </w:tc>
      </w:tr>
    </w:tbl>
    <w:p w14:paraId="51964539">
      <w:pPr>
        <w:pStyle w:val="3"/>
        <w:keepNext w:val="0"/>
        <w:spacing w:before="0" w:after="0" w:line="360" w:lineRule="auto"/>
        <w:rPr>
          <w:rFonts w:hint="eastAsia" w:ascii="仿宋_GB2312" w:hAnsi="仿宋_GB2312" w:eastAsia="仿宋_GB2312" w:cs="仿宋_GB2312"/>
          <w:b/>
          <w:bCs/>
          <w:sz w:val="28"/>
          <w:szCs w:val="28"/>
        </w:rPr>
      </w:pPr>
      <w:bookmarkStart w:id="4" w:name="_Toc256000021"/>
      <w:r>
        <w:rPr>
          <w:rFonts w:hint="eastAsia" w:ascii="仿宋_GB2312" w:hAnsi="仿宋_GB2312" w:eastAsia="仿宋_GB2312" w:cs="仿宋_GB2312"/>
          <w:i w:val="0"/>
          <w:iCs w:val="0"/>
          <w:sz w:val="28"/>
          <w:szCs w:val="28"/>
        </w:rPr>
        <w:t>3.2采购产品一览表</w:t>
      </w:r>
      <w:bookmarkEnd w:id="4"/>
    </w:p>
    <w:tbl>
      <w:tblPr>
        <w:tblStyle w:val="9"/>
        <w:tblW w:w="5000" w:type="pct"/>
        <w:tblInd w:w="30" w:type="dxa"/>
        <w:tblLayout w:type="autofit"/>
        <w:tblCellMar>
          <w:top w:w="15" w:type="dxa"/>
          <w:left w:w="15" w:type="dxa"/>
          <w:bottom w:w="15" w:type="dxa"/>
          <w:right w:w="15" w:type="dxa"/>
        </w:tblCellMar>
      </w:tblPr>
      <w:tblGrid>
        <w:gridCol w:w="906"/>
        <w:gridCol w:w="1632"/>
        <w:gridCol w:w="1633"/>
        <w:gridCol w:w="1633"/>
        <w:gridCol w:w="1633"/>
        <w:gridCol w:w="1633"/>
      </w:tblGrid>
      <w:tr w14:paraId="44A7DA4A">
        <w:tblPrEx>
          <w:tblCellMar>
            <w:top w:w="15" w:type="dxa"/>
            <w:left w:w="15" w:type="dxa"/>
            <w:bottom w:w="15" w:type="dxa"/>
            <w:right w:w="15" w:type="dxa"/>
          </w:tblCellMar>
        </w:tblPrEx>
        <w:tc>
          <w:tcPr>
            <w:tcW w:w="5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7FE078A9">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序号</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699A7E8">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产品类别</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EA2C672">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产品名称</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65A45DB1">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数量</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9443EEE">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单位</w:t>
            </w:r>
          </w:p>
        </w:tc>
        <w:tc>
          <w:tcPr>
            <w:tcW w:w="9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2D1D2A18">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备注</w:t>
            </w:r>
          </w:p>
        </w:tc>
      </w:tr>
      <w:tr w14:paraId="5CA7148D">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1A4F60B">
            <w:pPr>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5829DAB">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IPSEC VPN安全网关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E301C0D">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IPSEC VPN安全网关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FFCDEC2">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1F7633D">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7FC8553">
            <w:pPr>
              <w:jc w:val="left"/>
              <w:rPr>
                <w:rFonts w:hint="eastAsia" w:ascii="仿宋_GB2312" w:hAnsi="仿宋_GB2312" w:eastAsia="仿宋_GB2312" w:cs="仿宋_GB2312"/>
                <w:b w:val="0"/>
                <w:bCs w:val="0"/>
                <w:i w:val="0"/>
                <w:iCs w:val="0"/>
                <w:smallCaps w:val="0"/>
                <w:color w:val="000000"/>
                <w:sz w:val="24"/>
                <w:szCs w:val="24"/>
              </w:rPr>
            </w:pPr>
          </w:p>
        </w:tc>
      </w:tr>
      <w:tr w14:paraId="05B3ADEA">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A6F5633">
            <w:pPr>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80D3CAA">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SSL VPN安全网关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9E25A09">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SSL VPN安全网关</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EA5271">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2</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D27624A">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8020257">
            <w:pPr>
              <w:jc w:val="left"/>
              <w:rPr>
                <w:rFonts w:hint="eastAsia" w:ascii="仿宋_GB2312" w:hAnsi="仿宋_GB2312" w:eastAsia="仿宋_GB2312" w:cs="仿宋_GB2312"/>
                <w:b w:val="0"/>
                <w:bCs w:val="0"/>
                <w:i w:val="0"/>
                <w:iCs w:val="0"/>
                <w:smallCaps w:val="0"/>
                <w:color w:val="000000"/>
                <w:sz w:val="24"/>
                <w:szCs w:val="24"/>
              </w:rPr>
            </w:pPr>
          </w:p>
        </w:tc>
      </w:tr>
      <w:tr w14:paraId="2B129332">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EB54B78">
            <w:pPr>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606004D3">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堡垒机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6F996F4">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堡垒机</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A8F7490">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C388032">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台</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9BC03DF">
            <w:pPr>
              <w:jc w:val="left"/>
              <w:rPr>
                <w:rFonts w:hint="eastAsia" w:ascii="仿宋_GB2312" w:hAnsi="仿宋_GB2312" w:eastAsia="仿宋_GB2312" w:cs="仿宋_GB2312"/>
                <w:b w:val="0"/>
                <w:bCs w:val="0"/>
                <w:i w:val="0"/>
                <w:iCs w:val="0"/>
                <w:smallCaps w:val="0"/>
                <w:color w:val="000000"/>
                <w:sz w:val="24"/>
                <w:szCs w:val="24"/>
              </w:rPr>
            </w:pPr>
          </w:p>
        </w:tc>
      </w:tr>
      <w:tr w14:paraId="704E78E1">
        <w:tblPrEx>
          <w:tblCellMar>
            <w:top w:w="15" w:type="dxa"/>
            <w:left w:w="15" w:type="dxa"/>
            <w:bottom w:w="15" w:type="dxa"/>
            <w:right w:w="15" w:type="dxa"/>
          </w:tblCellMar>
        </w:tblPrEx>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144A6374">
            <w:pPr>
              <w:jc w:val="center"/>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4</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3B19B9B">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容器安全检测系统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16368E3">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容器安全检测系统</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9BB8152">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1</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EAF233">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套</w:t>
            </w:r>
          </w:p>
        </w:tc>
        <w:tc>
          <w:tcPr>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392C4807">
            <w:pPr>
              <w:jc w:val="left"/>
              <w:rPr>
                <w:rFonts w:hint="eastAsia" w:ascii="仿宋_GB2312" w:hAnsi="仿宋_GB2312" w:eastAsia="仿宋_GB2312" w:cs="仿宋_GB2312"/>
                <w:b w:val="0"/>
                <w:bCs w:val="0"/>
                <w:i w:val="0"/>
                <w:iCs w:val="0"/>
                <w:smallCaps w:val="0"/>
                <w:color w:val="000000"/>
                <w:sz w:val="24"/>
                <w:szCs w:val="24"/>
              </w:rPr>
            </w:pPr>
          </w:p>
        </w:tc>
      </w:tr>
    </w:tbl>
    <w:p w14:paraId="50A94A78">
      <w:pPr>
        <w:pStyle w:val="3"/>
        <w:keepNext w:val="0"/>
        <w:spacing w:before="0" w:after="0" w:line="360" w:lineRule="auto"/>
        <w:rPr>
          <w:rFonts w:hint="eastAsia" w:ascii="仿宋_GB2312" w:hAnsi="仿宋_GB2312" w:eastAsia="仿宋_GB2312" w:cs="仿宋_GB2312"/>
          <w:i w:val="0"/>
          <w:iCs w:val="0"/>
          <w:sz w:val="28"/>
          <w:szCs w:val="28"/>
        </w:rPr>
      </w:pPr>
      <w:bookmarkStart w:id="5" w:name="_Toc256000022"/>
    </w:p>
    <w:p w14:paraId="0915FEDD">
      <w:pPr>
        <w:pStyle w:val="3"/>
        <w:keepNext w:val="0"/>
        <w:spacing w:before="0" w:after="0" w:line="360" w:lineRule="auto"/>
        <w:rPr>
          <w:rFonts w:hint="eastAsia" w:ascii="仿宋_GB2312" w:hAnsi="仿宋_GB2312" w:eastAsia="仿宋_GB2312" w:cs="仿宋_GB2312"/>
          <w:i w:val="0"/>
          <w:iCs w:val="0"/>
          <w:sz w:val="28"/>
          <w:szCs w:val="28"/>
        </w:rPr>
      </w:pPr>
    </w:p>
    <w:p w14:paraId="23E2EBC6">
      <w:pPr>
        <w:pStyle w:val="3"/>
        <w:keepNext w:val="0"/>
        <w:spacing w:before="0" w:after="0" w:line="360" w:lineRule="auto"/>
        <w:rPr>
          <w:rFonts w:hint="eastAsia" w:ascii="仿宋_GB2312" w:hAnsi="仿宋_GB2312" w:eastAsia="仿宋_GB2312" w:cs="仿宋_GB2312"/>
          <w:b/>
          <w:bCs/>
          <w:sz w:val="28"/>
          <w:szCs w:val="28"/>
        </w:rPr>
      </w:pPr>
      <w:r>
        <w:rPr>
          <w:rFonts w:hint="eastAsia" w:ascii="仿宋_GB2312" w:hAnsi="仿宋_GB2312" w:eastAsia="仿宋_GB2312" w:cs="仿宋_GB2312"/>
          <w:i w:val="0"/>
          <w:iCs w:val="0"/>
          <w:sz w:val="28"/>
          <w:szCs w:val="28"/>
        </w:rPr>
        <w:t>3.3采购产品详细清单及技术指标</w:t>
      </w:r>
      <w:bookmarkEnd w:id="5"/>
    </w:p>
    <w:p w14:paraId="55918074">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采购文件（技术部分）中有标注★号的，为必备要求，必须满足，如未作出响应，将导致响应无效；#为重要内容、△为一般内容。</w:t>
      </w:r>
    </w:p>
    <w:p w14:paraId="21E40FB5">
      <w:pPr>
        <w:pStyle w:val="3"/>
        <w:keepNext w:val="0"/>
        <w:spacing w:before="0" w:after="0" w:line="360" w:lineRule="auto"/>
        <w:rPr>
          <w:rFonts w:hint="eastAsia" w:ascii="仿宋_GB2312" w:hAnsi="仿宋_GB2312" w:eastAsia="仿宋_GB2312" w:cs="仿宋_GB2312"/>
          <w:b/>
          <w:bCs/>
          <w:sz w:val="28"/>
          <w:szCs w:val="28"/>
        </w:rPr>
      </w:pPr>
      <w:bookmarkStart w:id="6" w:name="_Toc256000023"/>
      <w:r>
        <w:rPr>
          <w:rFonts w:hint="eastAsia" w:ascii="仿宋_GB2312" w:hAnsi="仿宋_GB2312" w:eastAsia="仿宋_GB2312" w:cs="仿宋_GB2312"/>
          <w:i w:val="0"/>
          <w:iCs w:val="0"/>
          <w:sz w:val="28"/>
          <w:szCs w:val="28"/>
        </w:rPr>
        <w:t>3.4服务要求</w:t>
      </w:r>
      <w:bookmarkEnd w:id="6"/>
    </w:p>
    <w:p w14:paraId="73633B81">
      <w:pPr>
        <w:pStyle w:val="3"/>
        <w:keepNext w:val="0"/>
        <w:spacing w:before="0" w:after="0" w:line="360" w:lineRule="auto"/>
        <w:rPr>
          <w:rFonts w:hint="eastAsia" w:ascii="仿宋_GB2312" w:hAnsi="仿宋_GB2312" w:eastAsia="仿宋_GB2312" w:cs="仿宋_GB2312"/>
          <w:b/>
          <w:bCs/>
          <w:sz w:val="28"/>
          <w:szCs w:val="28"/>
        </w:rPr>
      </w:pPr>
      <w:bookmarkStart w:id="7" w:name="_Toc256000024"/>
      <w:r>
        <w:rPr>
          <w:rFonts w:hint="eastAsia" w:ascii="仿宋_GB2312" w:hAnsi="仿宋_GB2312" w:eastAsia="仿宋_GB2312" w:cs="仿宋_GB2312"/>
          <w:i w:val="0"/>
          <w:iCs w:val="0"/>
          <w:sz w:val="28"/>
          <w:szCs w:val="28"/>
        </w:rPr>
        <w:t>3.5其他要求</w:t>
      </w:r>
      <w:bookmarkEnd w:id="7"/>
    </w:p>
    <w:p w14:paraId="5B022E3E">
      <w:pPr>
        <w:pStyle w:val="12"/>
        <w:spacing w:before="0" w:after="0" w:line="360" w:lineRule="auto"/>
        <w:ind w:left="0" w:righ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3.5.1中标人须完成中标产品的安装调试、线缆部署等系统集成工作，本项目采购的设备的相应配件（譬如光纤线、电源线等）若与使用单位环境不符，中标人及中标品牌厂家需更换为符合环境的同等或更高级别配件；部署新增软硬件设备不得对现有系统造成影响，不得影响业务系统正常运行；</w:t>
      </w:r>
    </w:p>
    <w:p w14:paraId="5E3A1A70">
      <w:pPr>
        <w:pStyle w:val="12"/>
        <w:spacing w:before="0" w:after="0" w:line="360" w:lineRule="auto"/>
        <w:ind w:left="0" w:righ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3.5.2中标人在实施前，须提供详细的安装实施方案给采购人审核，经采购人确认后，方可进行项目实施。中标供应商完成所供软硬件的安装部署还需根据采购人的要求按成以下集成工作：</w:t>
      </w:r>
    </w:p>
    <w:p w14:paraId="5E3A3B5D">
      <w:pPr>
        <w:pStyle w:val="12"/>
        <w:spacing w:before="0" w:after="0" w:line="360" w:lineRule="auto"/>
        <w:ind w:left="0" w:righ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3.5.2.1根据网络安全设备现有实际情况设置相关策略，完成新购设备的安装部署调试工作；</w:t>
      </w:r>
    </w:p>
    <w:p w14:paraId="1FCAE816">
      <w:pPr>
        <w:pStyle w:val="12"/>
        <w:spacing w:before="0" w:after="0" w:line="360" w:lineRule="auto"/>
        <w:ind w:left="0" w:righ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3.5.2.2对新购产品设备与现有网络安全相关软硬件设备环境进行集成联调及调优工作；须与采购人系统内网络安全相关软硬件设备的服务商等进行积极主动的合作，服从采购人的统一协调，完成项目的各个阶段；实施部署完成后提交采购人完整的配置文档。</w:t>
      </w:r>
    </w:p>
    <w:p w14:paraId="446407B8">
      <w:pPr>
        <w:pStyle w:val="12"/>
        <w:spacing w:before="0" w:after="0" w:line="360" w:lineRule="auto"/>
        <w:ind w:left="0" w:right="0" w:firstLine="42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3.5.2.3安装部署阶段,至少提供具备3年以上网络安全行业从业经历的2名服务工程师保障本项目的实施工作，其中一名工程师需是所供产品原厂工程师,一名工程师需获得CISP注册信息安全专业人员证书。</w:t>
      </w:r>
    </w:p>
    <w:p w14:paraId="5BBDC08C">
      <w:pPr>
        <w:pStyle w:val="2"/>
        <w:keepNext w:val="0"/>
        <w:spacing w:before="0" w:after="0" w:line="360" w:lineRule="auto"/>
        <w:jc w:val="center"/>
        <w:rPr>
          <w:rFonts w:hint="eastAsia" w:ascii="仿宋_GB2312" w:hAnsi="仿宋_GB2312" w:eastAsia="仿宋_GB2312" w:cs="仿宋_GB2312"/>
          <w:b/>
          <w:bCs/>
          <w:sz w:val="28"/>
          <w:szCs w:val="28"/>
        </w:rPr>
      </w:pPr>
      <w:bookmarkStart w:id="8" w:name="_Toc256000025"/>
      <w:r>
        <w:rPr>
          <w:rFonts w:hint="eastAsia" w:ascii="仿宋_GB2312" w:hAnsi="仿宋_GB2312" w:eastAsia="仿宋_GB2312" w:cs="仿宋_GB2312"/>
          <w:kern w:val="36"/>
          <w:sz w:val="28"/>
          <w:szCs w:val="28"/>
        </w:rPr>
        <w:t>4人员要求</w:t>
      </w:r>
      <w:bookmarkEnd w:id="8"/>
    </w:p>
    <w:p w14:paraId="19691433">
      <w:pPr>
        <w:pStyle w:val="3"/>
        <w:keepNext w:val="0"/>
        <w:spacing w:before="0" w:after="0" w:line="360" w:lineRule="auto"/>
        <w:rPr>
          <w:rFonts w:hint="eastAsia" w:ascii="仿宋_GB2312" w:hAnsi="仿宋_GB2312" w:eastAsia="仿宋_GB2312" w:cs="仿宋_GB2312"/>
          <w:b/>
          <w:bCs/>
          <w:sz w:val="28"/>
          <w:szCs w:val="28"/>
        </w:rPr>
      </w:pPr>
      <w:bookmarkStart w:id="9" w:name="_Toc256000026"/>
      <w:r>
        <w:rPr>
          <w:rFonts w:hint="eastAsia" w:ascii="仿宋_GB2312" w:hAnsi="仿宋_GB2312" w:eastAsia="仿宋_GB2312" w:cs="仿宋_GB2312"/>
          <w:i w:val="0"/>
          <w:iCs w:val="0"/>
          <w:sz w:val="28"/>
          <w:szCs w:val="28"/>
        </w:rPr>
        <w:t>4.1团队要求</w:t>
      </w:r>
      <w:bookmarkEnd w:id="9"/>
    </w:p>
    <w:p w14:paraId="57B5AD2A">
      <w:pPr>
        <w:pStyle w:val="4"/>
        <w:keepNext w:val="0"/>
        <w:spacing w:before="0" w:after="0" w:line="360" w:lineRule="auto"/>
        <w:rPr>
          <w:rFonts w:hint="eastAsia" w:ascii="仿宋_GB2312" w:hAnsi="仿宋_GB2312" w:eastAsia="仿宋_GB2312" w:cs="仿宋_GB2312"/>
          <w:b/>
          <w:bCs/>
          <w:sz w:val="28"/>
          <w:szCs w:val="28"/>
        </w:rPr>
      </w:pPr>
      <w:bookmarkStart w:id="10" w:name="_Toc256000027"/>
      <w:r>
        <w:rPr>
          <w:rFonts w:hint="eastAsia" w:ascii="仿宋_GB2312" w:hAnsi="仿宋_GB2312" w:eastAsia="仿宋_GB2312" w:cs="仿宋_GB2312"/>
          <w:sz w:val="28"/>
          <w:szCs w:val="28"/>
        </w:rPr>
        <w:t>4.1.1基本要求</w:t>
      </w:r>
      <w:bookmarkEnd w:id="10"/>
    </w:p>
    <w:p w14:paraId="4BC350C2">
      <w:pPr>
        <w:pStyle w:val="12"/>
        <w:spacing w:before="0" w:after="0" w:line="36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至少提供具备3年以上网络安全行业从业经历的2名服务工程师保障本项目的实施工作，其中一名工程师需是所供产品原厂工程师,一名工程师需获得CISP注册信息安全专业人员证书。</w:t>
      </w:r>
    </w:p>
    <w:p w14:paraId="1F886B7B">
      <w:pPr>
        <w:pStyle w:val="4"/>
        <w:keepNext w:val="0"/>
        <w:spacing w:before="0" w:after="0" w:line="360" w:lineRule="auto"/>
        <w:rPr>
          <w:rFonts w:hint="eastAsia" w:ascii="仿宋_GB2312" w:hAnsi="仿宋_GB2312" w:eastAsia="仿宋_GB2312" w:cs="仿宋_GB2312"/>
          <w:b/>
          <w:bCs/>
          <w:sz w:val="28"/>
          <w:szCs w:val="28"/>
        </w:rPr>
      </w:pPr>
      <w:bookmarkStart w:id="11" w:name="_Toc256000028"/>
      <w:r>
        <w:rPr>
          <w:rFonts w:hint="eastAsia" w:ascii="仿宋_GB2312" w:hAnsi="仿宋_GB2312" w:eastAsia="仿宋_GB2312" w:cs="仿宋_GB2312"/>
          <w:sz w:val="28"/>
          <w:szCs w:val="28"/>
        </w:rPr>
        <w:t>4.1.2优选资质/优选指标</w:t>
      </w:r>
      <w:bookmarkEnd w:id="11"/>
    </w:p>
    <w:p w14:paraId="230941AF">
      <w:pPr>
        <w:pStyle w:val="2"/>
        <w:keepNext w:val="0"/>
        <w:spacing w:before="0" w:after="0" w:line="360" w:lineRule="auto"/>
        <w:jc w:val="center"/>
        <w:rPr>
          <w:rFonts w:hint="eastAsia" w:ascii="仿宋_GB2312" w:hAnsi="仿宋_GB2312" w:eastAsia="仿宋_GB2312" w:cs="仿宋_GB2312"/>
          <w:b/>
          <w:bCs/>
          <w:sz w:val="28"/>
          <w:szCs w:val="28"/>
        </w:rPr>
      </w:pPr>
      <w:bookmarkStart w:id="12" w:name="_Toc256000029"/>
      <w:r>
        <w:rPr>
          <w:rFonts w:hint="eastAsia" w:ascii="仿宋_GB2312" w:hAnsi="仿宋_GB2312" w:eastAsia="仿宋_GB2312" w:cs="仿宋_GB2312"/>
          <w:kern w:val="36"/>
          <w:sz w:val="28"/>
          <w:szCs w:val="28"/>
        </w:rPr>
        <w:t>5管理实施要求</w:t>
      </w:r>
      <w:bookmarkEnd w:id="12"/>
    </w:p>
    <w:p w14:paraId="6A419C65">
      <w:pPr>
        <w:spacing w:before="0"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46629EBC">
      <w:pPr>
        <w:pStyle w:val="2"/>
        <w:keepNext w:val="0"/>
        <w:spacing w:before="0" w:after="0" w:line="360" w:lineRule="auto"/>
        <w:jc w:val="center"/>
        <w:rPr>
          <w:rFonts w:hint="eastAsia" w:ascii="仿宋_GB2312" w:hAnsi="仿宋_GB2312" w:eastAsia="仿宋_GB2312" w:cs="仿宋_GB2312"/>
          <w:b/>
          <w:bCs/>
          <w:sz w:val="28"/>
          <w:szCs w:val="28"/>
        </w:rPr>
      </w:pPr>
      <w:bookmarkStart w:id="13" w:name="_Toc256000030"/>
      <w:r>
        <w:rPr>
          <w:rFonts w:hint="eastAsia" w:ascii="仿宋_GB2312" w:hAnsi="仿宋_GB2312" w:eastAsia="仿宋_GB2312" w:cs="仿宋_GB2312"/>
          <w:kern w:val="36"/>
          <w:sz w:val="28"/>
          <w:szCs w:val="28"/>
        </w:rPr>
        <w:t>6风险管控要求</w:t>
      </w:r>
      <w:bookmarkEnd w:id="13"/>
    </w:p>
    <w:p w14:paraId="055DC102">
      <w:pPr>
        <w:spacing w:before="0" w:after="0" w:line="360" w:lineRule="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无</w:t>
      </w:r>
    </w:p>
    <w:p w14:paraId="22E67B90">
      <w:pPr>
        <w:pStyle w:val="2"/>
        <w:keepNext w:val="0"/>
        <w:spacing w:before="0" w:after="0" w:line="360" w:lineRule="auto"/>
        <w:jc w:val="center"/>
        <w:rPr>
          <w:rFonts w:hint="eastAsia" w:ascii="仿宋_GB2312" w:hAnsi="仿宋_GB2312" w:eastAsia="仿宋_GB2312" w:cs="仿宋_GB2312"/>
          <w:b/>
          <w:bCs/>
          <w:sz w:val="28"/>
          <w:szCs w:val="28"/>
        </w:rPr>
      </w:pPr>
      <w:bookmarkStart w:id="14" w:name="_Toc256000031"/>
      <w:r>
        <w:rPr>
          <w:rFonts w:hint="eastAsia" w:ascii="仿宋_GB2312" w:hAnsi="仿宋_GB2312" w:eastAsia="仿宋_GB2312" w:cs="仿宋_GB2312"/>
          <w:kern w:val="36"/>
          <w:sz w:val="28"/>
          <w:szCs w:val="28"/>
        </w:rPr>
        <w:t>7履约验收要求</w:t>
      </w:r>
      <w:bookmarkEnd w:id="14"/>
    </w:p>
    <w:p w14:paraId="2E178CEA">
      <w:pPr>
        <w:pStyle w:val="3"/>
        <w:keepNext w:val="0"/>
        <w:spacing w:before="0" w:after="0" w:line="360" w:lineRule="auto"/>
        <w:rPr>
          <w:rFonts w:hint="eastAsia" w:ascii="仿宋_GB2312" w:hAnsi="仿宋_GB2312" w:eastAsia="仿宋_GB2312" w:cs="仿宋_GB2312"/>
          <w:b/>
          <w:bCs/>
          <w:sz w:val="28"/>
          <w:szCs w:val="28"/>
        </w:rPr>
      </w:pPr>
      <w:bookmarkStart w:id="15" w:name="_Toc256000032"/>
      <w:r>
        <w:rPr>
          <w:rFonts w:hint="eastAsia" w:ascii="仿宋_GB2312" w:hAnsi="仿宋_GB2312" w:eastAsia="仿宋_GB2312" w:cs="仿宋_GB2312"/>
          <w:i w:val="0"/>
          <w:iCs w:val="0"/>
          <w:sz w:val="28"/>
          <w:szCs w:val="28"/>
        </w:rPr>
        <w:t>7.1总体要求</w:t>
      </w:r>
      <w:bookmarkEnd w:id="15"/>
    </w:p>
    <w:tbl>
      <w:tblPr>
        <w:tblStyle w:val="9"/>
        <w:tblW w:w="5000" w:type="pct"/>
        <w:tblInd w:w="30" w:type="dxa"/>
        <w:tblLayout w:type="autofit"/>
        <w:tblCellMar>
          <w:top w:w="15" w:type="dxa"/>
          <w:left w:w="15" w:type="dxa"/>
          <w:bottom w:w="15" w:type="dxa"/>
          <w:right w:w="15" w:type="dxa"/>
        </w:tblCellMar>
      </w:tblPr>
      <w:tblGrid>
        <w:gridCol w:w="1313"/>
        <w:gridCol w:w="7757"/>
      </w:tblGrid>
      <w:tr w14:paraId="65B715C2">
        <w:tblPrEx>
          <w:tblCellMar>
            <w:top w:w="15" w:type="dxa"/>
            <w:left w:w="15" w:type="dxa"/>
            <w:bottom w:w="15" w:type="dxa"/>
            <w:right w:w="15" w:type="dxa"/>
          </w:tblCellMar>
        </w:tblPrEx>
        <w:tc>
          <w:tcPr>
            <w:tcW w:w="724"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417615BE">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验收名称</w:t>
            </w:r>
          </w:p>
        </w:tc>
        <w:tc>
          <w:tcPr>
            <w:tcW w:w="4275"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1822CC2">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验收要求</w:t>
            </w:r>
          </w:p>
        </w:tc>
      </w:tr>
      <w:tr w14:paraId="2A9B3717">
        <w:tblPrEx>
          <w:tblCellMar>
            <w:top w:w="15" w:type="dxa"/>
            <w:left w:w="15" w:type="dxa"/>
            <w:bottom w:w="15" w:type="dxa"/>
            <w:right w:w="15" w:type="dxa"/>
          </w:tblCellMar>
        </w:tblPrEx>
        <w:tc>
          <w:tcPr>
            <w:tcW w:w="724"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D7CF908">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第1次验收</w:t>
            </w:r>
          </w:p>
        </w:tc>
        <w:tc>
          <w:tcPr>
            <w:tcW w:w="4275" w:type="pct"/>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C8CDFC7">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（一）验收条件</w:t>
            </w:r>
            <w:r>
              <w:rPr>
                <w:rFonts w:hint="eastAsia" w:ascii="仿宋_GB2312" w:hAnsi="仿宋_GB2312" w:eastAsia="仿宋_GB2312" w:cs="仿宋_GB2312"/>
                <w:b w:val="0"/>
                <w:bCs w:val="0"/>
                <w:i w:val="0"/>
                <w:iCs w:val="0"/>
                <w:smallCaps w:val="0"/>
                <w:color w:val="000000"/>
                <w:sz w:val="24"/>
                <w:szCs w:val="24"/>
              </w:rPr>
              <w:br w:type="textWrapping"/>
            </w:r>
            <w:r>
              <w:rPr>
                <w:rFonts w:hint="eastAsia" w:ascii="仿宋_GB2312" w:hAnsi="仿宋_GB2312" w:eastAsia="仿宋_GB2312" w:cs="仿宋_GB2312"/>
                <w:b w:val="0"/>
                <w:bCs w:val="0"/>
                <w:i w:val="0"/>
                <w:iCs w:val="0"/>
                <w:smallCaps w:val="0"/>
                <w:color w:val="000000"/>
                <w:sz w:val="24"/>
                <w:szCs w:val="24"/>
              </w:rPr>
              <w:t>本需求书中包含的设备按期完成安装、部署、配置，以及组织管理和项目文档满足本采购文件的规定要求。</w:t>
            </w:r>
            <w:r>
              <w:rPr>
                <w:rFonts w:hint="eastAsia" w:ascii="仿宋_GB2312" w:hAnsi="仿宋_GB2312" w:eastAsia="仿宋_GB2312" w:cs="仿宋_GB2312"/>
                <w:b w:val="0"/>
                <w:bCs w:val="0"/>
                <w:i w:val="0"/>
                <w:iCs w:val="0"/>
                <w:smallCaps w:val="0"/>
                <w:color w:val="000000"/>
                <w:sz w:val="24"/>
                <w:szCs w:val="24"/>
              </w:rPr>
              <w:br w:type="textWrapping"/>
            </w:r>
            <w:r>
              <w:rPr>
                <w:rFonts w:hint="eastAsia" w:ascii="仿宋_GB2312" w:hAnsi="仿宋_GB2312" w:eastAsia="仿宋_GB2312" w:cs="仿宋_GB2312"/>
                <w:b w:val="0"/>
                <w:bCs w:val="0"/>
                <w:i w:val="0"/>
                <w:iCs w:val="0"/>
                <w:smallCaps w:val="0"/>
                <w:color w:val="000000"/>
                <w:sz w:val="24"/>
                <w:szCs w:val="24"/>
              </w:rPr>
              <w:t>（二）验收标准</w:t>
            </w:r>
            <w:r>
              <w:rPr>
                <w:rFonts w:hint="eastAsia" w:ascii="仿宋_GB2312" w:hAnsi="仿宋_GB2312" w:eastAsia="仿宋_GB2312" w:cs="仿宋_GB2312"/>
                <w:b w:val="0"/>
                <w:bCs w:val="0"/>
                <w:i w:val="0"/>
                <w:iCs w:val="0"/>
                <w:smallCaps w:val="0"/>
                <w:color w:val="000000"/>
                <w:sz w:val="24"/>
                <w:szCs w:val="24"/>
              </w:rPr>
              <w:br w:type="textWrapping"/>
            </w:r>
            <w:r>
              <w:rPr>
                <w:rFonts w:hint="eastAsia" w:ascii="仿宋_GB2312" w:hAnsi="仿宋_GB2312" w:eastAsia="仿宋_GB2312" w:cs="仿宋_GB2312"/>
                <w:b w:val="0"/>
                <w:bCs w:val="0"/>
                <w:i w:val="0"/>
                <w:iCs w:val="0"/>
                <w:smallCaps w:val="0"/>
                <w:color w:val="000000"/>
                <w:sz w:val="24"/>
                <w:szCs w:val="24"/>
              </w:rPr>
              <w:t>以本需求书中相关内容及其要求为依据，作为项目验收标准。供应商是否按照本招标需求书中定义的各项要求开展各项设备安装部署工作，工作流程和结果是否符合采购人质量管理要求，是否在规定时间内提交相关工作文档。</w:t>
            </w:r>
            <w:r>
              <w:rPr>
                <w:rFonts w:hint="eastAsia" w:ascii="仿宋_GB2312" w:hAnsi="仿宋_GB2312" w:eastAsia="仿宋_GB2312" w:cs="仿宋_GB2312"/>
                <w:b w:val="0"/>
                <w:bCs w:val="0"/>
                <w:i w:val="0"/>
                <w:iCs w:val="0"/>
                <w:smallCaps w:val="0"/>
                <w:color w:val="000000"/>
                <w:sz w:val="24"/>
                <w:szCs w:val="24"/>
              </w:rPr>
              <w:br w:type="textWrapping"/>
            </w:r>
            <w:r>
              <w:rPr>
                <w:rFonts w:hint="eastAsia" w:ascii="仿宋_GB2312" w:hAnsi="仿宋_GB2312" w:eastAsia="仿宋_GB2312" w:cs="仿宋_GB2312"/>
                <w:b w:val="0"/>
                <w:bCs w:val="0"/>
                <w:i w:val="0"/>
                <w:iCs w:val="0"/>
                <w:smallCaps w:val="0"/>
                <w:color w:val="000000"/>
                <w:sz w:val="24"/>
                <w:szCs w:val="24"/>
              </w:rPr>
              <w:t>（三）验收流程</w:t>
            </w:r>
            <w:r>
              <w:rPr>
                <w:rFonts w:hint="eastAsia" w:ascii="仿宋_GB2312" w:hAnsi="仿宋_GB2312" w:eastAsia="仿宋_GB2312" w:cs="仿宋_GB2312"/>
                <w:b w:val="0"/>
                <w:bCs w:val="0"/>
                <w:i w:val="0"/>
                <w:iCs w:val="0"/>
                <w:smallCaps w:val="0"/>
                <w:color w:val="000000"/>
                <w:sz w:val="24"/>
                <w:szCs w:val="24"/>
              </w:rPr>
              <w:br w:type="textWrapping"/>
            </w:r>
            <w:r>
              <w:rPr>
                <w:rFonts w:hint="eastAsia" w:ascii="仿宋_GB2312" w:hAnsi="仿宋_GB2312" w:eastAsia="仿宋_GB2312" w:cs="仿宋_GB2312"/>
                <w:b w:val="0"/>
                <w:bCs w:val="0"/>
                <w:i w:val="0"/>
                <w:iCs w:val="0"/>
                <w:smallCaps w:val="0"/>
                <w:color w:val="000000"/>
                <w:sz w:val="24"/>
                <w:szCs w:val="24"/>
              </w:rPr>
              <w:t>符合项目验收条件后，供应商可提出项目验收书面申请。向采购人提交验收申请。向采购人整理提交项目相关管理、技术文档。</w:t>
            </w:r>
            <w:r>
              <w:rPr>
                <w:rFonts w:hint="eastAsia" w:ascii="仿宋_GB2312" w:hAnsi="仿宋_GB2312" w:eastAsia="仿宋_GB2312" w:cs="仿宋_GB2312"/>
                <w:b w:val="0"/>
                <w:bCs w:val="0"/>
                <w:i w:val="0"/>
                <w:iCs w:val="0"/>
                <w:smallCaps w:val="0"/>
                <w:color w:val="000000"/>
                <w:sz w:val="24"/>
                <w:szCs w:val="24"/>
              </w:rPr>
              <w:br w:type="textWrapping"/>
            </w:r>
            <w:r>
              <w:rPr>
                <w:rFonts w:hint="eastAsia" w:ascii="仿宋_GB2312" w:hAnsi="仿宋_GB2312" w:eastAsia="仿宋_GB2312" w:cs="仿宋_GB2312"/>
                <w:b w:val="0"/>
                <w:bCs w:val="0"/>
                <w:i w:val="0"/>
                <w:iCs w:val="0"/>
                <w:smallCaps w:val="0"/>
                <w:color w:val="000000"/>
                <w:sz w:val="24"/>
                <w:szCs w:val="24"/>
              </w:rPr>
              <w:t>采购人对项目工作内容及文档进行验收，项目验收通过后，采购人出具项目验收报告。</w:t>
            </w:r>
          </w:p>
        </w:tc>
      </w:tr>
    </w:tbl>
    <w:p w14:paraId="4C45F06A">
      <w:pPr>
        <w:pStyle w:val="3"/>
        <w:keepNext w:val="0"/>
        <w:spacing w:before="0" w:after="0" w:line="360" w:lineRule="auto"/>
        <w:rPr>
          <w:rFonts w:hint="eastAsia" w:ascii="仿宋_GB2312" w:hAnsi="仿宋_GB2312" w:eastAsia="仿宋_GB2312" w:cs="仿宋_GB2312"/>
          <w:b/>
          <w:bCs/>
          <w:sz w:val="28"/>
          <w:szCs w:val="28"/>
        </w:rPr>
      </w:pPr>
      <w:bookmarkStart w:id="16" w:name="_Toc256000033"/>
      <w:r>
        <w:rPr>
          <w:rFonts w:hint="eastAsia" w:ascii="仿宋_GB2312" w:hAnsi="仿宋_GB2312" w:eastAsia="仿宋_GB2312" w:cs="仿宋_GB2312"/>
          <w:i w:val="0"/>
          <w:iCs w:val="0"/>
          <w:sz w:val="28"/>
          <w:szCs w:val="28"/>
        </w:rPr>
        <w:t>7.2具体要求</w:t>
      </w:r>
      <w:bookmarkEnd w:id="16"/>
    </w:p>
    <w:p w14:paraId="6B7550FC">
      <w:pPr>
        <w:spacing w:before="0" w:after="0" w:line="360" w:lineRule="auto"/>
        <w:ind w:firstLine="560" w:firstLineChars="20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7.2.1安装实施服务：中标人必须按照本项目的要求，完成中标产品的安装部署实施工作，并提供中标产品原厂商对此项目的售后服务承诺函。要求中标人确保中标产品能在采购人现有网络环境安全、可靠、稳定的运行，不影响现有业务系统的正常使用；实施过程中如中标产品可能会对现有业务系统有重大影响的，中标人应提前三天将涉及到这个环节的实施方案提交给采购人，经过采购人认可并商定实施时间后，方能按照商定的时间进行实施。</w:t>
      </w:r>
    </w:p>
    <w:p w14:paraId="7A8A14FA">
      <w:pPr>
        <w:spacing w:before="0" w:after="0"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7.2.2质保期内技术支持服务：提供7*24小时技术支持服务，电话服务请求的响应时间应少于1小时，在接到报故障后，应在2小时内派技术人员到现场，进行故障排查及修复工作。在质保期内由中标人提供中标产品的定期升级服务；对于软件版本的重大升级，需由原厂技术工程师亲自上门实施，确保中标产品的稳定运行；</w:t>
      </w:r>
    </w:p>
    <w:p w14:paraId="2EB442AF">
      <w:pPr>
        <w:spacing w:before="0" w:after="0"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7.2.3异常故障分析服务：采购人的网络环境发生调整导致中标产品不可用时，中标人要协调原厂技术工程师提供紧急现场服务，1小时内到达指定现场，分析故障原因并提出解决方案，故障处置过程复杂的，原厂技术工程师要提出临时解决方案，确保采购人网络的正常运行。</w:t>
      </w:r>
    </w:p>
    <w:p w14:paraId="785007E4">
      <w:pPr>
        <w:spacing w:before="0" w:after="0"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7.2.4培训服务：中标人负责对采购人指定的技术人员进行技术培训，培训内容包括产品操作、维护、简单维修和其他采购单位要求的内容，经培训应能进行日常运行维护工作。</w:t>
      </w:r>
    </w:p>
    <w:p w14:paraId="6DFD476E">
      <w:pPr>
        <w:spacing w:before="0" w:after="0"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7.2.5质量保障期</w:t>
      </w:r>
    </w:p>
    <w:p w14:paraId="78E68D70">
      <w:pPr>
        <w:spacing w:before="0" w:after="0"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本项目质量保障期不少于3年，服务起始时间从项目验收合格之日起计算。</w:t>
      </w:r>
    </w:p>
    <w:p w14:paraId="1778D240">
      <w:pPr>
        <w:pStyle w:val="2"/>
        <w:keepNext w:val="0"/>
        <w:spacing w:before="0" w:after="0" w:line="360" w:lineRule="auto"/>
        <w:jc w:val="center"/>
        <w:rPr>
          <w:rFonts w:hint="eastAsia" w:ascii="仿宋_GB2312" w:hAnsi="仿宋_GB2312" w:eastAsia="仿宋_GB2312" w:cs="仿宋_GB2312"/>
          <w:b/>
          <w:bCs/>
          <w:sz w:val="28"/>
          <w:szCs w:val="28"/>
        </w:rPr>
      </w:pPr>
      <w:bookmarkStart w:id="17" w:name="_Toc256000034"/>
      <w:r>
        <w:rPr>
          <w:rFonts w:hint="eastAsia" w:ascii="仿宋_GB2312" w:hAnsi="仿宋_GB2312" w:eastAsia="仿宋_GB2312" w:cs="仿宋_GB2312"/>
          <w:kern w:val="36"/>
          <w:sz w:val="28"/>
          <w:szCs w:val="28"/>
        </w:rPr>
        <w:t>8其他要求</w:t>
      </w:r>
      <w:bookmarkEnd w:id="17"/>
    </w:p>
    <w:p w14:paraId="72C2B797">
      <w:pPr>
        <w:pStyle w:val="3"/>
        <w:keepNext w:val="0"/>
        <w:spacing w:before="0" w:after="0" w:line="360" w:lineRule="auto"/>
        <w:rPr>
          <w:rFonts w:hint="eastAsia" w:ascii="仿宋_GB2312" w:hAnsi="仿宋_GB2312" w:eastAsia="仿宋_GB2312" w:cs="仿宋_GB2312"/>
          <w:b/>
          <w:bCs/>
          <w:sz w:val="28"/>
          <w:szCs w:val="28"/>
        </w:rPr>
      </w:pPr>
      <w:bookmarkStart w:id="18" w:name="_Toc256000035"/>
      <w:r>
        <w:rPr>
          <w:rFonts w:hint="eastAsia" w:ascii="仿宋_GB2312" w:hAnsi="仿宋_GB2312" w:eastAsia="仿宋_GB2312" w:cs="仿宋_GB2312"/>
          <w:i w:val="0"/>
          <w:iCs w:val="0"/>
          <w:sz w:val="28"/>
          <w:szCs w:val="28"/>
        </w:rPr>
        <w:t>8.1必备要求</w:t>
      </w:r>
      <w:bookmarkEnd w:id="18"/>
    </w:p>
    <w:p w14:paraId="1786DD62">
      <w:pPr>
        <w:pStyle w:val="3"/>
        <w:keepNext w:val="0"/>
        <w:spacing w:before="0" w:after="0" w:line="360" w:lineRule="auto"/>
        <w:rPr>
          <w:rFonts w:hint="eastAsia" w:ascii="仿宋_GB2312" w:hAnsi="仿宋_GB2312" w:eastAsia="仿宋_GB2312" w:cs="仿宋_GB2312"/>
          <w:b/>
          <w:bCs/>
          <w:sz w:val="28"/>
          <w:szCs w:val="28"/>
        </w:rPr>
      </w:pPr>
      <w:bookmarkStart w:id="19" w:name="_Toc256000036"/>
      <w:r>
        <w:rPr>
          <w:rFonts w:hint="eastAsia" w:ascii="仿宋_GB2312" w:hAnsi="仿宋_GB2312" w:eastAsia="仿宋_GB2312" w:cs="仿宋_GB2312"/>
          <w:i w:val="0"/>
          <w:iCs w:val="0"/>
          <w:sz w:val="28"/>
          <w:szCs w:val="28"/>
        </w:rPr>
        <w:t>8.1.1通用必备要求</w:t>
      </w:r>
      <w:bookmarkEnd w:id="19"/>
    </w:p>
    <w:p w14:paraId="411C0D4D">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1.本项目中如涉及商品包装和快递包装的，其包装需求标准应不低于《关于印发&lt;商品包装政府采购需求标准（试行）&gt;、&lt;快递包装政府采购需求标准（试行）&gt;的通知》（财办库〔2020〕123 号）规定的包装要求，如有其他包装需求，详见采购文件技术部分相关章节。 </w:t>
      </w:r>
    </w:p>
    <w:p w14:paraId="3F26DDDD">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2.本项目中如涉及网络关键设备或网络安全专用产品的，应严格执行国家互联网信息办公室、工业和信息化部、公安部、财政部和国家认证认可监督管理委员会 2023年第 1 号《关于调整网络安全专用产品安全管理有关事项的公告》及国家互联网信息办公室、工业和信息化部、公安部和国家认证认可监督管理委员会 2023 年第 2号《关于调整&lt;网络关键设备和网络安全专用产品目录&gt;的公告》等相关文件要求，所投标（响应）设备或产品至少符合以下条件之一：一是已由具备资格的机构安全认证合格或安全检测符合要求；二是已获得《计算机信息系统安全专用产品销售许可证》，且在有效期内。 </w:t>
      </w:r>
    </w:p>
    <w:p w14:paraId="04B1DE42">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3.本项目中如涉及国家强制性产品认证证书（CCC 认证证书）、电信设备进网许可证、无线电发射设备核准证等市场准入类资质的，应严格执行国家相关法律法规的要求。 </w:t>
      </w:r>
    </w:p>
    <w:p w14:paraId="248235BF">
      <w:pPr>
        <w:spacing w:before="0" w:after="0" w:line="360" w:lineRule="auto"/>
        <w:ind w:firstLine="56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以上相关要求，由供应商在响应时应答，在履约验收中，采购人将按照采购文件、中标/成交供应商响应文件、采购合同等对中标/成交供应商提供的货物和服务进行验收，必要时依法依规开展相应检测、认证。</w:t>
      </w:r>
    </w:p>
    <w:p w14:paraId="2646BAC6">
      <w:pPr>
        <w:pStyle w:val="12"/>
        <w:spacing w:before="0" w:after="0" w:line="36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因国家政策变化、技术实施所需的客观环境变化、重大技术变化（含硬件架构升级、设备兼容性调整、硬件设备报废、推广使用新应用系统等）或工作计划调整等原因导致相关服务停止或部分停止的，采购人有权提前终止或部分终止合同执行，费用按实际服务时间、实际运维范围和考核结果据实结算，不视为采购人违约。</w:t>
      </w:r>
    </w:p>
    <w:p w14:paraId="4FC50BC7">
      <w:pPr>
        <w:pStyle w:val="3"/>
        <w:keepNext w:val="0"/>
        <w:spacing w:before="0" w:after="0" w:line="360" w:lineRule="auto"/>
        <w:rPr>
          <w:rFonts w:hint="eastAsia" w:ascii="仿宋_GB2312" w:hAnsi="仿宋_GB2312" w:eastAsia="仿宋_GB2312" w:cs="仿宋_GB2312"/>
          <w:b/>
          <w:bCs/>
          <w:sz w:val="28"/>
          <w:szCs w:val="28"/>
        </w:rPr>
      </w:pPr>
      <w:bookmarkStart w:id="20" w:name="_Toc256000037"/>
      <w:r>
        <w:rPr>
          <w:rFonts w:hint="eastAsia" w:ascii="仿宋_GB2312" w:hAnsi="仿宋_GB2312" w:eastAsia="仿宋_GB2312" w:cs="仿宋_GB2312"/>
          <w:i w:val="0"/>
          <w:iCs w:val="0"/>
          <w:sz w:val="28"/>
          <w:szCs w:val="28"/>
        </w:rPr>
        <w:t>8.2付款安排建议</w:t>
      </w:r>
      <w:bookmarkEnd w:id="20"/>
    </w:p>
    <w:tbl>
      <w:tblPr>
        <w:tblStyle w:val="9"/>
        <w:tblW w:w="5000" w:type="pct"/>
        <w:tblInd w:w="30" w:type="dxa"/>
        <w:tblLayout w:type="autofit"/>
        <w:tblCellMar>
          <w:top w:w="15" w:type="dxa"/>
          <w:left w:w="15" w:type="dxa"/>
          <w:bottom w:w="15" w:type="dxa"/>
          <w:right w:w="15" w:type="dxa"/>
        </w:tblCellMar>
      </w:tblPr>
      <w:tblGrid>
        <w:gridCol w:w="1814"/>
        <w:gridCol w:w="5442"/>
        <w:gridCol w:w="1814"/>
      </w:tblGrid>
      <w:tr w14:paraId="2AFC473F">
        <w:tblPrEx>
          <w:tblCellMar>
            <w:top w:w="15" w:type="dxa"/>
            <w:left w:w="15" w:type="dxa"/>
            <w:bottom w:w="15" w:type="dxa"/>
            <w:right w:w="15" w:type="dxa"/>
          </w:tblCellMar>
        </w:tblPrEx>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0E030F6">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付款名称</w:t>
            </w:r>
          </w:p>
        </w:tc>
        <w:tc>
          <w:tcPr>
            <w:tcW w:w="3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39AED2D6">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付款要求</w:t>
            </w:r>
          </w:p>
        </w:tc>
        <w:tc>
          <w:tcPr>
            <w:tcW w:w="1000" w:type="pct"/>
            <w:tcBorders>
              <w:top w:val="single" w:color="000000" w:sz="6" w:space="0"/>
              <w:left w:val="single" w:color="000000" w:sz="6" w:space="0"/>
              <w:bottom w:val="single" w:color="000000" w:sz="6" w:space="0"/>
              <w:right w:val="single" w:color="000000" w:sz="6" w:space="0"/>
            </w:tcBorders>
            <w:shd w:val="clear" w:color="auto" w:fill="D3D3D3"/>
            <w:noWrap w:val="0"/>
            <w:tcMar>
              <w:top w:w="22" w:type="dxa"/>
              <w:left w:w="22" w:type="dxa"/>
              <w:bottom w:w="22" w:type="dxa"/>
              <w:right w:w="22" w:type="dxa"/>
            </w:tcMar>
            <w:vAlign w:val="center"/>
          </w:tcPr>
          <w:p w14:paraId="1EE94DE1">
            <w:pPr>
              <w:jc w:val="center"/>
              <w:rPr>
                <w:rFonts w:hint="eastAsia" w:ascii="仿宋_GB2312" w:hAnsi="仿宋_GB2312" w:eastAsia="仿宋_GB2312" w:cs="仿宋_GB2312"/>
                <w:b/>
                <w:bCs/>
                <w:i w:val="0"/>
                <w:iCs w:val="0"/>
                <w:smallCaps w:val="0"/>
                <w:color w:val="000000"/>
                <w:sz w:val="24"/>
                <w:szCs w:val="24"/>
              </w:rPr>
            </w:pPr>
            <w:r>
              <w:rPr>
                <w:rFonts w:hint="eastAsia" w:ascii="仿宋_GB2312" w:hAnsi="仿宋_GB2312" w:eastAsia="仿宋_GB2312" w:cs="仿宋_GB2312"/>
                <w:b/>
                <w:bCs/>
                <w:i w:val="0"/>
                <w:iCs w:val="0"/>
                <w:smallCaps w:val="0"/>
                <w:color w:val="000000"/>
                <w:sz w:val="24"/>
                <w:szCs w:val="24"/>
              </w:rPr>
              <w:t>付款比例(%)</w:t>
            </w:r>
          </w:p>
        </w:tc>
      </w:tr>
      <w:tr w14:paraId="475A389E">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C8CE1A1">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第1次付款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299D9AEB">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在合同签订且货物到达后采购人预付合同总金额的30%；</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01DF640">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30.0</w:t>
            </w:r>
          </w:p>
        </w:tc>
      </w:tr>
      <w:tr w14:paraId="696E4547">
        <w:tblPrEx>
          <w:tblCellMar>
            <w:top w:w="15" w:type="dxa"/>
            <w:left w:w="15" w:type="dxa"/>
            <w:bottom w:w="15" w:type="dxa"/>
            <w:right w:w="15" w:type="dxa"/>
          </w:tblCellMar>
        </w:tblPrEx>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5C2B0260">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第2次付款</w:t>
            </w:r>
          </w:p>
        </w:tc>
        <w:tc>
          <w:tcPr>
            <w:tcW w:w="22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7EEAB7FA">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所有货物验收合格并交付正常使用后，由采购人组织验收，并根据项目验收标准以及本项目合同罚责条款进行考核评分，按考核得分进行核算后，支付合同剩余款项。</w:t>
            </w:r>
          </w:p>
        </w:tc>
        <w:tc>
          <w:tcPr>
            <w:tcW w:w="795" w:type="dxa"/>
            <w:tcBorders>
              <w:top w:val="single" w:color="000000" w:sz="6" w:space="0"/>
              <w:left w:val="single" w:color="000000" w:sz="6" w:space="0"/>
              <w:bottom w:val="single" w:color="000000" w:sz="6" w:space="0"/>
              <w:right w:val="single" w:color="000000" w:sz="6" w:space="0"/>
            </w:tcBorders>
            <w:noWrap w:val="0"/>
            <w:tcMar>
              <w:top w:w="22" w:type="dxa"/>
              <w:left w:w="22" w:type="dxa"/>
              <w:bottom w:w="22" w:type="dxa"/>
              <w:right w:w="22" w:type="dxa"/>
            </w:tcMar>
            <w:vAlign w:val="center"/>
          </w:tcPr>
          <w:p w14:paraId="0ED4007E">
            <w:pPr>
              <w:jc w:val="left"/>
              <w:rPr>
                <w:rFonts w:hint="eastAsia" w:ascii="仿宋_GB2312" w:hAnsi="仿宋_GB2312" w:eastAsia="仿宋_GB2312" w:cs="仿宋_GB2312"/>
                <w:b w:val="0"/>
                <w:bCs w:val="0"/>
                <w:i w:val="0"/>
                <w:iCs w:val="0"/>
                <w:smallCaps w:val="0"/>
                <w:color w:val="000000"/>
                <w:sz w:val="24"/>
                <w:szCs w:val="24"/>
              </w:rPr>
            </w:pPr>
            <w:r>
              <w:rPr>
                <w:rFonts w:hint="eastAsia" w:ascii="仿宋_GB2312" w:hAnsi="仿宋_GB2312" w:eastAsia="仿宋_GB2312" w:cs="仿宋_GB2312"/>
                <w:b w:val="0"/>
                <w:bCs w:val="0"/>
                <w:i w:val="0"/>
                <w:iCs w:val="0"/>
                <w:smallCaps w:val="0"/>
                <w:color w:val="000000"/>
                <w:sz w:val="24"/>
                <w:szCs w:val="24"/>
              </w:rPr>
              <w:t>70.0</w:t>
            </w:r>
          </w:p>
        </w:tc>
      </w:tr>
    </w:tbl>
    <w:p w14:paraId="51896646">
      <w:pPr>
        <w:pStyle w:val="3"/>
        <w:keepNext w:val="0"/>
        <w:spacing w:before="0" w:after="0" w:line="360" w:lineRule="auto"/>
        <w:rPr>
          <w:rFonts w:hint="eastAsia" w:ascii="仿宋_GB2312" w:hAnsi="仿宋_GB2312" w:eastAsia="仿宋_GB2312" w:cs="仿宋_GB2312"/>
          <w:b/>
          <w:bCs/>
          <w:sz w:val="28"/>
          <w:szCs w:val="28"/>
        </w:rPr>
      </w:pPr>
      <w:bookmarkStart w:id="21" w:name="_Toc256000038"/>
      <w:r>
        <w:rPr>
          <w:rFonts w:hint="eastAsia" w:ascii="仿宋_GB2312" w:hAnsi="仿宋_GB2312" w:eastAsia="仿宋_GB2312" w:cs="仿宋_GB2312"/>
          <w:i w:val="0"/>
          <w:iCs w:val="0"/>
          <w:sz w:val="28"/>
          <w:szCs w:val="28"/>
        </w:rPr>
        <w:t>8.3其他要求</w:t>
      </w:r>
      <w:bookmarkEnd w:id="21"/>
    </w:p>
    <w:p w14:paraId="70950F90">
      <w:pPr>
        <w:pStyle w:val="4"/>
        <w:keepNext w:val="0"/>
        <w:spacing w:before="0" w:after="0" w:line="360" w:lineRule="auto"/>
        <w:rPr>
          <w:rFonts w:hint="eastAsia" w:ascii="仿宋_GB2312" w:hAnsi="仿宋_GB2312" w:eastAsia="仿宋_GB2312" w:cs="仿宋_GB2312"/>
          <w:b/>
          <w:bCs/>
          <w:sz w:val="28"/>
          <w:szCs w:val="28"/>
        </w:rPr>
      </w:pPr>
      <w:bookmarkStart w:id="22" w:name="_Toc256000039"/>
      <w:r>
        <w:rPr>
          <w:rFonts w:hint="eastAsia" w:ascii="仿宋_GB2312" w:hAnsi="仿宋_GB2312" w:eastAsia="仿宋_GB2312" w:cs="仿宋_GB2312"/>
          <w:sz w:val="28"/>
          <w:szCs w:val="28"/>
        </w:rPr>
        <w:t>8.3.1保密要求</w:t>
      </w:r>
      <w:bookmarkEnd w:id="22"/>
    </w:p>
    <w:p w14:paraId="03B3747D">
      <w:pPr>
        <w:pStyle w:val="12"/>
        <w:spacing w:before="0" w:after="0" w:line="360" w:lineRule="auto"/>
        <w:ind w:left="0" w:right="0"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★1.供应链安全管理要求</w:t>
      </w:r>
    </w:p>
    <w:p w14:paraId="3BD69356">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 人员资格要求</w:t>
      </w:r>
    </w:p>
    <w:p w14:paraId="565E0C76">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1.1.1 签订承诺书。中标人应严格落实国家税务总局网络安全和保密管理要求，承担技术支持人员的网络安全和保密管理责任，按采购人要求签订协议和承诺书。</w:t>
      </w:r>
    </w:p>
    <w:p w14:paraId="5553D7BD">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1.1.2 开展背景审查。中标人承担技术支持人员背景审查工作，提供其身份证明、履历、家庭成员及主要社会关系、无犯罪记录证明等材料，并提交采购人进行备案。</w:t>
      </w:r>
    </w:p>
    <w:p w14:paraId="3192A8FB">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1.1.3 设置网络安全负责人（由驻场运维人员兼任）。中标人为本项目配备一名网络安全负责人，该负责人具备独立决策能力并保持相对稳定，在项目实施的全过程负责网络安全工作，组织落实各项网络安全要求。</w:t>
      </w:r>
    </w:p>
    <w:p w14:paraId="74614286">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 日常行为规范要求</w:t>
      </w:r>
    </w:p>
    <w:p w14:paraId="1E9301F4">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1.2.1 工作能力要求。中标人负责对技术支持人员进行资格条件、工作胜任力以及网络安全能力评估，对技术支持人员承担的工作进行安全保密风险分析，明确技术支持人员工作范围和边界，重点防范设备和资料失窃、误操作导致的软硬件故障、工作秘密和税费数据等信息泄露、信息系统越权访问和网络攻击等风险。</w:t>
      </w:r>
    </w:p>
    <w:p w14:paraId="06CAE422">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1.2.2 教育培训要求。中标人负责对技术支持人员进行网络和数据安全法律法规、网络安全意识、网络安全管理、网络安全技能、保密意识以及网络安全警示教育等培训，上岗前对其进行考核。</w:t>
      </w:r>
    </w:p>
    <w:p w14:paraId="7B78D76D">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1.3 违约惩戒措施</w:t>
      </w:r>
    </w:p>
    <w:p w14:paraId="1D97946E">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中标人对供应链安全管理责任落实不到位，造成安全事件或产生不良影响的，采购人按照法律法规及合同约定，视安全事件严重情况按合同总金额的20%-30%的比例进行扣减。</w:t>
      </w:r>
    </w:p>
    <w:p w14:paraId="682EDF30">
      <w:pPr>
        <w:pStyle w:val="12"/>
        <w:spacing w:before="0" w:after="0" w:line="360" w:lineRule="auto"/>
        <w:ind w:left="0" w:right="0"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b/>
          <w:bCs/>
          <w:sz w:val="28"/>
          <w:szCs w:val="28"/>
        </w:rPr>
        <w:t>.网络安全和数据安全管理要求</w:t>
      </w:r>
    </w:p>
    <w:p w14:paraId="5BC5E699">
      <w:pPr>
        <w:pStyle w:val="12"/>
        <w:spacing w:before="0" w:after="0" w:line="360" w:lineRule="auto"/>
        <w:ind w:left="0" w:right="0"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标人投入的项目人员在合同期间应严格按采购人的网络安全和数据安全相关规定开展工作，由于中标人投入的项目人员网络安全工作落实不到位引发安全事件的，采购人将视安全事件严重情况按合同总金额的20%-30%的比例进行扣减。</w:t>
      </w:r>
    </w:p>
    <w:p w14:paraId="402177AF">
      <w:pPr>
        <w:pStyle w:val="12"/>
        <w:spacing w:before="0" w:after="0" w:line="360" w:lineRule="auto"/>
        <w:ind w:left="0" w:right="0"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安全事件具体内容主要包括(但不限于)以下内容：</w:t>
      </w:r>
    </w:p>
    <w:p w14:paraId="74389FF1">
      <w:pPr>
        <w:pStyle w:val="12"/>
        <w:spacing w:before="0" w:after="0" w:line="360" w:lineRule="auto"/>
        <w:ind w:left="0" w:right="0"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 因补丁升级、漏洞修复、系统杀毒、数据备份等工作未落实到位，发生服务器被控制和应用系统被攻破的安全事件，被主管部门通报的。</w:t>
      </w:r>
    </w:p>
    <w:p w14:paraId="39262F3A">
      <w:pPr>
        <w:pStyle w:val="12"/>
        <w:spacing w:before="0" w:after="0" w:line="360" w:lineRule="auto"/>
        <w:ind w:left="0" w:right="0"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 因违规进行税费数据查询、导出和拷出等操作造成敏感数据泄漏，以及发生非法窃取数据行为。</w:t>
      </w:r>
    </w:p>
    <w:p w14:paraId="4AE5BAD1">
      <w:pPr>
        <w:pStyle w:val="12"/>
        <w:spacing w:before="0" w:after="0" w:line="360" w:lineRule="auto"/>
        <w:ind w:left="0" w:right="0"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 因运维操作处置不当导致重要应用系统发生严重卡顿、停用的重大事件。</w:t>
      </w:r>
    </w:p>
    <w:p w14:paraId="15AE251C">
      <w:pPr>
        <w:pStyle w:val="12"/>
        <w:spacing w:before="0" w:after="0" w:line="360" w:lineRule="auto"/>
        <w:ind w:left="0" w:right="0" w:firstLine="562"/>
        <w:jc w:val="both"/>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★3.信息安全保密要求</w:t>
      </w:r>
    </w:p>
    <w:p w14:paraId="4722CF2A">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3.1 中标人须严格遵守国家税务总局广西壮族自治区税务局的安全保密制度。</w:t>
      </w:r>
    </w:p>
    <w:p w14:paraId="5F283F42">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3.2 中标人投入的项目人员须保证遵守国家有关版权和知识产权保护的政策、法律、法规和制度。</w:t>
      </w:r>
    </w:p>
    <w:p w14:paraId="3E118AEF">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3.3 中标人投入的项目人员应对本项目中接触到的国家税务总局广西壮族自治区税务局所有的知识产权、商业秘密、技术成果等信息负保密义务。未经国家税务总局广西壮族自治区税务局书面同意，不得向社会公众或第三方通过任何途径出示、泄露，不得许可使用，不得对上述信息进行复制、传播、销售；保证不向外泄漏任何相关数据，不向外泄漏任何保密的技术资料。如出现支持人员泄密事件，中标人应负有连带责任。</w:t>
      </w:r>
    </w:p>
    <w:p w14:paraId="180C88F1">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3.4 中标人须与国家税务总局广西壮族自治区税务局签署合同项目实施期间的信息保密协议。</w:t>
      </w:r>
    </w:p>
    <w:p w14:paraId="3C137DBA">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3.5 中标人投入的项目人员须与国家税务总局广西壮族自治区税务局签署合同项目实施期间的信息保密承诺书。</w:t>
      </w:r>
    </w:p>
    <w:p w14:paraId="3D1195B7">
      <w:pPr>
        <w:pStyle w:val="14"/>
        <w:spacing w:before="0" w:after="0" w:line="360" w:lineRule="auto"/>
        <w:ind w:left="0" w:right="0" w:firstLine="562"/>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★4.信息化服务运维人员要求</w:t>
      </w:r>
    </w:p>
    <w:p w14:paraId="49103FF9">
      <w:pPr>
        <w:pStyle w:val="12"/>
        <w:spacing w:before="0" w:after="0" w:line="360" w:lineRule="auto"/>
        <w:ind w:left="0" w:right="0" w:firstLine="56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本项目涉及信息化服务运维人员的，运维人员应当是中标人的正式人员，或者是与中标人签订1年以上劳动合同且实际工作满1年的人员，常驻运维人员应当为技术骨干。</w:t>
      </w:r>
    </w:p>
    <w:p w14:paraId="21F94CDB">
      <w:pPr>
        <w:pStyle w:val="14"/>
        <w:spacing w:before="0" w:after="0" w:line="360" w:lineRule="auto"/>
        <w:ind w:left="0" w:right="0" w:firstLine="562"/>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★5.罚责条款</w:t>
      </w:r>
    </w:p>
    <w:p w14:paraId="5C09232A">
      <w:pPr>
        <w:pStyle w:val="12"/>
        <w:spacing w:before="0" w:after="0" w:line="360" w:lineRule="auto"/>
        <w:ind w:left="0" w:right="0" w:firstLine="56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建设和运维过程中，因系统在对接、运行等服务中，导致其他系统受到影响的，由中标人负责组织相关服务厂商共同排查，明确问题根源、责任并报告采购人。中标人无法判定问题根源的，由中标人承担全部责任。采购人将视问题轻重、中标人责任大小等情况，按不高于合同总金额的5%的比例进行扣减。</w:t>
      </w:r>
    </w:p>
    <w:p w14:paraId="1AB22316">
      <w:pPr>
        <w:pStyle w:val="14"/>
        <w:spacing w:before="0" w:after="0" w:line="360" w:lineRule="auto"/>
        <w:ind w:left="0" w:right="0" w:firstLine="562"/>
        <w:jc w:val="both"/>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★6.廉政要求</w:t>
      </w:r>
    </w:p>
    <w:p w14:paraId="4E1F425B">
      <w:pPr>
        <w:pStyle w:val="15"/>
        <w:spacing w:before="0" w:after="0" w:line="360" w:lineRule="auto"/>
        <w:ind w:right="0" w:firstLine="56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为进一步落实全面从严治党要求，构建亲清新型政商关系，加强税务信息化项目建设过程中的党风廉政建设和反腐败工作，确保项目建设规范、廉洁推进，中标人在参与税务部门信息化项目工作过程中，需严格遵守法律法规、规范履行合同，积极协助税务部门开展廉政风险防控工作。中标人在参与税务部门信息化项目工作过程中，需严格遵守法律法规、规范履行合同，积极协助税务部门开展廉政风险防控工作。请严格遵守并落实如下要求：</w:t>
      </w:r>
    </w:p>
    <w:p w14:paraId="75C808D2">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6.1 积极发挥廉政风险防控正向作用。中标人有义务配合税务部门在信息化项目工作中加强廉政风险防控，执行有关措施。</w:t>
      </w:r>
    </w:p>
    <w:p w14:paraId="609D444A">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6.2 健全廉政风险防控机制。中标人有责任在项目管理机制中健全内部廉政防控措施，包括但不限于：对参与本项目的员工提出廉洁行为规范；指定专人对项目实施各环节进行廉政监督；在项目验收过程中提交本项目廉政情况报告等。</w:t>
      </w:r>
    </w:p>
    <w:p w14:paraId="56963E7A">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6.3 杜绝违纪违法行为。中标人及相关项目人员必须严格遵守党纪国法，坚守职业道德，杜绝任何形式的利益输送、权力寻租等违纪违法行为，对甲方工作人员不得实施以下行为：</w:t>
      </w:r>
    </w:p>
    <w:p w14:paraId="2FB389C3">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6.3.1 以各种形式和名义提供礼品、礼金、电子红包、支付凭证、商业预付卡、名贵特产、有价证券、股权、其他金融产品等财物。</w:t>
      </w:r>
    </w:p>
    <w:p w14:paraId="4D1BC5A3">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6.3.2 以各种形式和名义提供宴请、旅游、健身、娱乐、私人会所等活动安排；代付加班餐费、打车费等。</w:t>
      </w:r>
    </w:p>
    <w:p w14:paraId="22356079">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6.3.3 以讲课费、咨询费等名义，提供或变相提供报酬。</w:t>
      </w:r>
    </w:p>
    <w:p w14:paraId="42112A3D">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6.3.4 借款、借房、借车，报销应由个人负担的费用。</w:t>
      </w:r>
    </w:p>
    <w:p w14:paraId="095A820B">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6.3.5 以无偿、象征性地收取费用等方式提供家政、司机等服务劳务。</w:t>
      </w:r>
    </w:p>
    <w:p w14:paraId="05F58811">
      <w:pPr>
        <w:pStyle w:val="15"/>
        <w:spacing w:before="0" w:after="0" w:line="360" w:lineRule="auto"/>
        <w:ind w:left="0" w:right="0" w:firstLine="640"/>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6.3.6 其他通过任何形式行贿或输送利益的行为。</w:t>
      </w:r>
    </w:p>
    <w:p w14:paraId="5DDD52F5">
      <w:pPr>
        <w:pStyle w:val="15"/>
        <w:spacing w:before="0" w:after="0" w:line="360" w:lineRule="auto"/>
        <w:ind w:left="0" w:right="0" w:firstLine="640"/>
        <w:jc w:val="both"/>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6.4 信守承诺。中标人应承诺在项目实施过程中，严格遵守国家法律法规合法、诚信经营，杜绝商业贿赂、规范经营活动、公开透明合作、严格内部管理，并签订《税务信息化项目服务商廉洁承诺书》（详见附件1）提交甲方负责项目实施的单位。</w:t>
      </w:r>
    </w:p>
    <w:p w14:paraId="7A7C3959">
      <w:pPr>
        <w:pStyle w:val="15"/>
        <w:spacing w:before="0" w:after="0" w:line="360" w:lineRule="auto"/>
        <w:ind w:left="0" w:right="0" w:firstLine="640"/>
        <w:jc w:val="both"/>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6.5 自觉接受监管。中标人有义务配合税务机关的正常业务监管以及纪检监察、外部审计、督察内审等监督机构对税务信息化项目全过程的监督检查工作，如实提供相关资料和信息，不得隐瞒、篡改或销毁与项目建设有关的文件、数据等资料。</w:t>
      </w:r>
    </w:p>
    <w:p w14:paraId="0E1181B4">
      <w:pPr>
        <w:pStyle w:val="15"/>
        <w:spacing w:before="0" w:after="0" w:line="360" w:lineRule="auto"/>
        <w:ind w:left="0" w:right="0" w:firstLine="640"/>
        <w:jc w:val="both"/>
        <w:textAlignment w:val="baseline"/>
        <w:rPr>
          <w:rFonts w:hint="eastAsia" w:ascii="仿宋_GB2312" w:hAnsi="仿宋_GB2312" w:eastAsia="仿宋_GB2312" w:cs="仿宋_GB2312"/>
          <w:sz w:val="28"/>
          <w:szCs w:val="28"/>
          <w:lang w:val="en-US" w:eastAsia="en-US" w:bidi="ar-SA"/>
        </w:rPr>
      </w:pPr>
      <w:r>
        <w:rPr>
          <w:rFonts w:hint="eastAsia" w:ascii="仿宋_GB2312" w:hAnsi="仿宋_GB2312" w:eastAsia="仿宋_GB2312" w:cs="仿宋_GB2312"/>
          <w:sz w:val="28"/>
          <w:szCs w:val="28"/>
          <w:lang w:val="en-US" w:eastAsia="en-US" w:bidi="ar-SA"/>
        </w:rPr>
        <w:t>6.6 举报和反馈意见。项目执行过程中，中标人有权举报、反馈甲方索贿受贿、吃拿卡要、违反中央八项规定精神等违纪违法行为。项目验收前，应填写《税务信息化项目服务商廉政反馈书》（详见附件2），提交甲方税务机关网络安全和信息化领导小组办公室。</w:t>
      </w:r>
    </w:p>
    <w:p w14:paraId="36A26160">
      <w:pPr>
        <w:pStyle w:val="12"/>
        <w:spacing w:before="0" w:after="0" w:line="36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clear="all"/>
      </w:r>
      <w:r>
        <w:rPr>
          <w:rFonts w:hint="eastAsia" w:ascii="仿宋_GB2312" w:hAnsi="仿宋_GB2312" w:eastAsia="仿宋_GB2312" w:cs="仿宋_GB2312"/>
          <w:sz w:val="28"/>
          <w:szCs w:val="28"/>
        </w:rPr>
        <w:t>附件1</w:t>
      </w:r>
    </w:p>
    <w:p w14:paraId="710EE4C5">
      <w:pPr>
        <w:pStyle w:val="15"/>
        <w:spacing w:before="0" w:after="0" w:line="360" w:lineRule="auto"/>
        <w:ind w:left="0" w:right="0" w:firstLine="162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税务信息化服务商廉洁承诺书</w:t>
      </w:r>
    </w:p>
    <w:p w14:paraId="1B73B068">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为深入贯彻落实党中央关于全面从严治党的决策部署，进一步加强税务信息化项目合作中的廉政建设，防范廉政风险发生，确保项目公开、公平、公正推进，我司郑重承诺如下：</w:t>
      </w:r>
    </w:p>
    <w:p w14:paraId="710EBDA0">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一、合法合规经营。严格遵守国家法律法规及税务部门的相关规定，坚持廉洁从业、诚信经营的原则。在合作过程中不以任何形式进行利益输送，维护良好的政商关系。</w:t>
      </w:r>
    </w:p>
    <w:p w14:paraId="041A7838">
      <w:pPr>
        <w:pStyle w:val="15"/>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二、杜绝商业贿赂。加强内部管理，我司及我司员工均不对甲方工作人员实施以下行为：</w:t>
      </w:r>
    </w:p>
    <w:p w14:paraId="197DEABE">
      <w:pPr>
        <w:pStyle w:val="15"/>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（一）以各种形式和名义提供礼品、礼金、电子红包、支付凭证、商业预付卡、名贵特产、有价证券、股权、其他金融产品等财物。</w:t>
      </w:r>
    </w:p>
    <w:p w14:paraId="7BAE9F97">
      <w:pPr>
        <w:pStyle w:val="15"/>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（二）以各种形式和名义提供宴请、旅游、健身、娱乐、私人会所等活动安排；代付加班餐费、打车费等。</w:t>
      </w:r>
    </w:p>
    <w:p w14:paraId="393F4028">
      <w:pPr>
        <w:pStyle w:val="15"/>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（三）以讲课费、咨询费等名义，提供或变相提供报酬。</w:t>
      </w:r>
    </w:p>
    <w:p w14:paraId="298225CB">
      <w:pPr>
        <w:pStyle w:val="15"/>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（四）借款、借房、借车，报销应由个人负担的费用。</w:t>
      </w:r>
    </w:p>
    <w:p w14:paraId="5BA6EE73">
      <w:pPr>
        <w:pStyle w:val="15"/>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（五）以无偿、象征性地收取费用等方式提供家政、司机等服务劳务。</w:t>
      </w:r>
    </w:p>
    <w:p w14:paraId="7F6C7AE6">
      <w:pPr>
        <w:pStyle w:val="15"/>
        <w:spacing w:before="0" w:after="0" w:line="360" w:lineRule="auto"/>
        <w:ind w:left="0" w:right="0" w:firstLine="640"/>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（六）其他通过任何形式行贿或输送利益的行为。</w:t>
      </w:r>
    </w:p>
    <w:p w14:paraId="3052D007">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三、规范经营活动。严格按照合同约定履行义务，保证项目质量，按时完成建设任务；在合作过程中不以任何借口拖延工期、虚报成本或谋取私利。</w:t>
      </w:r>
    </w:p>
    <w:p w14:paraId="73D92A3C">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四、公开透明合作。我司承诺在项目实施过程中保持公开透明，主动接受税务部门及纪检监察机构的全程监督，并积极配合任何有关廉洁从业的调查工作。</w:t>
      </w:r>
    </w:p>
    <w:p w14:paraId="61F150E9">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五、严格内部管理。加强企业内部廉洁教育，确保员工知晓并遵守相关法律法规及廉洁要求；加强项目实施全过程廉洁监督；对于违反廉洁承诺的员工，将严肃处理，并承担相应责任。</w:t>
      </w:r>
    </w:p>
    <w:p w14:paraId="10A90C59">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六、积极参与监督。在税务信息化项目实施过程中，如发现任何违纪违法行为，将如实反馈问题和意见。</w:t>
      </w:r>
    </w:p>
    <w:p w14:paraId="2557621C">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297F8B99">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承诺单位（盖章）：_________________________</w:t>
      </w:r>
    </w:p>
    <w:p w14:paraId="6AD24A70">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法定代表人或授权代表签字：________________</w:t>
      </w:r>
    </w:p>
    <w:p w14:paraId="41CBE716">
      <w:pPr>
        <w:pStyle w:val="15"/>
        <w:spacing w:before="0" w:after="0" w:line="360" w:lineRule="auto"/>
        <w:ind w:left="0" w:right="0" w:firstLine="64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日期：XX年XX月XX日</w:t>
      </w:r>
    </w:p>
    <w:p w14:paraId="62E7882E">
      <w:pPr>
        <w:pStyle w:val="15"/>
        <w:spacing w:before="0" w:after="0" w:line="360" w:lineRule="auto"/>
        <w:ind w:left="0" w:right="0" w:firstLine="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w:t>
      </w:r>
    </w:p>
    <w:p w14:paraId="6EC79FE3">
      <w:pPr>
        <w:pStyle w:val="15"/>
        <w:spacing w:before="0" w:after="0" w:line="360" w:lineRule="auto"/>
        <w:ind w:left="0" w:right="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备注：本承诺书一式两份，一份由承诺单位留存，另一份交税务部门备案。</w:t>
      </w:r>
    </w:p>
    <w:p w14:paraId="31284C76">
      <w:pPr>
        <w:pStyle w:val="16"/>
        <w:spacing w:before="0" w:after="0" w:line="360" w:lineRule="auto"/>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项目终验前提交《税务信息化项目服务商廉政反馈书》</w:t>
      </w:r>
    </w:p>
    <w:p w14:paraId="58255643">
      <w:pPr>
        <w:pStyle w:val="12"/>
        <w:spacing w:before="0" w:after="0" w:line="36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textWrapping" w:clear="all"/>
      </w:r>
    </w:p>
    <w:p w14:paraId="6E18788C">
      <w:pPr>
        <w:pStyle w:val="12"/>
        <w:spacing w:before="0" w:after="0" w:line="360" w:lineRule="auto"/>
        <w:ind w:left="0" w:right="0"/>
        <w:jc w:val="both"/>
        <w:rPr>
          <w:rFonts w:hint="eastAsia" w:ascii="仿宋_GB2312" w:hAnsi="仿宋_GB2312" w:eastAsia="仿宋_GB2312" w:cs="仿宋_GB2312"/>
          <w:sz w:val="28"/>
          <w:szCs w:val="28"/>
        </w:rPr>
      </w:pPr>
    </w:p>
    <w:p w14:paraId="2AB7E80B">
      <w:pPr>
        <w:pStyle w:val="12"/>
        <w:spacing w:before="0" w:after="0" w:line="360" w:lineRule="auto"/>
        <w:ind w:left="0" w:right="0"/>
        <w:jc w:val="both"/>
        <w:rPr>
          <w:rFonts w:hint="eastAsia" w:ascii="仿宋_GB2312" w:hAnsi="仿宋_GB2312" w:eastAsia="仿宋_GB2312" w:cs="仿宋_GB2312"/>
          <w:sz w:val="28"/>
          <w:szCs w:val="28"/>
        </w:rPr>
      </w:pPr>
    </w:p>
    <w:p w14:paraId="0015EDA1">
      <w:pPr>
        <w:pStyle w:val="12"/>
        <w:spacing w:before="0" w:after="0" w:line="360" w:lineRule="auto"/>
        <w:ind w:left="0" w:right="0"/>
        <w:jc w:val="both"/>
        <w:rPr>
          <w:rFonts w:hint="eastAsia" w:ascii="仿宋_GB2312" w:hAnsi="仿宋_GB2312" w:eastAsia="仿宋_GB2312" w:cs="仿宋_GB2312"/>
          <w:sz w:val="28"/>
          <w:szCs w:val="28"/>
        </w:rPr>
      </w:pPr>
    </w:p>
    <w:p w14:paraId="25D2C4BB">
      <w:pPr>
        <w:pStyle w:val="12"/>
        <w:spacing w:before="0" w:after="0" w:line="360" w:lineRule="auto"/>
        <w:ind w:left="0" w:right="0"/>
        <w:jc w:val="both"/>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附件2 </w:t>
      </w:r>
    </w:p>
    <w:p w14:paraId="07CE87B9">
      <w:pPr>
        <w:pStyle w:val="15"/>
        <w:spacing w:before="0" w:after="0" w:line="360" w:lineRule="auto"/>
        <w:ind w:left="0" w:right="0" w:firstLine="712"/>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税务信息化廉政情况反馈书</w:t>
      </w:r>
    </w:p>
    <w:tbl>
      <w:tblPr>
        <w:tblStyle w:val="17"/>
        <w:tblW w:w="9350" w:type="dxa"/>
        <w:tblCellSpacing w:w="0" w:type="dxa"/>
        <w:tblInd w:w="329" w:type="dxa"/>
        <w:tblLayout w:type="autofit"/>
        <w:tblCellMar>
          <w:top w:w="15" w:type="dxa"/>
          <w:left w:w="15" w:type="dxa"/>
          <w:bottom w:w="15" w:type="dxa"/>
          <w:right w:w="15" w:type="dxa"/>
        </w:tblCellMar>
      </w:tblPr>
      <w:tblGrid>
        <w:gridCol w:w="2529"/>
        <w:gridCol w:w="6821"/>
      </w:tblGrid>
      <w:tr w14:paraId="39AC426E">
        <w:tblPrEx>
          <w:tblCellMar>
            <w:top w:w="15" w:type="dxa"/>
            <w:left w:w="15" w:type="dxa"/>
            <w:bottom w:w="15" w:type="dxa"/>
            <w:right w:w="15" w:type="dxa"/>
          </w:tblCellMar>
        </w:tblPrEx>
        <w:trPr>
          <w:trHeight w:val="840" w:hRule="atLeast"/>
          <w:tblCellSpacing w:w="0" w:type="dxa"/>
        </w:trPr>
        <w:tc>
          <w:tcPr>
            <w:tcW w:w="9882" w:type="dxa"/>
            <w:gridSpan w:val="2"/>
            <w:tcBorders>
              <w:top w:val="single" w:color="000000" w:sz="8" w:space="0"/>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6B115FF1">
            <w:pPr>
              <w:pStyle w:val="15"/>
              <w:spacing w:before="0" w:after="0" w:line="580" w:lineRule="atLeast"/>
              <w:ind w:left="0" w:right="0" w:firstLine="63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项目基本情况</w:t>
            </w:r>
          </w:p>
        </w:tc>
      </w:tr>
      <w:tr w14:paraId="7B853F29">
        <w:tblPrEx>
          <w:tblCellMar>
            <w:top w:w="15" w:type="dxa"/>
            <w:left w:w="15" w:type="dxa"/>
            <w:bottom w:w="15" w:type="dxa"/>
            <w:right w:w="15" w:type="dxa"/>
          </w:tblCellMar>
        </w:tblPrEx>
        <w:trPr>
          <w:trHeight w:val="285"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6DD846CB">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项目名称（编号）</w:t>
            </w:r>
          </w:p>
        </w:tc>
        <w:tc>
          <w:tcPr>
            <w:tcW w:w="7671"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14:paraId="0FE90F86">
            <w:pPr>
              <w:pStyle w:val="15"/>
              <w:spacing w:before="0" w:after="0" w:line="580" w:lineRule="atLeast"/>
              <w:ind w:left="0" w:right="0" w:firstLine="47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XXX税务信息化项目  项目编号</w:t>
            </w:r>
          </w:p>
        </w:tc>
      </w:tr>
      <w:tr w14:paraId="14931516">
        <w:tblPrEx>
          <w:tblCellMar>
            <w:top w:w="15" w:type="dxa"/>
            <w:left w:w="15" w:type="dxa"/>
            <w:bottom w:w="15" w:type="dxa"/>
            <w:right w:w="15" w:type="dxa"/>
          </w:tblCellMar>
        </w:tblPrEx>
        <w:trPr>
          <w:trHeight w:val="570"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4E042F7F">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服务商名称</w:t>
            </w:r>
          </w:p>
        </w:tc>
        <w:tc>
          <w:tcPr>
            <w:tcW w:w="7671" w:type="dxa"/>
            <w:tcBorders>
              <w:bottom w:val="single" w:color="000000" w:sz="8" w:space="0"/>
              <w:right w:val="single" w:color="000000" w:sz="8" w:space="0"/>
            </w:tcBorders>
            <w:noWrap w:val="0"/>
            <w:tcMar>
              <w:top w:w="0" w:type="dxa"/>
              <w:left w:w="108" w:type="dxa"/>
              <w:bottom w:w="0" w:type="dxa"/>
              <w:right w:w="128" w:type="dxa"/>
            </w:tcMar>
            <w:vAlign w:val="center"/>
          </w:tcPr>
          <w:p w14:paraId="459DB823">
            <w:pPr>
              <w:pStyle w:val="15"/>
              <w:spacing w:before="0" w:after="0" w:line="580" w:lineRule="atLeast"/>
              <w:ind w:left="0" w:right="0" w:firstLine="47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XXX公司</w:t>
            </w:r>
          </w:p>
        </w:tc>
      </w:tr>
      <w:tr w14:paraId="24838A15">
        <w:tblPrEx>
          <w:tblCellMar>
            <w:top w:w="15" w:type="dxa"/>
            <w:left w:w="15" w:type="dxa"/>
            <w:bottom w:w="15" w:type="dxa"/>
            <w:right w:w="15" w:type="dxa"/>
          </w:tblCellMar>
        </w:tblPrEx>
        <w:trPr>
          <w:trHeight w:val="570"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16957265">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联系人及电话</w:t>
            </w:r>
          </w:p>
        </w:tc>
        <w:tc>
          <w:tcPr>
            <w:tcW w:w="7671" w:type="dxa"/>
            <w:tcBorders>
              <w:bottom w:val="single" w:color="000000" w:sz="8" w:space="0"/>
              <w:right w:val="single" w:color="000000" w:sz="8" w:space="0"/>
            </w:tcBorders>
            <w:noWrap w:val="0"/>
            <w:tcMar>
              <w:top w:w="0" w:type="dxa"/>
              <w:left w:w="108" w:type="dxa"/>
              <w:bottom w:w="0" w:type="dxa"/>
              <w:right w:w="128" w:type="dxa"/>
            </w:tcMar>
            <w:vAlign w:val="center"/>
          </w:tcPr>
          <w:p w14:paraId="3653953D">
            <w:pPr>
              <w:pStyle w:val="15"/>
              <w:spacing w:before="0" w:after="0" w:line="580" w:lineRule="atLeast"/>
              <w:ind w:left="0" w:right="0" w:firstLine="47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联系人：  职务：   电话： </w:t>
            </w:r>
          </w:p>
        </w:tc>
      </w:tr>
      <w:tr w14:paraId="27AD9B14">
        <w:tblPrEx>
          <w:tblCellMar>
            <w:top w:w="15" w:type="dxa"/>
            <w:left w:w="15" w:type="dxa"/>
            <w:bottom w:w="15" w:type="dxa"/>
            <w:right w:w="15" w:type="dxa"/>
          </w:tblCellMar>
        </w:tblPrEx>
        <w:trPr>
          <w:trHeight w:val="570"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0CBA56CE">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项目情况概述</w:t>
            </w:r>
          </w:p>
        </w:tc>
        <w:tc>
          <w:tcPr>
            <w:tcW w:w="7671" w:type="dxa"/>
            <w:tcBorders>
              <w:bottom w:val="single" w:color="000000" w:sz="8" w:space="0"/>
              <w:right w:val="single" w:color="000000" w:sz="8" w:space="0"/>
            </w:tcBorders>
            <w:noWrap w:val="0"/>
            <w:tcMar>
              <w:top w:w="0" w:type="dxa"/>
              <w:left w:w="108" w:type="dxa"/>
              <w:bottom w:w="0" w:type="dxa"/>
              <w:right w:w="128" w:type="dxa"/>
            </w:tcMar>
            <w:vAlign w:val="center"/>
          </w:tcPr>
          <w:p w14:paraId="5E773F02">
            <w:pPr>
              <w:pStyle w:val="15"/>
              <w:spacing w:before="0" w:after="0" w:line="580" w:lineRule="atLeast"/>
              <w:ind w:left="0" w:right="0" w:firstLine="472"/>
              <w:jc w:val="center"/>
              <w:textAlignment w:val="baseline"/>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 </w:t>
            </w:r>
          </w:p>
        </w:tc>
      </w:tr>
      <w:tr w14:paraId="1A6F99FE">
        <w:tblPrEx>
          <w:tblCellMar>
            <w:top w:w="15" w:type="dxa"/>
            <w:left w:w="15" w:type="dxa"/>
            <w:bottom w:w="15" w:type="dxa"/>
            <w:right w:w="15" w:type="dxa"/>
          </w:tblCellMar>
        </w:tblPrEx>
        <w:trPr>
          <w:trHeight w:val="700" w:hRule="atLeast"/>
          <w:tblCellSpacing w:w="0" w:type="dxa"/>
        </w:trPr>
        <w:tc>
          <w:tcPr>
            <w:gridSpan w:val="2"/>
            <w:tcBorders>
              <w:left w:val="single" w:color="000000" w:sz="8" w:space="0"/>
              <w:bottom w:val="single" w:color="000000" w:sz="8" w:space="0"/>
              <w:right w:val="single" w:color="000000" w:sz="8" w:space="0"/>
            </w:tcBorders>
            <w:noWrap/>
            <w:tcMar>
              <w:top w:w="0" w:type="dxa"/>
              <w:left w:w="128" w:type="dxa"/>
              <w:bottom w:w="0" w:type="dxa"/>
              <w:right w:w="128" w:type="dxa"/>
            </w:tcMar>
            <w:vAlign w:val="center"/>
          </w:tcPr>
          <w:p w14:paraId="607151D7">
            <w:pPr>
              <w:pStyle w:val="15"/>
              <w:spacing w:before="0" w:after="0" w:line="580" w:lineRule="atLeast"/>
              <w:ind w:left="0" w:right="0" w:firstLine="63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廉洁承诺履行情况</w:t>
            </w:r>
          </w:p>
        </w:tc>
      </w:tr>
      <w:tr w14:paraId="6BBF5E1C">
        <w:tblPrEx>
          <w:tblCellMar>
            <w:top w:w="15" w:type="dxa"/>
            <w:left w:w="15" w:type="dxa"/>
            <w:bottom w:w="15" w:type="dxa"/>
            <w:right w:w="15" w:type="dxa"/>
          </w:tblCellMar>
        </w:tblPrEx>
        <w:trPr>
          <w:trHeight w:val="285"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06725CCA">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反馈项</w:t>
            </w:r>
          </w:p>
        </w:tc>
        <w:tc>
          <w:tcPr>
            <w:tcW w:w="7671"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14:paraId="52888D8D">
            <w:pPr>
              <w:pStyle w:val="15"/>
              <w:spacing w:before="0" w:after="0" w:line="580" w:lineRule="atLeast"/>
              <w:ind w:left="0" w:right="0" w:firstLine="47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反馈内容</w:t>
            </w:r>
          </w:p>
        </w:tc>
      </w:tr>
      <w:tr w14:paraId="66625CED">
        <w:tblPrEx>
          <w:tblCellMar>
            <w:top w:w="15" w:type="dxa"/>
            <w:left w:w="15" w:type="dxa"/>
            <w:bottom w:w="15" w:type="dxa"/>
            <w:right w:w="15" w:type="dxa"/>
          </w:tblCellMar>
        </w:tblPrEx>
        <w:trPr>
          <w:trHeight w:val="570"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517BF6C2">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杜绝商业贿赂</w:t>
            </w:r>
          </w:p>
        </w:tc>
        <w:tc>
          <w:tcPr>
            <w:tcW w:w="7671" w:type="dxa"/>
            <w:tcBorders>
              <w:bottom w:val="single" w:color="000000" w:sz="8" w:space="0"/>
              <w:right w:val="single" w:color="000000" w:sz="8" w:space="0"/>
            </w:tcBorders>
            <w:noWrap w:val="0"/>
            <w:tcMar>
              <w:top w:w="0" w:type="dxa"/>
              <w:left w:w="108" w:type="dxa"/>
              <w:bottom w:w="0" w:type="dxa"/>
              <w:right w:w="128" w:type="dxa"/>
            </w:tcMar>
            <w:vAlign w:val="center"/>
          </w:tcPr>
          <w:p w14:paraId="2FEC5072">
            <w:pPr>
              <w:pStyle w:val="15"/>
              <w:spacing w:before="0" w:after="0" w:line="580" w:lineRule="atLeast"/>
              <w:ind w:left="0" w:right="0"/>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向税务工作人员及其家属赠送礼品、礼金或提供任何形式的宴请、娱乐活动情况。</w:t>
            </w:r>
          </w:p>
        </w:tc>
      </w:tr>
      <w:tr w14:paraId="14AEF673">
        <w:tblPrEx>
          <w:tblCellMar>
            <w:top w:w="15" w:type="dxa"/>
            <w:left w:w="15" w:type="dxa"/>
            <w:bottom w:w="15" w:type="dxa"/>
            <w:right w:w="15" w:type="dxa"/>
          </w:tblCellMar>
        </w:tblPrEx>
        <w:trPr>
          <w:trHeight w:val="570"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14E19618">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规范经营活动</w:t>
            </w:r>
          </w:p>
        </w:tc>
        <w:tc>
          <w:tcPr>
            <w:tcW w:w="7671" w:type="dxa"/>
            <w:tcBorders>
              <w:bottom w:val="single" w:color="000000" w:sz="8" w:space="0"/>
              <w:right w:val="single" w:color="000000" w:sz="8" w:space="0"/>
            </w:tcBorders>
            <w:noWrap w:val="0"/>
            <w:tcMar>
              <w:top w:w="0" w:type="dxa"/>
              <w:left w:w="108" w:type="dxa"/>
              <w:bottom w:w="0" w:type="dxa"/>
              <w:right w:w="128" w:type="dxa"/>
            </w:tcMar>
            <w:vAlign w:val="center"/>
          </w:tcPr>
          <w:p w14:paraId="5173D706">
            <w:pPr>
              <w:pStyle w:val="15"/>
              <w:spacing w:before="0" w:after="0" w:line="580" w:lineRule="atLeast"/>
              <w:ind w:left="0" w:right="0"/>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按照合同要求，按时完成各阶段任务，确保项目质量和进度情况。</w:t>
            </w:r>
          </w:p>
        </w:tc>
      </w:tr>
      <w:tr w14:paraId="77A5D133">
        <w:tblPrEx>
          <w:tblCellMar>
            <w:top w:w="15" w:type="dxa"/>
            <w:left w:w="15" w:type="dxa"/>
            <w:bottom w:w="15" w:type="dxa"/>
            <w:right w:w="15" w:type="dxa"/>
          </w:tblCellMar>
        </w:tblPrEx>
        <w:trPr>
          <w:trHeight w:val="570" w:hRule="atLeast"/>
          <w:tblCellSpacing w:w="0" w:type="dxa"/>
        </w:trPr>
        <w:tc>
          <w:tcPr>
            <w:tcW w:w="2673" w:type="dxa"/>
            <w:tcBorders>
              <w:left w:val="single" w:color="000000" w:sz="8" w:space="0"/>
              <w:bottom w:val="single" w:color="000000" w:sz="8" w:space="0"/>
              <w:right w:val="single" w:color="000000" w:sz="8" w:space="0"/>
            </w:tcBorders>
            <w:noWrap w:val="0"/>
            <w:tcMar>
              <w:top w:w="0" w:type="dxa"/>
              <w:left w:w="128" w:type="dxa"/>
              <w:bottom w:w="0" w:type="dxa"/>
              <w:right w:w="128" w:type="dxa"/>
            </w:tcMar>
            <w:vAlign w:val="center"/>
          </w:tcPr>
          <w:p w14:paraId="456BFE2A">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公开透明合作</w:t>
            </w:r>
          </w:p>
        </w:tc>
        <w:tc>
          <w:tcPr>
            <w:tcW w:w="7671" w:type="dxa"/>
            <w:tcBorders>
              <w:bottom w:val="single" w:color="000000" w:sz="8" w:space="0"/>
              <w:right w:val="single" w:color="000000" w:sz="8" w:space="0"/>
            </w:tcBorders>
            <w:noWrap w:val="0"/>
            <w:tcMar>
              <w:top w:w="0" w:type="dxa"/>
              <w:left w:w="108" w:type="dxa"/>
              <w:bottom w:w="0" w:type="dxa"/>
              <w:right w:w="128" w:type="dxa"/>
            </w:tcMar>
            <w:vAlign w:val="center"/>
          </w:tcPr>
          <w:p w14:paraId="60E9E757">
            <w:pPr>
              <w:pStyle w:val="15"/>
              <w:spacing w:before="0" w:after="0" w:line="580" w:lineRule="atLeast"/>
              <w:ind w:left="0" w:right="0"/>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在项目实施过程中保持信息公开透明，主动接受相关部门的监督和检查情况。</w:t>
            </w:r>
          </w:p>
        </w:tc>
      </w:tr>
      <w:tr w14:paraId="616CDB0C">
        <w:tblPrEx>
          <w:tblCellMar>
            <w:top w:w="15" w:type="dxa"/>
            <w:left w:w="15" w:type="dxa"/>
            <w:bottom w:w="15" w:type="dxa"/>
            <w:right w:w="15" w:type="dxa"/>
          </w:tblCellMar>
        </w:tblPrEx>
        <w:trPr>
          <w:trHeight w:val="405" w:hRule="atLeast"/>
          <w:tblCellSpacing w:w="0" w:type="dxa"/>
        </w:trPr>
        <w:tc>
          <w:tcPr>
            <w:gridSpan w:val="2"/>
            <w:tcBorders>
              <w:left w:val="single" w:color="000000" w:sz="8" w:space="0"/>
              <w:bottom w:val="single" w:color="000000" w:sz="8" w:space="0"/>
              <w:right w:val="single" w:color="000000" w:sz="8" w:space="0"/>
            </w:tcBorders>
            <w:noWrap/>
            <w:tcMar>
              <w:top w:w="0" w:type="dxa"/>
              <w:left w:w="128" w:type="dxa"/>
              <w:bottom w:w="0" w:type="dxa"/>
              <w:right w:w="128" w:type="dxa"/>
            </w:tcMar>
            <w:vAlign w:val="center"/>
          </w:tcPr>
          <w:p w14:paraId="5F159F59">
            <w:pPr>
              <w:pStyle w:val="15"/>
              <w:spacing w:before="0" w:after="0" w:line="580" w:lineRule="atLeast"/>
              <w:ind w:left="0" w:right="0" w:firstLine="63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税务人员履职期间廉政情况</w:t>
            </w:r>
          </w:p>
        </w:tc>
      </w:tr>
      <w:tr w14:paraId="75E57E7B">
        <w:tblPrEx>
          <w:tblCellMar>
            <w:top w:w="15" w:type="dxa"/>
            <w:left w:w="15" w:type="dxa"/>
            <w:bottom w:w="15" w:type="dxa"/>
            <w:right w:w="15" w:type="dxa"/>
          </w:tblCellMar>
        </w:tblPrEx>
        <w:trPr>
          <w:trHeight w:val="505" w:hRule="atLeast"/>
          <w:tblCellSpacing w:w="0" w:type="dxa"/>
        </w:trPr>
        <w:tc>
          <w:tcPr>
            <w:tcW w:w="2673" w:type="dxa"/>
            <w:vMerge w:val="restart"/>
            <w:tcBorders>
              <w:left w:val="single" w:color="000000" w:sz="8" w:space="0"/>
              <w:right w:val="single" w:color="000000" w:sz="8" w:space="0"/>
            </w:tcBorders>
            <w:noWrap w:val="0"/>
            <w:tcMar>
              <w:top w:w="0" w:type="dxa"/>
              <w:left w:w="128" w:type="dxa"/>
              <w:bottom w:w="0" w:type="dxa"/>
              <w:right w:w="128" w:type="dxa"/>
            </w:tcMar>
            <w:vAlign w:val="center"/>
          </w:tcPr>
          <w:p w14:paraId="09B12487">
            <w:pPr>
              <w:pStyle w:val="15"/>
              <w:spacing w:before="0" w:after="0" w:line="580" w:lineRule="atLeast"/>
              <w:ind w:left="0" w:right="0"/>
              <w:jc w:val="both"/>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bCs/>
                <w:i w:val="0"/>
                <w:iCs w:val="0"/>
                <w:smallCaps w:val="0"/>
                <w:color w:val="000000"/>
                <w:sz w:val="28"/>
                <w:szCs w:val="28"/>
              </w:rPr>
              <w:t>税务人员履职过程存在违纪违规行为</w:t>
            </w:r>
          </w:p>
        </w:tc>
        <w:tc>
          <w:tcPr>
            <w:tcW w:w="7671" w:type="dxa"/>
            <w:tcBorders>
              <w:top w:val="single" w:color="000000" w:sz="8" w:space="0"/>
              <w:bottom w:val="single" w:color="000000" w:sz="8" w:space="0"/>
              <w:right w:val="single" w:color="000000" w:sz="8" w:space="0"/>
            </w:tcBorders>
            <w:noWrap w:val="0"/>
            <w:tcMar>
              <w:top w:w="0" w:type="dxa"/>
              <w:left w:w="108" w:type="dxa"/>
              <w:bottom w:w="0" w:type="dxa"/>
              <w:right w:w="128" w:type="dxa"/>
            </w:tcMar>
            <w:vAlign w:val="center"/>
          </w:tcPr>
          <w:p w14:paraId="75C6C6EE">
            <w:pPr>
              <w:pStyle w:val="15"/>
              <w:spacing w:before="0" w:after="0" w:line="580" w:lineRule="atLeast"/>
              <w:ind w:left="0" w:right="0" w:firstLine="47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否</w:t>
            </w:r>
          </w:p>
        </w:tc>
      </w:tr>
      <w:tr w14:paraId="46A5E992">
        <w:tblPrEx>
          <w:tblCellMar>
            <w:top w:w="15" w:type="dxa"/>
            <w:left w:w="15" w:type="dxa"/>
            <w:bottom w:w="15" w:type="dxa"/>
            <w:right w:w="15" w:type="dxa"/>
          </w:tblCellMar>
        </w:tblPrEx>
        <w:trPr>
          <w:trHeight w:val="285" w:hRule="atLeast"/>
          <w:tblCellSpacing w:w="0" w:type="dxa"/>
        </w:trPr>
        <w:tc>
          <w:tcPr>
            <w:vMerge w:val="continue"/>
            <w:tcBorders>
              <w:left w:val="single" w:color="000000" w:sz="8" w:space="0"/>
              <w:right w:val="single" w:color="000000" w:sz="8" w:space="0"/>
            </w:tcBorders>
            <w:vAlign w:val="center"/>
          </w:tcPr>
          <w:p w14:paraId="7381AD64">
            <w:pPr>
              <w:rPr>
                <w:rFonts w:hint="eastAsia" w:ascii="仿宋_GB2312" w:hAnsi="仿宋_GB2312" w:eastAsia="仿宋_GB2312" w:cs="仿宋_GB2312"/>
                <w:b w:val="0"/>
                <w:bCs w:val="0"/>
                <w:i w:val="0"/>
                <w:iCs w:val="0"/>
                <w:smallCaps w:val="0"/>
                <w:color w:val="000000"/>
                <w:sz w:val="28"/>
                <w:szCs w:val="28"/>
              </w:rPr>
            </w:pPr>
          </w:p>
        </w:tc>
        <w:tc>
          <w:tcPr>
            <w:tcW w:w="7671" w:type="dxa"/>
            <w:vMerge w:val="restart"/>
            <w:tcBorders>
              <w:right w:val="single" w:color="000000" w:sz="8" w:space="0"/>
            </w:tcBorders>
            <w:noWrap w:val="0"/>
            <w:tcMar>
              <w:top w:w="0" w:type="dxa"/>
              <w:left w:w="108" w:type="dxa"/>
              <w:bottom w:w="0" w:type="dxa"/>
              <w:right w:w="128" w:type="dxa"/>
            </w:tcMar>
            <w:vAlign w:val="center"/>
          </w:tcPr>
          <w:p w14:paraId="509ACD78">
            <w:pPr>
              <w:pStyle w:val="15"/>
              <w:spacing w:before="0" w:after="0" w:line="580" w:lineRule="atLeast"/>
              <w:ind w:left="0" w:right="0" w:firstLine="472"/>
              <w:jc w:val="center"/>
              <w:textAlignment w:val="center"/>
              <w:rPr>
                <w:rFonts w:hint="eastAsia" w:ascii="仿宋_GB2312" w:hAnsi="仿宋_GB2312" w:eastAsia="仿宋_GB2312" w:cs="仿宋_GB2312"/>
                <w:b w:val="0"/>
                <w:bCs w:val="0"/>
                <w:i w:val="0"/>
                <w:iCs w:val="0"/>
                <w:smallCaps w:val="0"/>
                <w:color w:val="000000"/>
                <w:sz w:val="28"/>
                <w:szCs w:val="28"/>
              </w:rPr>
            </w:pPr>
            <w:r>
              <w:rPr>
                <w:rFonts w:hint="eastAsia" w:ascii="仿宋_GB2312" w:hAnsi="仿宋_GB2312" w:eastAsia="仿宋_GB2312" w:cs="仿宋_GB2312"/>
                <w:b w:val="0"/>
                <w:bCs w:val="0"/>
                <w:i w:val="0"/>
                <w:iCs w:val="0"/>
                <w:smallCaps w:val="0"/>
                <w:color w:val="000000"/>
                <w:sz w:val="28"/>
                <w:szCs w:val="28"/>
              </w:rPr>
              <w:t>是（说明具体情况）</w:t>
            </w:r>
          </w:p>
        </w:tc>
      </w:tr>
      <w:tr w14:paraId="0C5C170C">
        <w:tblPrEx>
          <w:tblCellMar>
            <w:top w:w="15" w:type="dxa"/>
            <w:left w:w="15" w:type="dxa"/>
            <w:bottom w:w="15" w:type="dxa"/>
            <w:right w:w="15" w:type="dxa"/>
          </w:tblCellMar>
        </w:tblPrEx>
        <w:trPr>
          <w:trHeight w:val="537" w:hRule="atLeast"/>
          <w:tblCellSpacing w:w="0" w:type="dxa"/>
        </w:trPr>
        <w:tc>
          <w:tcPr>
            <w:vMerge w:val="continue"/>
            <w:tcBorders>
              <w:left w:val="single" w:color="000000" w:sz="8" w:space="0"/>
              <w:right w:val="single" w:color="000000" w:sz="8" w:space="0"/>
            </w:tcBorders>
            <w:vAlign w:val="center"/>
          </w:tcPr>
          <w:p w14:paraId="7B136CCA">
            <w:pPr>
              <w:rPr>
                <w:rFonts w:hint="eastAsia" w:ascii="仿宋_GB2312" w:hAnsi="仿宋_GB2312" w:eastAsia="仿宋_GB2312" w:cs="仿宋_GB2312"/>
                <w:b w:val="0"/>
                <w:bCs w:val="0"/>
                <w:i w:val="0"/>
                <w:iCs w:val="0"/>
                <w:smallCaps w:val="0"/>
                <w:color w:val="000000"/>
                <w:sz w:val="28"/>
                <w:szCs w:val="28"/>
              </w:rPr>
            </w:pPr>
          </w:p>
        </w:tc>
        <w:tc>
          <w:tcPr>
            <w:vMerge w:val="continue"/>
            <w:tcBorders>
              <w:right w:val="single" w:color="000000" w:sz="8" w:space="0"/>
            </w:tcBorders>
            <w:vAlign w:val="center"/>
          </w:tcPr>
          <w:p w14:paraId="674062A9">
            <w:pPr>
              <w:rPr>
                <w:rFonts w:hint="eastAsia" w:ascii="仿宋_GB2312" w:hAnsi="仿宋_GB2312" w:eastAsia="仿宋_GB2312" w:cs="仿宋_GB2312"/>
                <w:b w:val="0"/>
                <w:bCs w:val="0"/>
                <w:i w:val="0"/>
                <w:iCs w:val="0"/>
                <w:smallCaps w:val="0"/>
                <w:color w:val="000000"/>
                <w:sz w:val="28"/>
                <w:szCs w:val="28"/>
              </w:rPr>
            </w:pPr>
          </w:p>
        </w:tc>
      </w:tr>
    </w:tbl>
    <w:p w14:paraId="734CB686">
      <w:pPr>
        <w:pStyle w:val="15"/>
        <w:spacing w:before="0" w:after="0" w:line="360" w:lineRule="auto"/>
        <w:ind w:left="0" w:right="0"/>
        <w:jc w:val="both"/>
        <w:textAlignment w:val="baseline"/>
        <w:rPr>
          <w:rFonts w:hint="eastAsia" w:ascii="仿宋_GB2312" w:hAnsi="仿宋_GB2312" w:eastAsia="仿宋_GB2312" w:cs="仿宋_GB2312"/>
          <w:sz w:val="28"/>
          <w:szCs w:val="28"/>
        </w:rPr>
      </w:pPr>
      <w:r>
        <w:rPr>
          <w:rStyle w:val="18"/>
          <w:rFonts w:hint="eastAsia" w:ascii="仿宋_GB2312" w:hAnsi="仿宋_GB2312" w:eastAsia="仿宋_GB2312" w:cs="仿宋_GB2312"/>
          <w:spacing w:val="0"/>
          <w:sz w:val="28"/>
          <w:szCs w:val="28"/>
          <w:shd w:val="clear" w:color="auto" w:fill="FFFFFF"/>
        </w:rPr>
        <w:t>提交单位（盖章）：XXX公司</w:t>
      </w:r>
      <w:r>
        <w:rPr>
          <w:rStyle w:val="18"/>
          <w:rFonts w:hint="eastAsia" w:ascii="仿宋_GB2312" w:hAnsi="仿宋_GB2312" w:eastAsia="仿宋_GB2312" w:cs="仿宋_GB2312"/>
          <w:spacing w:val="0"/>
          <w:sz w:val="28"/>
          <w:szCs w:val="28"/>
          <w:shd w:val="clear" w:color="auto" w:fill="FFFFFF"/>
        </w:rPr>
        <w:br w:type="textWrapping"/>
      </w:r>
      <w:r>
        <w:rPr>
          <w:rStyle w:val="18"/>
          <w:rFonts w:hint="eastAsia" w:ascii="仿宋_GB2312" w:hAnsi="仿宋_GB2312" w:eastAsia="仿宋_GB2312" w:cs="仿宋_GB2312"/>
          <w:spacing w:val="0"/>
          <w:sz w:val="28"/>
          <w:szCs w:val="28"/>
          <w:shd w:val="clear" w:color="auto" w:fill="FFFFFF"/>
        </w:rPr>
        <w:t>法定代表人或授权代表签字：_________________________</w:t>
      </w:r>
      <w:r>
        <w:rPr>
          <w:rStyle w:val="18"/>
          <w:rFonts w:hint="eastAsia" w:ascii="仿宋_GB2312" w:hAnsi="仿宋_GB2312" w:eastAsia="仿宋_GB2312" w:cs="仿宋_GB2312"/>
          <w:spacing w:val="0"/>
          <w:sz w:val="28"/>
          <w:szCs w:val="28"/>
          <w:shd w:val="clear" w:color="auto" w:fill="FFFFFF"/>
        </w:rPr>
        <w:br w:type="textWrapping"/>
      </w:r>
      <w:r>
        <w:rPr>
          <w:rStyle w:val="18"/>
          <w:rFonts w:hint="eastAsia" w:ascii="仿宋_GB2312" w:hAnsi="仿宋_GB2312" w:eastAsia="仿宋_GB2312" w:cs="仿宋_GB2312"/>
          <w:spacing w:val="0"/>
          <w:sz w:val="28"/>
          <w:szCs w:val="28"/>
          <w:shd w:val="clear" w:color="auto" w:fill="FFFFFF"/>
        </w:rPr>
        <w:t>日期：XX年XX月XX日</w:t>
      </w:r>
    </w:p>
    <w:sectPr>
      <w:foot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Arial Unicode MS"/>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0FAC8413">
    <w:panose1 w:val="020B0604020202020204"/>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32CE8">
    <w:pPr>
      <w:spacing w:before="0" w:after="0" w:line="360" w:lineRule="auto"/>
      <w:jc w:val="center"/>
    </w:pPr>
    <w:r>
      <w:fldChar w:fldCharType="begin"/>
    </w:r>
    <w:r>
      <w:instrText xml:space="preserve"> PAGE </w:instrText>
    </w:r>
    <w:r>
      <w:fldChar w:fldCharType="separate"/>
    </w:r>
    <w:r>
      <w:t>17</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B3E"/>
    <w:rsid w:val="00A77B3E"/>
    <w:rsid w:val="00CA2A55"/>
    <w:rsid w:val="37FED63C"/>
    <w:rsid w:val="3FFA9B9C"/>
    <w:rsid w:val="5ACDDE60"/>
    <w:rsid w:val="5DDFD005"/>
    <w:rsid w:val="67DF12DE"/>
    <w:rsid w:val="6C6E76E1"/>
    <w:rsid w:val="6F604737"/>
    <w:rsid w:val="777E7B7A"/>
    <w:rsid w:val="7DDB36B2"/>
    <w:rsid w:val="B5F77A9C"/>
    <w:rsid w:val="BD7FC1A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qFormat/>
    <w:uiPriority w:val="0"/>
    <w:pPr>
      <w:keepNext/>
      <w:spacing w:before="240" w:after="60"/>
      <w:outlineLvl w:val="0"/>
    </w:pPr>
    <w:rPr>
      <w:rFonts w:ascii="Arial" w:hAnsi="Arial" w:cs="Arial"/>
      <w:b/>
      <w:bCs/>
      <w:kern w:val="32"/>
      <w:sz w:val="32"/>
      <w:szCs w:val="32"/>
    </w:rPr>
  </w:style>
  <w:style w:type="paragraph" w:styleId="3">
    <w:name w:val="heading 2"/>
    <w:basedOn w:val="1"/>
    <w:next w:val="1"/>
    <w:qFormat/>
    <w:uiPriority w:val="0"/>
    <w:pPr>
      <w:keepNext/>
      <w:spacing w:before="240" w:after="60"/>
      <w:outlineLvl w:val="1"/>
    </w:pPr>
    <w:rPr>
      <w:rFonts w:ascii="Arial" w:hAnsi="Arial" w:cs="Arial"/>
      <w:b/>
      <w:bCs/>
      <w:i/>
      <w:iCs/>
      <w:sz w:val="28"/>
      <w:szCs w:val="28"/>
    </w:rPr>
  </w:style>
  <w:style w:type="paragraph" w:styleId="4">
    <w:name w:val="heading 3"/>
    <w:basedOn w:val="1"/>
    <w:next w:val="1"/>
    <w:qFormat/>
    <w:uiPriority w:val="0"/>
    <w:pPr>
      <w:keepNext/>
      <w:spacing w:before="240" w:after="60"/>
      <w:outlineLvl w:val="2"/>
    </w:pPr>
    <w:rPr>
      <w:rFonts w:ascii="Arial" w:hAnsi="Arial" w:cs="Arial"/>
      <w:b/>
      <w:bCs/>
      <w:sz w:val="26"/>
      <w:szCs w:val="26"/>
    </w:rPr>
  </w:style>
  <w:style w:type="paragraph" w:styleId="5">
    <w:name w:val="heading 4"/>
    <w:basedOn w:val="1"/>
    <w:next w:val="1"/>
    <w:qFormat/>
    <w:uiPriority w:val="0"/>
    <w:pPr>
      <w:keepNext/>
      <w:spacing w:before="240" w:after="60"/>
      <w:outlineLvl w:val="3"/>
    </w:pPr>
    <w:rPr>
      <w:b/>
      <w:bCs/>
      <w:sz w:val="28"/>
      <w:szCs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6">
    <w:name w:val="toc 3"/>
    <w:basedOn w:val="1"/>
    <w:next w:val="1"/>
    <w:qFormat/>
    <w:uiPriority w:val="0"/>
    <w:pPr>
      <w:ind w:left="480"/>
    </w:pPr>
  </w:style>
  <w:style w:type="paragraph" w:styleId="7">
    <w:name w:val="toc 1"/>
    <w:basedOn w:val="1"/>
    <w:next w:val="1"/>
    <w:qFormat/>
    <w:uiPriority w:val="0"/>
  </w:style>
  <w:style w:type="paragraph" w:styleId="8">
    <w:name w:val="toc 2"/>
    <w:basedOn w:val="1"/>
    <w:next w:val="1"/>
    <w:qFormat/>
    <w:uiPriority w:val="0"/>
    <w:pPr>
      <w:ind w:left="240"/>
    </w:pPr>
  </w:style>
  <w:style w:type="character" w:styleId="11">
    <w:name w:val="Hyperlink"/>
    <w:basedOn w:val="10"/>
    <w:qFormat/>
    <w:uiPriority w:val="0"/>
    <w:rPr>
      <w:color w:val="0000FF"/>
      <w:u w:val="single"/>
    </w:rPr>
  </w:style>
  <w:style w:type="paragraph" w:customStyle="1" w:styleId="12">
    <w:name w:val="MsoNormal"/>
    <w:basedOn w:val="1"/>
    <w:qFormat/>
    <w:uiPriority w:val="0"/>
  </w:style>
  <w:style w:type="table" w:customStyle="1" w:styleId="13">
    <w:name w:val="MsoNormalTable"/>
    <w:basedOn w:val="9"/>
    <w:qFormat/>
    <w:uiPriority w:val="0"/>
  </w:style>
  <w:style w:type="paragraph" w:customStyle="1" w:styleId="14">
    <w:name w:val="MsoBodyText"/>
    <w:basedOn w:val="1"/>
    <w:qFormat/>
    <w:uiPriority w:val="0"/>
  </w:style>
  <w:style w:type="paragraph" w:customStyle="1" w:styleId="15">
    <w:name w:val="19"/>
    <w:basedOn w:val="1"/>
    <w:qFormat/>
    <w:uiPriority w:val="0"/>
  </w:style>
  <w:style w:type="paragraph" w:customStyle="1" w:styleId="16">
    <w:name w:val="17"/>
    <w:basedOn w:val="1"/>
    <w:qFormat/>
    <w:uiPriority w:val="0"/>
  </w:style>
  <w:style w:type="table" w:customStyle="1" w:styleId="17">
    <w:name w:val="22"/>
    <w:basedOn w:val="9"/>
    <w:qFormat/>
    <w:uiPriority w:val="0"/>
  </w:style>
  <w:style w:type="character" w:customStyle="1" w:styleId="18">
    <w:name w:val="15"/>
    <w:basedOn w:val="10"/>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Template>
  <Pages>18</Pages>
  <Words>1221</Words>
  <Characters>1311</Characters>
  <Lines>1</Lines>
  <Paragraphs>1</Paragraphs>
  <TotalTime>3</TotalTime>
  <ScaleCrop>false</ScaleCrop>
  <LinksUpToDate>false</LinksUpToDate>
  <CharactersWithSpaces>1330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2026-02-10T00:31:00Z</dcterms:created>
  <dc:creator>user</dc:creator>
  <cp:lastModifiedBy>VvnFng</cp:lastModifiedBy>
  <dcterms:modified xsi:type="dcterms:W3CDTF">2026-02-12T00:51:15Z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D456BCA9B9544FF1AFEAFAC1F96439B3_13</vt:lpwstr>
  </property>
</Properties>
</file>