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b/>
          <w:color w:val="auto"/>
          <w:sz w:val="84"/>
          <w:szCs w:val="84"/>
          <w:highlight w:val="none"/>
        </w:rPr>
      </w:pPr>
      <w:r>
        <w:rPr>
          <w:rFonts w:hint="eastAsia" w:ascii="微软雅黑" w:hAnsi="微软雅黑"/>
          <w:b/>
          <w:color w:val="auto"/>
          <w:sz w:val="84"/>
          <w:szCs w:val="84"/>
          <w:highlight w:val="none"/>
        </w:rPr>
        <w:drawing>
          <wp:inline distT="0" distB="0" distL="114300" distR="114300">
            <wp:extent cx="2809875" cy="1143000"/>
            <wp:effectExtent l="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2809875" cy="1143000"/>
                    </a:xfrm>
                    <a:prstGeom prst="rect">
                      <a:avLst/>
                    </a:prstGeom>
                    <a:noFill/>
                    <a:ln>
                      <a:noFill/>
                    </a:ln>
                  </pic:spPr>
                </pic:pic>
              </a:graphicData>
            </a:graphic>
          </wp:inline>
        </w:drawing>
      </w:r>
    </w:p>
    <w:p>
      <w:pPr>
        <w:pStyle w:val="41"/>
        <w:ind w:firstLine="210"/>
        <w:rPr>
          <w:color w:val="auto"/>
          <w:highlight w:val="none"/>
        </w:rPr>
      </w:pPr>
    </w:p>
    <w:p>
      <w:pPr>
        <w:jc w:val="center"/>
        <w:rPr>
          <w:color w:val="auto"/>
          <w:sz w:val="72"/>
          <w:szCs w:val="72"/>
          <w:highlight w:val="none"/>
        </w:rPr>
      </w:pPr>
      <w:r>
        <w:rPr>
          <w:rFonts w:hint="eastAsia" w:ascii="华文新魏" w:hAnsi="华文新魏" w:eastAsia="华文新魏"/>
          <w:color w:val="auto"/>
          <w:sz w:val="52"/>
          <w:szCs w:val="52"/>
          <w:highlight w:val="none"/>
        </w:rPr>
        <w:t>广西众联工程项目管理有限公司</w:t>
      </w:r>
    </w:p>
    <w:p>
      <w:pPr>
        <w:spacing w:line="400" w:lineRule="exact"/>
        <w:jc w:val="center"/>
        <w:rPr>
          <w:rFonts w:ascii="华文新魏" w:hAnsi="华文新魏" w:eastAsia="华文新魏"/>
          <w:color w:val="auto"/>
          <w:spacing w:val="116"/>
          <w:sz w:val="52"/>
          <w:highlight w:val="none"/>
        </w:rPr>
      </w:pPr>
    </w:p>
    <w:p>
      <w:pPr>
        <w:jc w:val="center"/>
        <w:rPr>
          <w:rFonts w:ascii="楷体_GB2312" w:eastAsia="楷体_GB2312"/>
          <w:b/>
          <w:bCs/>
          <w:color w:val="auto"/>
          <w:spacing w:val="100"/>
          <w:sz w:val="84"/>
          <w:szCs w:val="84"/>
          <w:highlight w:val="none"/>
        </w:rPr>
      </w:pPr>
    </w:p>
    <w:p>
      <w:pPr>
        <w:jc w:val="center"/>
        <w:rPr>
          <w:color w:val="auto"/>
          <w:szCs w:val="84"/>
          <w:highlight w:val="none"/>
        </w:rPr>
      </w:pPr>
      <w:r>
        <w:rPr>
          <w:rFonts w:hint="eastAsia" w:ascii="楷体_GB2312" w:eastAsia="楷体_GB2312"/>
          <w:b/>
          <w:bCs/>
          <w:color w:val="auto"/>
          <w:spacing w:val="100"/>
          <w:sz w:val="84"/>
          <w:szCs w:val="84"/>
          <w:highlight w:val="none"/>
        </w:rPr>
        <w:t>磋商文件</w:t>
      </w:r>
    </w:p>
    <w:p>
      <w:pPr>
        <w:jc w:val="center"/>
        <w:rPr>
          <w:color w:val="auto"/>
          <w:highlight w:val="none"/>
        </w:rPr>
      </w:pPr>
    </w:p>
    <w:p>
      <w:pPr>
        <w:jc w:val="center"/>
        <w:rPr>
          <w:color w:val="auto"/>
          <w:highlight w:val="none"/>
        </w:rPr>
      </w:pPr>
    </w:p>
    <w:p>
      <w:pPr>
        <w:spacing w:line="480" w:lineRule="auto"/>
        <w:rPr>
          <w:b/>
          <w:color w:val="auto"/>
          <w:sz w:val="32"/>
          <w:highlight w:val="none"/>
        </w:rPr>
      </w:pPr>
    </w:p>
    <w:p>
      <w:pPr>
        <w:spacing w:line="480" w:lineRule="auto"/>
        <w:ind w:left="2564" w:leftChars="456" w:hanging="1606" w:hangingChars="5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项目名称：国家税务总局广西壮族自治区税务局</w:t>
      </w:r>
    </w:p>
    <w:p>
      <w:pPr>
        <w:spacing w:line="480" w:lineRule="auto"/>
        <w:ind w:left="2554" w:leftChars="1216" w:firstLine="0" w:firstLineChars="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购买预算管理一体化配套软件</w:t>
      </w:r>
    </w:p>
    <w:p>
      <w:pPr>
        <w:pStyle w:val="2"/>
        <w:spacing w:after="0" w:line="660" w:lineRule="exact"/>
        <w:ind w:firstLine="2393" w:firstLineChars="745"/>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（本项目为目录外标准下）</w:t>
      </w:r>
    </w:p>
    <w:p>
      <w:pPr>
        <w:spacing w:line="480" w:lineRule="auto"/>
        <w:ind w:firstLine="964" w:firstLineChars="3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项目编号：ZB2022-584</w:t>
      </w:r>
    </w:p>
    <w:p>
      <w:pPr>
        <w:spacing w:line="480" w:lineRule="auto"/>
        <w:ind w:left="838" w:leftChars="399"/>
        <w:jc w:val="center"/>
        <w:rPr>
          <w:rFonts w:hint="eastAsia" w:asciiTheme="minorEastAsia" w:hAnsiTheme="minorEastAsia" w:eastAsiaTheme="minorEastAsia" w:cstheme="minorEastAsia"/>
          <w:b/>
          <w:color w:val="auto"/>
          <w:sz w:val="32"/>
          <w:highlight w:val="none"/>
        </w:rPr>
      </w:pPr>
    </w:p>
    <w:p>
      <w:pPr>
        <w:spacing w:line="480" w:lineRule="auto"/>
        <w:rPr>
          <w:rFonts w:hint="eastAsia" w:asciiTheme="minorEastAsia" w:hAnsiTheme="minorEastAsia" w:eastAsiaTheme="minorEastAsia" w:cstheme="minorEastAsia"/>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szCs w:val="32"/>
          <w:highlight w:val="none"/>
        </w:rPr>
        <w:t>采购单位：</w:t>
      </w:r>
      <w:r>
        <w:rPr>
          <w:rFonts w:hint="eastAsia" w:asciiTheme="minorEastAsia" w:hAnsiTheme="minorEastAsia" w:eastAsiaTheme="minorEastAsia" w:cstheme="minorEastAsia"/>
          <w:b/>
          <w:color w:val="auto"/>
          <w:sz w:val="32"/>
          <w:highlight w:val="none"/>
        </w:rPr>
        <w:t>国家税务总局广西壮族自治区税务局</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采购代理机构：广西众联工程项目管理有限公司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auto"/>
          <w:sz w:val="32"/>
          <w:szCs w:val="32"/>
          <w:highlight w:val="none"/>
          <w:lang w:eastAsia="zh-CN"/>
        </w:rPr>
      </w:pPr>
      <w:r>
        <w:rPr>
          <w:rFonts w:hint="eastAsia" w:asciiTheme="minorEastAsia" w:hAnsiTheme="minorEastAsia" w:eastAsiaTheme="minorEastAsia" w:cstheme="minorEastAsia"/>
          <w:b/>
          <w:color w:val="auto"/>
          <w:sz w:val="32"/>
          <w:szCs w:val="32"/>
          <w:highlight w:val="none"/>
        </w:rPr>
        <w:t>2023年</w:t>
      </w:r>
      <w:r>
        <w:rPr>
          <w:rFonts w:hint="eastAsia" w:asciiTheme="minorEastAsia" w:hAnsiTheme="minorEastAsia" w:eastAsiaTheme="minorEastAsia" w:cstheme="minorEastAsia"/>
          <w:b/>
          <w:color w:val="auto"/>
          <w:sz w:val="32"/>
          <w:szCs w:val="32"/>
          <w:highlight w:val="none"/>
          <w:lang w:val="en-US" w:eastAsia="zh-CN"/>
        </w:rPr>
        <w:t>4</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27</w:t>
      </w:r>
      <w:r>
        <w:rPr>
          <w:rFonts w:hint="eastAsia" w:asciiTheme="minorEastAsia" w:hAnsiTheme="minorEastAsia" w:eastAsiaTheme="minorEastAsia" w:cstheme="minorEastAsia"/>
          <w:b/>
          <w:color w:val="auto"/>
          <w:sz w:val="32"/>
          <w:szCs w:val="32"/>
          <w:highlight w:val="none"/>
          <w:lang w:eastAsia="zh-CN"/>
        </w:rPr>
        <w:t>日</w:t>
      </w:r>
    </w:p>
    <w:p>
      <w:pPr>
        <w:spacing w:line="600" w:lineRule="auto"/>
        <w:jc w:val="center"/>
        <w:rPr>
          <w:rFonts w:hint="eastAsia" w:asciiTheme="minorEastAsia" w:hAnsiTheme="minorEastAsia" w:eastAsiaTheme="minorEastAsia" w:cstheme="minorEastAsia"/>
          <w:b/>
          <w:color w:val="auto"/>
          <w:sz w:val="44"/>
          <w:szCs w:val="52"/>
          <w:highlight w:val="none"/>
        </w:rPr>
        <w:sectPr>
          <w:headerReference r:id="rId3" w:type="first"/>
          <w:footerReference r:id="rId5" w:type="first"/>
          <w:footerReference r:id="rId4" w:type="default"/>
          <w:pgSz w:w="11906" w:h="16838"/>
          <w:pgMar w:top="1134" w:right="1134" w:bottom="1134" w:left="1134" w:header="720" w:footer="720" w:gutter="0"/>
          <w:cols w:space="720" w:num="1"/>
          <w:docGrid w:type="lines" w:linePitch="331" w:charSpace="0"/>
        </w:sectPr>
      </w:pPr>
    </w:p>
    <w:p>
      <w:pPr>
        <w:spacing w:line="600" w:lineRule="auto"/>
        <w:jc w:val="center"/>
        <w:rPr>
          <w:rFonts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44"/>
          <w:szCs w:val="52"/>
          <w:highlight w:val="none"/>
        </w:rPr>
        <w:t>目  录</w:t>
      </w:r>
      <w:bookmarkStart w:id="76" w:name="_GoBack"/>
      <w:bookmarkEnd w:id="76"/>
    </w:p>
    <w:p>
      <w:pPr>
        <w:pStyle w:val="27"/>
        <w:spacing w:line="600" w:lineRule="auto"/>
        <w:jc w:val="center"/>
        <w:rPr>
          <w:rFonts w:asciiTheme="minorEastAsia" w:hAnsiTheme="minorEastAsia" w:eastAsiaTheme="minorEastAsia" w:cstheme="minorEastAsia"/>
          <w:color w:val="auto"/>
          <w:szCs w:val="30"/>
          <w:highlight w:val="none"/>
        </w:rPr>
      </w:pPr>
      <w:r>
        <w:rPr>
          <w:rFonts w:hint="eastAsia" w:asciiTheme="minorEastAsia" w:hAnsiTheme="minorEastAsia" w:eastAsiaTheme="minorEastAsia" w:cstheme="minorEastAsia"/>
          <w:color w:val="auto"/>
          <w:szCs w:val="30"/>
          <w:highlight w:val="none"/>
        </w:rPr>
        <w:t>第一部分　商务部分</w:t>
      </w:r>
    </w:p>
    <w:p>
      <w:pPr>
        <w:pStyle w:val="27"/>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TOC \o "1-3" \h \z \u </w:instrText>
      </w:r>
      <w:r>
        <w:rPr>
          <w:rFonts w:hint="eastAsia" w:asciiTheme="minorEastAsia" w:hAnsiTheme="minorEastAsia" w:eastAsiaTheme="minorEastAsia" w:cstheme="minorEastAsia"/>
          <w:color w:val="auto"/>
          <w:szCs w:val="30"/>
          <w:highlight w:val="none"/>
        </w:rPr>
        <w:fldChar w:fldCharType="separate"/>
      </w:r>
      <w:r>
        <w:rPr>
          <w:color w:val="auto"/>
          <w:highlight w:val="none"/>
        </w:rPr>
        <w:fldChar w:fldCharType="begin"/>
      </w:r>
      <w:r>
        <w:rPr>
          <w:color w:val="auto"/>
          <w:highlight w:val="none"/>
        </w:rPr>
        <w:instrText xml:space="preserve"> HYPERLINK \l "_Toc9180"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第一章 磋商邀请</w:t>
      </w:r>
      <w:r>
        <w:rPr>
          <w:color w:val="auto"/>
          <w:highlight w:val="none"/>
        </w:rPr>
        <w:tab/>
      </w:r>
      <w:r>
        <w:rPr>
          <w:color w:val="auto"/>
          <w:highlight w:val="none"/>
        </w:rPr>
        <w:fldChar w:fldCharType="begin"/>
      </w:r>
      <w:r>
        <w:rPr>
          <w:color w:val="auto"/>
          <w:highlight w:val="none"/>
        </w:rPr>
        <w:instrText xml:space="preserve"> PAGEREF _Toc9180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7"/>
        <w:tabs>
          <w:tab w:val="right" w:leader="dot" w:pos="8845"/>
          <w:tab w:val="clear" w:pos="9628"/>
        </w:tabs>
        <w:spacing w:line="600" w:lineRule="auto"/>
        <w:rPr>
          <w:color w:val="auto"/>
          <w:highlight w:val="none"/>
        </w:rPr>
      </w:pPr>
      <w:r>
        <w:rPr>
          <w:color w:val="auto"/>
          <w:highlight w:val="none"/>
        </w:rPr>
        <w:fldChar w:fldCharType="begin"/>
      </w:r>
      <w:r>
        <w:rPr>
          <w:color w:val="auto"/>
          <w:highlight w:val="none"/>
        </w:rPr>
        <w:instrText xml:space="preserve"> HYPERLINK \l "_Toc31183"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第二章 磋商须知</w:t>
      </w:r>
      <w:r>
        <w:rPr>
          <w:color w:val="auto"/>
          <w:highlight w:val="none"/>
        </w:rPr>
        <w:tab/>
      </w:r>
      <w:r>
        <w:rPr>
          <w:color w:val="auto"/>
          <w:highlight w:val="none"/>
        </w:rPr>
        <w:fldChar w:fldCharType="begin"/>
      </w:r>
      <w:r>
        <w:rPr>
          <w:color w:val="auto"/>
          <w:highlight w:val="none"/>
        </w:rPr>
        <w:instrText xml:space="preserve"> PAGEREF _Toc31183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7"/>
        <w:tabs>
          <w:tab w:val="right" w:leader="dot" w:pos="8845"/>
          <w:tab w:val="clear" w:pos="9628"/>
        </w:tabs>
        <w:spacing w:line="600" w:lineRule="auto"/>
        <w:rPr>
          <w:color w:val="auto"/>
          <w:highlight w:val="none"/>
        </w:rPr>
      </w:pPr>
      <w:r>
        <w:rPr>
          <w:color w:val="auto"/>
          <w:highlight w:val="none"/>
        </w:rPr>
        <w:fldChar w:fldCharType="begin"/>
      </w:r>
      <w:r>
        <w:rPr>
          <w:color w:val="auto"/>
          <w:highlight w:val="none"/>
        </w:rPr>
        <w:instrText xml:space="preserve"> HYPERLINK \l "_Toc22872"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第三章 评审方法及标准</w:t>
      </w:r>
      <w:r>
        <w:rPr>
          <w:color w:val="auto"/>
          <w:highlight w:val="none"/>
        </w:rPr>
        <w:tab/>
      </w:r>
      <w:r>
        <w:rPr>
          <w:color w:val="auto"/>
          <w:highlight w:val="none"/>
        </w:rPr>
        <w:fldChar w:fldCharType="begin"/>
      </w:r>
      <w:r>
        <w:rPr>
          <w:color w:val="auto"/>
          <w:highlight w:val="none"/>
        </w:rPr>
        <w:instrText xml:space="preserve"> PAGEREF _Toc22872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7"/>
        <w:tabs>
          <w:tab w:val="right" w:leader="dot" w:pos="8845"/>
          <w:tab w:val="clear" w:pos="9628"/>
        </w:tabs>
        <w:spacing w:line="600" w:lineRule="auto"/>
        <w:rPr>
          <w:color w:val="auto"/>
          <w:highlight w:val="none"/>
        </w:rPr>
      </w:pPr>
      <w:r>
        <w:rPr>
          <w:color w:val="auto"/>
          <w:highlight w:val="none"/>
        </w:rPr>
        <w:fldChar w:fldCharType="begin"/>
      </w:r>
      <w:r>
        <w:rPr>
          <w:color w:val="auto"/>
          <w:highlight w:val="none"/>
        </w:rPr>
        <w:instrText xml:space="preserve"> HYPERLINK \l "_Toc26773"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第四章 合同草案条款</w:t>
      </w:r>
      <w:r>
        <w:rPr>
          <w:color w:val="auto"/>
          <w:highlight w:val="none"/>
        </w:rPr>
        <w:tab/>
      </w:r>
      <w:r>
        <w:rPr>
          <w:color w:val="auto"/>
          <w:highlight w:val="none"/>
        </w:rPr>
        <w:fldChar w:fldCharType="begin"/>
      </w:r>
      <w:r>
        <w:rPr>
          <w:color w:val="auto"/>
          <w:highlight w:val="none"/>
        </w:rPr>
        <w:instrText xml:space="preserve"> PAGEREF _Toc26773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7"/>
        <w:tabs>
          <w:tab w:val="right" w:leader="dot" w:pos="8845"/>
          <w:tab w:val="clear" w:pos="9628"/>
        </w:tabs>
        <w:spacing w:line="600" w:lineRule="auto"/>
        <w:rPr>
          <w:color w:val="auto"/>
          <w:highlight w:val="none"/>
        </w:rPr>
      </w:pPr>
      <w:r>
        <w:rPr>
          <w:color w:val="auto"/>
          <w:highlight w:val="none"/>
        </w:rPr>
        <w:fldChar w:fldCharType="begin"/>
      </w:r>
      <w:r>
        <w:rPr>
          <w:color w:val="auto"/>
          <w:highlight w:val="none"/>
        </w:rPr>
        <w:instrText xml:space="preserve"> HYPERLINK \l "_Toc3075"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第五章 响应文件组成</w:t>
      </w:r>
      <w:r>
        <w:rPr>
          <w:color w:val="auto"/>
          <w:highlight w:val="none"/>
        </w:rPr>
        <w:tab/>
      </w:r>
      <w:r>
        <w:rPr>
          <w:color w:val="auto"/>
          <w:highlight w:val="none"/>
        </w:rPr>
        <w:fldChar w:fldCharType="begin"/>
      </w:r>
      <w:r>
        <w:rPr>
          <w:color w:val="auto"/>
          <w:highlight w:val="none"/>
        </w:rPr>
        <w:instrText xml:space="preserve"> PAGEREF _Toc3075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tabs>
          <w:tab w:val="right" w:leader="dot" w:pos="9639"/>
        </w:tabs>
        <w:spacing w:line="600" w:lineRule="auto"/>
        <w:jc w:val="center"/>
        <w:rPr>
          <w:rFonts w:asciiTheme="minorEastAsia" w:hAnsiTheme="minorEastAsia" w:eastAsiaTheme="minorEastAsia" w:cstheme="minorEastAsia"/>
          <w:b/>
          <w:color w:val="auto"/>
          <w:sz w:val="36"/>
          <w:szCs w:val="32"/>
          <w:highlight w:val="none"/>
          <w:u w:val="single"/>
        </w:rPr>
      </w:pPr>
      <w:r>
        <w:rPr>
          <w:rFonts w:hint="eastAsia" w:asciiTheme="minorEastAsia" w:hAnsiTheme="minorEastAsia" w:eastAsiaTheme="minorEastAsia" w:cstheme="minorEastAsia"/>
          <w:b/>
          <w:color w:val="auto"/>
          <w:sz w:val="32"/>
          <w:szCs w:val="30"/>
          <w:highlight w:val="none"/>
        </w:rPr>
        <w:t>第二部分　技术部分</w:t>
      </w:r>
    </w:p>
    <w:p>
      <w:pPr>
        <w:pStyle w:val="27"/>
        <w:tabs>
          <w:tab w:val="right" w:leader="dot" w:pos="8845"/>
          <w:tab w:val="clear" w:pos="9628"/>
        </w:tabs>
        <w:spacing w:line="600" w:lineRule="auto"/>
        <w:rPr>
          <w:color w:val="auto"/>
          <w:highlight w:val="none"/>
        </w:rPr>
      </w:pPr>
      <w:r>
        <w:rPr>
          <w:color w:val="auto"/>
          <w:highlight w:val="none"/>
        </w:rPr>
        <w:fldChar w:fldCharType="begin"/>
      </w:r>
      <w:r>
        <w:rPr>
          <w:color w:val="auto"/>
          <w:highlight w:val="none"/>
        </w:rPr>
        <w:instrText xml:space="preserve"> HYPERLINK \l "_Toc17978"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第六章 项目采购需求</w:t>
      </w:r>
      <w:r>
        <w:rPr>
          <w:color w:val="auto"/>
          <w:highlight w:val="none"/>
        </w:rPr>
        <w:tab/>
      </w:r>
      <w:r>
        <w:rPr>
          <w:color w:val="auto"/>
          <w:highlight w:val="none"/>
        </w:rPr>
        <w:fldChar w:fldCharType="begin"/>
      </w:r>
      <w:r>
        <w:rPr>
          <w:color w:val="auto"/>
          <w:highlight w:val="none"/>
        </w:rPr>
        <w:instrText xml:space="preserve"> PAGEREF _Toc17978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9"/>
        <w:tabs>
          <w:tab w:val="right" w:leader="dot" w:pos="8845"/>
        </w:tabs>
        <w:spacing w:line="600" w:lineRule="auto"/>
        <w:ind w:left="840"/>
        <w:rPr>
          <w:color w:val="auto"/>
          <w:highlight w:val="none"/>
        </w:rPr>
      </w:pPr>
    </w:p>
    <w:p>
      <w:pPr>
        <w:pStyle w:val="27"/>
        <w:tabs>
          <w:tab w:val="right" w:leader="dot" w:pos="9639"/>
          <w:tab w:val="clear" w:pos="9628"/>
        </w:tabs>
        <w:spacing w:line="600" w:lineRule="auto"/>
        <w:rPr>
          <w:rStyle w:val="52"/>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30"/>
          <w:highlight w:val="none"/>
        </w:rPr>
        <w:fldChar w:fldCharType="end"/>
      </w:r>
    </w:p>
    <w:p>
      <w:pPr>
        <w:pStyle w:val="20"/>
        <w:spacing w:line="700" w:lineRule="exact"/>
        <w:rPr>
          <w:rFonts w:asciiTheme="minorEastAsia" w:hAnsiTheme="minorEastAsia" w:eastAsiaTheme="minorEastAsia" w:cstheme="minorEastAsia"/>
          <w:color w:val="auto"/>
          <w:highlight w:val="none"/>
        </w:rPr>
      </w:pPr>
    </w:p>
    <w:p>
      <w:pPr>
        <w:pStyle w:val="20"/>
        <w:spacing w:line="700" w:lineRule="exact"/>
        <w:rPr>
          <w:rFonts w:asciiTheme="minorEastAsia" w:hAnsiTheme="minorEastAsia" w:eastAsiaTheme="minorEastAsia" w:cstheme="minorEastAsia"/>
          <w:color w:val="auto"/>
          <w:highlight w:val="none"/>
        </w:rPr>
      </w:pPr>
    </w:p>
    <w:p>
      <w:pPr>
        <w:pStyle w:val="20"/>
        <w:spacing w:line="700" w:lineRule="exact"/>
        <w:rPr>
          <w:rFonts w:asciiTheme="minorEastAsia" w:hAnsiTheme="minorEastAsia" w:eastAsiaTheme="minorEastAsia" w:cstheme="minorEastAsia"/>
          <w:color w:val="auto"/>
          <w:highlight w:val="none"/>
        </w:rPr>
      </w:pPr>
    </w:p>
    <w:p>
      <w:pPr>
        <w:spacing w:line="16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 w:val="36"/>
          <w:highlight w:val="none"/>
        </w:rPr>
        <w:br w:type="page"/>
      </w:r>
    </w:p>
    <w:p>
      <w:pPr>
        <w:pStyle w:val="20"/>
        <w:jc w:val="center"/>
        <w:outlineLvl w:val="0"/>
        <w:rPr>
          <w:b/>
          <w:bCs/>
          <w:color w:val="auto"/>
          <w:sz w:val="28"/>
          <w:szCs w:val="28"/>
          <w:highlight w:val="none"/>
        </w:rPr>
      </w:pPr>
      <w:bookmarkStart w:id="0" w:name="_Toc13010"/>
      <w:bookmarkStart w:id="1" w:name="_Toc9180"/>
      <w:r>
        <w:rPr>
          <w:rFonts w:hint="eastAsia"/>
          <w:b/>
          <w:bCs/>
          <w:color w:val="auto"/>
          <w:sz w:val="28"/>
          <w:szCs w:val="28"/>
          <w:highlight w:val="none"/>
        </w:rPr>
        <w:t>第一部分　商务部分</w:t>
      </w:r>
      <w:bookmarkEnd w:id="0"/>
    </w:p>
    <w:p>
      <w:pPr>
        <w:spacing w:line="400" w:lineRule="exact"/>
        <w:jc w:val="center"/>
        <w:outlineLvl w:val="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第一章 磋商邀请</w:t>
      </w:r>
      <w:bookmarkEnd w:id="1"/>
    </w:p>
    <w:p>
      <w:pPr>
        <w:spacing w:line="400" w:lineRule="exact"/>
        <w:jc w:val="center"/>
        <w:outlineLvl w:val="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国家税务总局广西壮族自治区税务局</w:t>
      </w:r>
    </w:p>
    <w:p>
      <w:pPr>
        <w:spacing w:line="400" w:lineRule="exact"/>
        <w:jc w:val="center"/>
        <w:outlineLvl w:val="0"/>
        <w:rPr>
          <w:rFonts w:asciiTheme="minorEastAsia" w:hAnsiTheme="minorEastAsia" w:eastAsiaTheme="minorEastAsia" w:cstheme="minorEastAsia"/>
          <w:b/>
          <w:color w:val="auto"/>
          <w:sz w:val="28"/>
          <w:szCs w:val="28"/>
          <w:highlight w:val="none"/>
        </w:rPr>
      </w:pPr>
      <w:bookmarkStart w:id="2" w:name="_Toc46761412"/>
      <w:bookmarkStart w:id="3" w:name="_Toc2589"/>
      <w:r>
        <w:rPr>
          <w:rFonts w:hint="eastAsia" w:asciiTheme="minorEastAsia" w:hAnsiTheme="minorEastAsia" w:eastAsiaTheme="minorEastAsia" w:cstheme="minorEastAsia"/>
          <w:b/>
          <w:color w:val="auto"/>
          <w:sz w:val="28"/>
          <w:szCs w:val="28"/>
          <w:highlight w:val="none"/>
        </w:rPr>
        <w:t>购买预算管理一体化配套软件（ZB2022-584）磋商公告</w:t>
      </w:r>
      <w:bookmarkEnd w:id="2"/>
      <w:bookmarkEnd w:id="3"/>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国家税务总局广西壮族自治区税务局购买预算管理一体化配套软件</w:t>
      </w:r>
      <w:r>
        <w:rPr>
          <w:rFonts w:hint="eastAsia" w:asciiTheme="minorEastAsia" w:hAnsiTheme="minorEastAsia" w:eastAsiaTheme="minorEastAsia" w:cstheme="minorEastAsia"/>
          <w:color w:val="auto"/>
          <w:sz w:val="21"/>
          <w:szCs w:val="21"/>
          <w:highlight w:val="none"/>
        </w:rPr>
        <w:t>的潜在供应商应在广西众联工程项目管理有限公司（南宁市江南区白沙大道53号松宇时代14A层）获取磋商文件，并于</w:t>
      </w:r>
      <w:r>
        <w:rPr>
          <w:rFonts w:hint="eastAsia" w:asciiTheme="minorEastAsia" w:hAnsiTheme="minorEastAsia" w:eastAsiaTheme="minorEastAsia" w:cstheme="minorEastAsia"/>
          <w:bCs/>
          <w:color w:val="auto"/>
          <w:sz w:val="21"/>
          <w:szCs w:val="21"/>
          <w:highlight w:val="none"/>
          <w:u w:val="single"/>
        </w:rPr>
        <w:t>2023年</w:t>
      </w:r>
      <w:r>
        <w:rPr>
          <w:rFonts w:hint="eastAsia" w:asciiTheme="minorEastAsia" w:hAnsiTheme="minorEastAsia" w:eastAsiaTheme="minorEastAsia" w:cstheme="minorEastAsia"/>
          <w:bCs/>
          <w:color w:val="auto"/>
          <w:sz w:val="21"/>
          <w:szCs w:val="21"/>
          <w:highlight w:val="none"/>
          <w:u w:val="single"/>
          <w:lang w:val="en-US" w:eastAsia="zh-CN"/>
        </w:rPr>
        <w:t>5</w:t>
      </w:r>
      <w:r>
        <w:rPr>
          <w:rFonts w:hint="eastAsia" w:asciiTheme="minorEastAsia" w:hAnsiTheme="minorEastAsia" w:eastAsiaTheme="minorEastAsia" w:cstheme="minorEastAsia"/>
          <w:bCs/>
          <w:color w:val="auto"/>
          <w:sz w:val="21"/>
          <w:szCs w:val="21"/>
          <w:highlight w:val="none"/>
          <w:u w:val="single"/>
        </w:rPr>
        <w:t>月</w:t>
      </w:r>
      <w:r>
        <w:rPr>
          <w:rFonts w:hint="eastAsia" w:asciiTheme="minorEastAsia" w:hAnsiTheme="minorEastAsia" w:eastAsiaTheme="minorEastAsia" w:cstheme="minorEastAsia"/>
          <w:bCs/>
          <w:color w:val="auto"/>
          <w:sz w:val="21"/>
          <w:szCs w:val="21"/>
          <w:highlight w:val="none"/>
          <w:u w:val="single"/>
          <w:lang w:val="en-US" w:eastAsia="zh-CN"/>
        </w:rPr>
        <w:t>9</w:t>
      </w:r>
      <w:r>
        <w:rPr>
          <w:rFonts w:hint="eastAsia" w:asciiTheme="minorEastAsia" w:hAnsiTheme="minorEastAsia" w:eastAsiaTheme="minorEastAsia" w:cstheme="minorEastAsia"/>
          <w:bCs/>
          <w:color w:val="auto"/>
          <w:sz w:val="21"/>
          <w:szCs w:val="21"/>
          <w:highlight w:val="none"/>
          <w:u w:val="single"/>
        </w:rPr>
        <w:t>日9时30分</w:t>
      </w:r>
      <w:r>
        <w:rPr>
          <w:rFonts w:hint="eastAsia" w:asciiTheme="minorEastAsia" w:hAnsiTheme="minorEastAsia" w:eastAsiaTheme="minorEastAsia" w:cstheme="minorEastAsia"/>
          <w:bCs/>
          <w:color w:val="auto"/>
          <w:sz w:val="21"/>
          <w:szCs w:val="21"/>
          <w:highlight w:val="none"/>
        </w:rPr>
        <w:t>（北京时间）前提交响应文件</w:t>
      </w:r>
      <w:r>
        <w:rPr>
          <w:rFonts w:hint="eastAsia" w:asciiTheme="minorEastAsia" w:hAnsiTheme="minorEastAsia" w:eastAsiaTheme="minorEastAsia" w:cstheme="minorEastAsia"/>
          <w:color w:val="auto"/>
          <w:sz w:val="21"/>
          <w:szCs w:val="21"/>
          <w:highlight w:val="none"/>
        </w:rPr>
        <w:t>。</w:t>
      </w:r>
    </w:p>
    <w:p>
      <w:pPr>
        <w:keepNext/>
        <w:keepLines/>
        <w:pageBreakBefore w:val="0"/>
        <w:widowControl w:val="0"/>
        <w:kinsoku/>
        <w:wordWrap/>
        <w:overflowPunct/>
        <w:topLinePunct w:val="0"/>
        <w:autoSpaceDE/>
        <w:autoSpaceDN/>
        <w:bidi w:val="0"/>
        <w:adjustRightInd/>
        <w:spacing w:line="420" w:lineRule="exact"/>
        <w:textAlignment w:val="auto"/>
        <w:outlineLvl w:val="1"/>
        <w:rPr>
          <w:rFonts w:hint="eastAsia" w:asciiTheme="minorEastAsia" w:hAnsiTheme="minorEastAsia" w:eastAsiaTheme="minorEastAsia" w:cstheme="minorEastAsia"/>
          <w:bCs/>
          <w:color w:val="auto"/>
          <w:sz w:val="21"/>
          <w:szCs w:val="21"/>
          <w:highlight w:val="none"/>
        </w:rPr>
      </w:pPr>
      <w:bookmarkStart w:id="4" w:name="_Toc24411"/>
      <w:bookmarkStart w:id="5" w:name="_Toc28359089"/>
      <w:bookmarkStart w:id="6" w:name="_Toc28359012"/>
      <w:bookmarkStart w:id="7" w:name="_Toc35393798"/>
      <w:bookmarkStart w:id="8" w:name="_Toc46761413"/>
      <w:bookmarkStart w:id="9" w:name="_Toc35393629"/>
      <w:r>
        <w:rPr>
          <w:rFonts w:hint="eastAsia" w:asciiTheme="minorEastAsia" w:hAnsiTheme="minorEastAsia" w:eastAsiaTheme="minorEastAsia" w:cstheme="minorEastAsia"/>
          <w:bCs/>
          <w:color w:val="auto"/>
          <w:sz w:val="21"/>
          <w:szCs w:val="21"/>
          <w:highlight w:val="none"/>
        </w:rPr>
        <w:t>一、项目基本情况</w:t>
      </w:r>
      <w:bookmarkEnd w:id="4"/>
      <w:bookmarkEnd w:id="5"/>
      <w:bookmarkEnd w:id="6"/>
      <w:bookmarkEnd w:id="7"/>
      <w:bookmarkEnd w:id="8"/>
      <w:bookmarkEnd w:id="9"/>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项目编号：ZB2022-584</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项目名称：国家税务总局广西壮族自治区税务局购买预算管理一体化配套软件</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采购方式：磋商</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预算金额：人民币（大写）叁拾柒万伍仟元整（¥375,000.00元）</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最高限价：人民币（大写）叁拾柒万伍仟元整（¥375,000.00元）</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采购需求：国家税务总局广西壮族自治区税务局购买预算管理一体化配套软件1套。如需进一步了解详细内容，详见本项目磋商文件。</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合同履行期限：合同签订后一个月内完成安装交付，自配套软件验收合格之日起质保期1年，质保期内免费保修。</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本项目不接受联合体磋商。</w:t>
      </w:r>
      <w:bookmarkStart w:id="10" w:name="_Toc28359090"/>
      <w:bookmarkStart w:id="11" w:name="_Toc35393799"/>
      <w:bookmarkStart w:id="12" w:name="_Toc28359013"/>
      <w:bookmarkStart w:id="13" w:name="_Toc35393630"/>
    </w:p>
    <w:p>
      <w:pPr>
        <w:pageBreakBefore w:val="0"/>
        <w:widowControl w:val="0"/>
        <w:kinsoku/>
        <w:wordWrap/>
        <w:overflowPunct/>
        <w:topLinePunct w:val="0"/>
        <w:autoSpaceDE/>
        <w:autoSpaceDN/>
        <w:bidi w:val="0"/>
        <w:adjustRightInd/>
        <w:spacing w:line="420" w:lineRule="exac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二、供应商的资格要求：</w:t>
      </w:r>
      <w:bookmarkEnd w:id="10"/>
      <w:bookmarkEnd w:id="11"/>
      <w:bookmarkEnd w:id="12"/>
      <w:bookmarkEnd w:id="13"/>
      <w:bookmarkStart w:id="14" w:name="_Toc35393631"/>
      <w:bookmarkStart w:id="15" w:name="_Toc28359014"/>
      <w:bookmarkStart w:id="16" w:name="_Toc35393800"/>
      <w:bookmarkStart w:id="17" w:name="_Toc28359091"/>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1、供应商参加本采购活动应当具备下列条件：</w:t>
      </w:r>
    </w:p>
    <w:p>
      <w:pPr>
        <w:pageBreakBefore w:val="0"/>
        <w:widowControl w:val="0"/>
        <w:kinsoku/>
        <w:wordWrap/>
        <w:overflowPunct/>
        <w:topLinePunct w:val="0"/>
        <w:autoSpaceDE/>
        <w:autoSpaceDN/>
        <w:bidi w:val="0"/>
        <w:adjustRightInd/>
        <w:spacing w:line="420" w:lineRule="exact"/>
        <w:ind w:firstLine="210" w:firstLineChars="1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（1）具有独立承担民事责任的能力；</w:t>
      </w:r>
    </w:p>
    <w:p>
      <w:pPr>
        <w:pageBreakBefore w:val="0"/>
        <w:widowControl w:val="0"/>
        <w:kinsoku/>
        <w:wordWrap/>
        <w:overflowPunct/>
        <w:topLinePunct w:val="0"/>
        <w:autoSpaceDE/>
        <w:autoSpaceDN/>
        <w:bidi w:val="0"/>
        <w:adjustRightInd/>
        <w:spacing w:line="420" w:lineRule="exact"/>
        <w:ind w:firstLine="210" w:firstLineChars="1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（2）具有良好的商业信誉和健全的财务会计制度；</w:t>
      </w:r>
    </w:p>
    <w:p>
      <w:pPr>
        <w:pageBreakBefore w:val="0"/>
        <w:widowControl w:val="0"/>
        <w:kinsoku/>
        <w:wordWrap/>
        <w:overflowPunct/>
        <w:topLinePunct w:val="0"/>
        <w:autoSpaceDE/>
        <w:autoSpaceDN/>
        <w:bidi w:val="0"/>
        <w:adjustRightInd/>
        <w:spacing w:line="420" w:lineRule="exact"/>
        <w:ind w:firstLine="210" w:firstLineChars="1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（3）具有履行合同所必需的设备和专业技术能力；</w:t>
      </w:r>
    </w:p>
    <w:p>
      <w:pPr>
        <w:pageBreakBefore w:val="0"/>
        <w:widowControl w:val="0"/>
        <w:kinsoku/>
        <w:wordWrap/>
        <w:overflowPunct/>
        <w:topLinePunct w:val="0"/>
        <w:autoSpaceDE/>
        <w:autoSpaceDN/>
        <w:bidi w:val="0"/>
        <w:adjustRightInd/>
        <w:spacing w:line="420" w:lineRule="exact"/>
        <w:ind w:firstLine="210" w:firstLineChars="1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（4）有依法缴纳税收和社会保障资金的良好记录；</w:t>
      </w:r>
    </w:p>
    <w:p>
      <w:pPr>
        <w:pageBreakBefore w:val="0"/>
        <w:widowControl w:val="0"/>
        <w:kinsoku/>
        <w:wordWrap/>
        <w:overflowPunct/>
        <w:topLinePunct w:val="0"/>
        <w:autoSpaceDE/>
        <w:autoSpaceDN/>
        <w:bidi w:val="0"/>
        <w:adjustRightInd/>
        <w:spacing w:line="420" w:lineRule="exact"/>
        <w:ind w:firstLine="210" w:firstLineChars="1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（5）参加采购活动前三年内，在经营活动中没有重大违法记录；</w:t>
      </w:r>
    </w:p>
    <w:p>
      <w:pPr>
        <w:pageBreakBefore w:val="0"/>
        <w:widowControl w:val="0"/>
        <w:kinsoku/>
        <w:wordWrap/>
        <w:overflowPunct/>
        <w:topLinePunct w:val="0"/>
        <w:autoSpaceDE/>
        <w:autoSpaceDN/>
        <w:bidi w:val="0"/>
        <w:adjustRightInd/>
        <w:spacing w:line="420" w:lineRule="exact"/>
        <w:ind w:firstLine="210" w:firstLineChars="1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（6）法律、行政法规规定的其他条件。</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sz w:val="21"/>
          <w:szCs w:val="21"/>
          <w:highlight w:val="none"/>
        </w:rPr>
        <w:t>落实政府采购政策需满足的资格要求：</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□专门面向中小企业采购的项目（供应商应为中小微企业、监狱企业、残疾人福利性单位)</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☑非专门面向中小企业采购的项目</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本项目采购标的对应的中小企业划分标准所属行业为软件和信息技术服务业。</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b/>
          <w:i/>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其他要求：无。</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3、本项目的特定资格要求：无。</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4、本项目由符合国家有关法律法规规定、同时满足本项目资质要求、在中国境内的供应商参加磋商。</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、对</w:t>
      </w:r>
      <w:r>
        <w:rPr>
          <w:rFonts w:hint="eastAsia" w:asciiTheme="minorEastAsia" w:hAnsiTheme="minorEastAsia" w:eastAsiaTheme="minorEastAsia" w:cstheme="minorEastAsia"/>
          <w:color w:val="auto"/>
          <w:sz w:val="21"/>
          <w:szCs w:val="21"/>
          <w:highlight w:val="none"/>
        </w:rPr>
        <w:t>在“信用中国”网站&lt;www.creditchina.gov.cn&gt;、中国政府采购网&lt;www.ccgp.gov.cn&gt;等渠道被列入失信被执行人、重大税收违法失信主体、政府采购严重违法失信行为记录名单</w:t>
      </w:r>
      <w:r>
        <w:rPr>
          <w:rFonts w:hint="eastAsia" w:asciiTheme="minorEastAsia" w:hAnsiTheme="minorEastAsia" w:eastAsiaTheme="minorEastAsia" w:cstheme="minorEastAsia"/>
          <w:color w:val="auto"/>
          <w:sz w:val="21"/>
          <w:szCs w:val="21"/>
          <w:highlight w:val="none"/>
          <w:lang w:eastAsia="zh-CN"/>
        </w:rPr>
        <w:t>及其他不符合《中华人民共和国政府采购法》第二十二条规定条件的</w:t>
      </w: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，不得</w:t>
      </w:r>
      <w:r>
        <w:rPr>
          <w:rFonts w:hint="eastAsia" w:asciiTheme="minorEastAsia" w:hAnsiTheme="minorEastAsia" w:eastAsiaTheme="minorEastAsia" w:cstheme="minorEastAsia"/>
          <w:color w:val="auto"/>
          <w:sz w:val="21"/>
          <w:szCs w:val="21"/>
          <w:highlight w:val="none"/>
        </w:rPr>
        <w:t>参与</w:t>
      </w:r>
      <w:r>
        <w:rPr>
          <w:rFonts w:hint="eastAsia" w:asciiTheme="minorEastAsia" w:hAnsiTheme="minorEastAsia" w:eastAsiaTheme="minorEastAsia" w:cstheme="minorEastAsia"/>
          <w:color w:val="auto"/>
          <w:sz w:val="21"/>
          <w:szCs w:val="21"/>
          <w:highlight w:val="none"/>
          <w:lang w:eastAsia="zh-CN"/>
        </w:rPr>
        <w:t>本次</w:t>
      </w:r>
      <w:r>
        <w:rPr>
          <w:rFonts w:hint="eastAsia" w:asciiTheme="minorEastAsia" w:hAnsiTheme="minorEastAsia" w:eastAsiaTheme="minorEastAsia" w:cstheme="minorEastAsia"/>
          <w:color w:val="auto"/>
          <w:sz w:val="21"/>
          <w:szCs w:val="21"/>
          <w:highlight w:val="none"/>
        </w:rPr>
        <w:t>采购活动。</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6、单位负责人为同一人或者存在直接控股、管理关系的不同供应商，不得参加同一合同项下的采购活动。</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7、为本项目提供整体设计、规范编制或者项目管理、监理、检测等服务的供应商，不得再参加本次采购活动。</w:t>
      </w:r>
    </w:p>
    <w:p>
      <w:pPr>
        <w:pageBreakBefore w:val="0"/>
        <w:widowControl w:val="0"/>
        <w:kinsoku/>
        <w:wordWrap/>
        <w:overflowPunct/>
        <w:topLinePunct w:val="0"/>
        <w:autoSpaceDE/>
        <w:autoSpaceDN/>
        <w:bidi w:val="0"/>
        <w:adjustRightInd/>
        <w:spacing w:line="4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三、获取磋商文件</w:t>
      </w:r>
      <w:bookmarkEnd w:id="14"/>
      <w:bookmarkEnd w:id="15"/>
      <w:bookmarkEnd w:id="16"/>
      <w:bookmarkEnd w:id="17"/>
    </w:p>
    <w:p>
      <w:pPr>
        <w:pageBreakBefore w:val="0"/>
        <w:widowControl w:val="0"/>
        <w:kinsoku/>
        <w:wordWrap/>
        <w:overflowPunct/>
        <w:topLinePunct w:val="0"/>
        <w:autoSpaceDE/>
        <w:autoSpaceDN/>
        <w:bidi w:val="0"/>
        <w:adjustRightInd/>
        <w:spacing w:line="420" w:lineRule="exact"/>
        <w:ind w:firstLine="424" w:firstLineChars="202"/>
        <w:textAlignment w:val="auto"/>
        <w:rPr>
          <w:rFonts w:hint="eastAsia" w:asciiTheme="minorEastAsia" w:hAnsiTheme="minorEastAsia" w:eastAsiaTheme="minorEastAsia" w:cstheme="minorEastAsia"/>
          <w:color w:val="auto"/>
          <w:sz w:val="21"/>
          <w:szCs w:val="21"/>
          <w:highlight w:val="none"/>
        </w:rPr>
      </w:pPr>
      <w:bookmarkStart w:id="18" w:name="_Toc28359015"/>
      <w:bookmarkStart w:id="19" w:name="_Toc35393632"/>
      <w:bookmarkStart w:id="20" w:name="_Toc28359092"/>
      <w:bookmarkStart w:id="21" w:name="_Toc35393801"/>
      <w:r>
        <w:rPr>
          <w:rFonts w:hint="eastAsia" w:asciiTheme="minorEastAsia" w:hAnsiTheme="minorEastAsia" w:eastAsiaTheme="minorEastAsia" w:cstheme="minorEastAsia"/>
          <w:color w:val="auto"/>
          <w:sz w:val="21"/>
          <w:szCs w:val="21"/>
          <w:highlight w:val="none"/>
        </w:rPr>
        <w:t>1、时间：</w:t>
      </w:r>
      <w:r>
        <w:rPr>
          <w:rFonts w:hint="eastAsia" w:asciiTheme="minorEastAsia" w:hAnsiTheme="minorEastAsia" w:eastAsiaTheme="minorEastAsia" w:cstheme="minorEastAsia"/>
          <w:bCs/>
          <w:color w:val="auto"/>
          <w:sz w:val="21"/>
          <w:szCs w:val="21"/>
          <w:highlight w:val="none"/>
        </w:rPr>
        <w:t>2023年</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27</w:t>
      </w:r>
      <w:r>
        <w:rPr>
          <w:rFonts w:hint="eastAsia" w:asciiTheme="minorEastAsia" w:hAnsiTheme="minorEastAsia" w:eastAsiaTheme="minorEastAsia" w:cstheme="minorEastAsia"/>
          <w:bCs/>
          <w:color w:val="auto"/>
          <w:sz w:val="21"/>
          <w:szCs w:val="21"/>
          <w:highlight w:val="none"/>
        </w:rPr>
        <w:t>日</w:t>
      </w:r>
      <w:r>
        <w:rPr>
          <w:rFonts w:hint="eastAsia" w:asciiTheme="minorEastAsia" w:hAnsiTheme="minorEastAsia" w:eastAsiaTheme="minorEastAsia" w:cstheme="minorEastAsia"/>
          <w:color w:val="auto"/>
          <w:sz w:val="21"/>
          <w:szCs w:val="21"/>
          <w:highlight w:val="none"/>
        </w:rPr>
        <w:t>公告发布之时起至</w:t>
      </w:r>
      <w:r>
        <w:rPr>
          <w:rFonts w:hint="eastAsia" w:asciiTheme="minorEastAsia" w:hAnsiTheme="minorEastAsia" w:eastAsiaTheme="minorEastAsia" w:cstheme="minorEastAsia"/>
          <w:bCs/>
          <w:color w:val="auto"/>
          <w:sz w:val="21"/>
          <w:szCs w:val="21"/>
          <w:highlight w:val="none"/>
        </w:rPr>
        <w:t>2023年</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8</w:t>
      </w:r>
      <w:r>
        <w:rPr>
          <w:rFonts w:hint="eastAsia" w:asciiTheme="minorEastAsia" w:hAnsiTheme="minorEastAsia" w:eastAsiaTheme="minorEastAsia" w:cstheme="minorEastAsia"/>
          <w:bCs/>
          <w:color w:val="auto"/>
          <w:sz w:val="21"/>
          <w:szCs w:val="21"/>
          <w:highlight w:val="none"/>
        </w:rPr>
        <w:t>日</w:t>
      </w:r>
      <w:r>
        <w:rPr>
          <w:rFonts w:hint="eastAsia" w:asciiTheme="minorEastAsia" w:hAnsiTheme="minorEastAsia" w:eastAsiaTheme="minorEastAsia" w:cstheme="minorEastAsia"/>
          <w:color w:val="auto"/>
          <w:sz w:val="21"/>
          <w:szCs w:val="21"/>
          <w:highlight w:val="none"/>
        </w:rPr>
        <w:t>止，工作日上午8时30分至12时00分，下午14时30分至1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0分（北京时间，法定节假日除外）。</w:t>
      </w:r>
    </w:p>
    <w:p>
      <w:pPr>
        <w:pageBreakBefore w:val="0"/>
        <w:widowControl w:val="0"/>
        <w:kinsoku/>
        <w:wordWrap/>
        <w:overflowPunct/>
        <w:topLinePunct w:val="0"/>
        <w:autoSpaceDE/>
        <w:autoSpaceDN/>
        <w:bidi w:val="0"/>
        <w:adjustRightInd/>
        <w:spacing w:line="420" w:lineRule="exact"/>
        <w:ind w:firstLine="424" w:firstLineChars="202"/>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2、地点：广西众联工程项目管理有限公司财务部（南宁市江南区白沙大道53号松宇时代14A层）。</w:t>
      </w:r>
    </w:p>
    <w:p>
      <w:pPr>
        <w:pageBreakBefore w:val="0"/>
        <w:widowControl w:val="0"/>
        <w:kinsoku/>
        <w:wordWrap/>
        <w:overflowPunct/>
        <w:topLinePunct w:val="0"/>
        <w:autoSpaceDE/>
        <w:autoSpaceDN/>
        <w:bidi w:val="0"/>
        <w:adjustRightInd/>
        <w:spacing w:line="420" w:lineRule="exact"/>
        <w:ind w:firstLine="424" w:firstLineChars="202"/>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方式：（可以采用以下方式之一获取磋商文件）：①现场购买：供应商无需携带报名资料，到广西众联工程项目管理有限公司财务部获取磋商文件，付款方式只接受现金付款或者微信付款、支付宝付款，不接受银行卡刷卡支付。②电子邮件方式：</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供应商需于磋商文件获取时间内将</w:t>
      </w:r>
      <w:r>
        <w:rPr>
          <w:rFonts w:hint="eastAsia" w:asciiTheme="minorEastAsia" w:hAnsiTheme="minorEastAsia" w:eastAsiaTheme="minorEastAsia" w:cstheme="minorEastAsia"/>
          <w:b/>
          <w:bCs/>
          <w:color w:val="auto"/>
          <w:sz w:val="21"/>
          <w:szCs w:val="21"/>
          <w:highlight w:val="none"/>
        </w:rPr>
        <w:t>文件工本费（只接受公对公转账，不接受私人账号转账，并备注项目编号）</w:t>
      </w:r>
      <w:r>
        <w:rPr>
          <w:rFonts w:hint="eastAsia" w:asciiTheme="minorEastAsia" w:hAnsiTheme="minorEastAsia" w:eastAsiaTheme="minorEastAsia" w:cstheme="minorEastAsia"/>
          <w:color w:val="auto"/>
          <w:sz w:val="21"/>
          <w:szCs w:val="21"/>
          <w:highlight w:val="none"/>
        </w:rPr>
        <w:t>转帐底单</w:t>
      </w:r>
      <w:r>
        <w:rPr>
          <w:rFonts w:hint="eastAsia" w:asciiTheme="minorEastAsia" w:hAnsiTheme="minorEastAsia" w:eastAsiaTheme="minorEastAsia" w:cstheme="minorEastAsia"/>
          <w:b/>
          <w:bCs/>
          <w:color w:val="auto"/>
          <w:sz w:val="21"/>
          <w:szCs w:val="21"/>
          <w:highlight w:val="none"/>
        </w:rPr>
        <w:t>（并附上项目名称、项目编号、收件人姓名、联系电话、收件地址、开票信息）</w:t>
      </w:r>
      <w:r>
        <w:rPr>
          <w:rFonts w:hint="eastAsia" w:asciiTheme="minorEastAsia" w:hAnsiTheme="minorEastAsia" w:eastAsiaTheme="minorEastAsia" w:cstheme="minorEastAsia"/>
          <w:color w:val="auto"/>
          <w:sz w:val="21"/>
          <w:szCs w:val="21"/>
          <w:highlight w:val="none"/>
        </w:rPr>
        <w:t>扫描发邮件至</w:t>
      </w:r>
      <w:r>
        <w:rPr>
          <w:rFonts w:hint="eastAsia" w:asciiTheme="minorEastAsia" w:hAnsiTheme="minorEastAsia" w:eastAsiaTheme="minorEastAsia" w:cstheme="minorEastAsia"/>
          <w:color w:val="auto"/>
          <w:szCs w:val="21"/>
          <w:highlight w:val="none"/>
        </w:rPr>
        <w:t>871538766</w:t>
      </w:r>
      <w:r>
        <w:rPr>
          <w:rFonts w:hint="eastAsia" w:asciiTheme="minorEastAsia" w:hAnsiTheme="minorEastAsia" w:eastAsiaTheme="minorEastAsia" w:cstheme="minorEastAsia"/>
          <w:color w:val="auto"/>
          <w:sz w:val="21"/>
          <w:szCs w:val="21"/>
          <w:highlight w:val="none"/>
        </w:rPr>
        <w:t>@qq.com邮箱，</w:t>
      </w:r>
      <w:r>
        <w:rPr>
          <w:rStyle w:val="52"/>
          <w:rFonts w:hint="eastAsia" w:asciiTheme="minorEastAsia" w:hAnsiTheme="minorEastAsia" w:eastAsiaTheme="minorEastAsia" w:cstheme="minorEastAsia"/>
          <w:color w:val="auto"/>
          <w:sz w:val="21"/>
          <w:szCs w:val="21"/>
          <w:highlight w:val="none"/>
          <w:u w:val="none"/>
        </w:rPr>
        <w:t>代理机构查收后当日向</w:t>
      </w:r>
      <w:r>
        <w:rPr>
          <w:rFonts w:hint="eastAsia" w:asciiTheme="minorEastAsia" w:hAnsiTheme="minorEastAsia" w:eastAsiaTheme="minorEastAsia" w:cstheme="minorEastAsia"/>
          <w:color w:val="auto"/>
          <w:sz w:val="21"/>
          <w:szCs w:val="21"/>
          <w:highlight w:val="none"/>
        </w:rPr>
        <w:t>供应商发送报名单及电子版磋商文件并办理纸质版磋商文件邮寄（邮费到付）事宜</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（未提供供应商联系方式，因此造成供应商无法按时获取纸质版磋商文件的，责任由供应商承担）。</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收款人户名：广西众联工程项目管理有限公司</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开户银行：中国光大银行股份有限公司南宁民主支行</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银行账号：78900188000167866</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4、售价：磋商文件工本费每本300元，售后不退。</w:t>
      </w:r>
    </w:p>
    <w:p>
      <w:pPr>
        <w:pageBreakBefore w:val="0"/>
        <w:widowControl w:val="0"/>
        <w:kinsoku/>
        <w:wordWrap/>
        <w:overflowPunct/>
        <w:topLinePunct w:val="0"/>
        <w:autoSpaceDE/>
        <w:autoSpaceDN/>
        <w:bidi w:val="0"/>
        <w:adjustRightInd/>
        <w:spacing w:line="4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四、响应文件提交</w:t>
      </w:r>
      <w:bookmarkEnd w:id="18"/>
      <w:bookmarkEnd w:id="19"/>
      <w:bookmarkEnd w:id="20"/>
      <w:bookmarkEnd w:id="21"/>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1、截止时间：</w:t>
      </w:r>
      <w:r>
        <w:rPr>
          <w:rFonts w:hint="eastAsia" w:asciiTheme="minorEastAsia" w:hAnsiTheme="minorEastAsia" w:eastAsiaTheme="minorEastAsia" w:cstheme="minorEastAsia"/>
          <w:bCs/>
          <w:color w:val="auto"/>
          <w:sz w:val="21"/>
          <w:szCs w:val="21"/>
          <w:highlight w:val="none"/>
        </w:rPr>
        <w:t>2023年</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9</w:t>
      </w:r>
      <w:r>
        <w:rPr>
          <w:rFonts w:hint="eastAsia" w:asciiTheme="minorEastAsia" w:hAnsiTheme="minorEastAsia" w:eastAsiaTheme="minorEastAsia" w:cstheme="minorEastAsia"/>
          <w:bCs/>
          <w:color w:val="auto"/>
          <w:sz w:val="21"/>
          <w:szCs w:val="21"/>
          <w:highlight w:val="none"/>
        </w:rPr>
        <w:t>日9时30分（北京时间）</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2、地点：广西众联工程项目管理有限公司开标厅（南宁市江南区白沙大道53号松宇时代14层），逾期送达的将予以拒收。</w:t>
      </w:r>
      <w:bookmarkStart w:id="22" w:name="_Toc28359016"/>
      <w:bookmarkStart w:id="23" w:name="_Toc28359093"/>
      <w:bookmarkStart w:id="24" w:name="_Toc35393802"/>
      <w:bookmarkStart w:id="25" w:name="_Toc35393633"/>
    </w:p>
    <w:p>
      <w:pPr>
        <w:pageBreakBefore w:val="0"/>
        <w:widowControl w:val="0"/>
        <w:kinsoku/>
        <w:wordWrap/>
        <w:overflowPunct/>
        <w:topLinePunct w:val="0"/>
        <w:autoSpaceDE/>
        <w:autoSpaceDN/>
        <w:bidi w:val="0"/>
        <w:adjustRightInd/>
        <w:spacing w:line="420" w:lineRule="exact"/>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五、开启</w:t>
      </w:r>
      <w:bookmarkEnd w:id="22"/>
      <w:bookmarkEnd w:id="23"/>
      <w:bookmarkEnd w:id="24"/>
      <w:bookmarkEnd w:id="25"/>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1、时间：</w:t>
      </w:r>
      <w:r>
        <w:rPr>
          <w:rFonts w:hint="eastAsia" w:asciiTheme="minorEastAsia" w:hAnsiTheme="minorEastAsia" w:eastAsiaTheme="minorEastAsia" w:cstheme="minorEastAsia"/>
          <w:bCs/>
          <w:color w:val="auto"/>
          <w:sz w:val="21"/>
          <w:szCs w:val="21"/>
          <w:highlight w:val="none"/>
        </w:rPr>
        <w:t>2023年</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9</w:t>
      </w:r>
      <w:r>
        <w:rPr>
          <w:rFonts w:hint="eastAsia" w:asciiTheme="minorEastAsia" w:hAnsiTheme="minorEastAsia" w:eastAsiaTheme="minorEastAsia" w:cstheme="minorEastAsia"/>
          <w:bCs/>
          <w:color w:val="auto"/>
          <w:sz w:val="21"/>
          <w:szCs w:val="21"/>
          <w:highlight w:val="none"/>
        </w:rPr>
        <w:t>日9时30分（北京时间）</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2、地点：</w:t>
      </w:r>
      <w:bookmarkStart w:id="26" w:name="_Toc28359017"/>
      <w:bookmarkStart w:id="27" w:name="_Toc35393803"/>
      <w:bookmarkStart w:id="28" w:name="_Toc35393634"/>
      <w:bookmarkStart w:id="29" w:name="_Toc28359094"/>
      <w:r>
        <w:rPr>
          <w:rFonts w:hint="eastAsia" w:asciiTheme="minorEastAsia" w:hAnsiTheme="minorEastAsia" w:eastAsiaTheme="minorEastAsia" w:cstheme="minorEastAsia"/>
          <w:color w:val="auto"/>
          <w:sz w:val="21"/>
          <w:szCs w:val="21"/>
          <w:highlight w:val="none"/>
        </w:rPr>
        <w:t>广西众联工程项目管理有限公司评标室（南宁市江南区白沙大道53号松宇时代14层）</w:t>
      </w:r>
    </w:p>
    <w:p>
      <w:pPr>
        <w:pageBreakBefore w:val="0"/>
        <w:widowControl w:val="0"/>
        <w:kinsoku/>
        <w:wordWrap/>
        <w:overflowPunct/>
        <w:topLinePunct w:val="0"/>
        <w:autoSpaceDE/>
        <w:autoSpaceDN/>
        <w:bidi w:val="0"/>
        <w:adjustRightInd/>
        <w:spacing w:line="420" w:lineRule="exact"/>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六、公告期限</w:t>
      </w:r>
      <w:bookmarkEnd w:id="26"/>
      <w:bookmarkEnd w:id="27"/>
      <w:bookmarkEnd w:id="28"/>
      <w:bookmarkEnd w:id="29"/>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自本公告发布之日起3个工作日</w:t>
      </w:r>
      <w:bookmarkStart w:id="30" w:name="_Toc35393635"/>
      <w:bookmarkStart w:id="31" w:name="_Toc35393804"/>
    </w:p>
    <w:p>
      <w:pPr>
        <w:pageBreakBefore w:val="0"/>
        <w:widowControl w:val="0"/>
        <w:kinsoku/>
        <w:wordWrap/>
        <w:overflowPunct/>
        <w:topLinePunct w:val="0"/>
        <w:autoSpaceDE/>
        <w:autoSpaceDN/>
        <w:bidi w:val="0"/>
        <w:adjustRightInd/>
        <w:spacing w:line="420" w:lineRule="exac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七、其他补充事宜</w:t>
      </w:r>
      <w:bookmarkEnd w:id="30"/>
      <w:bookmarkEnd w:id="31"/>
      <w:r>
        <w:rPr>
          <w:rFonts w:hint="eastAsia" w:asciiTheme="minorEastAsia" w:hAnsiTheme="minorEastAsia" w:eastAsiaTheme="minorEastAsia" w:cstheme="minorEastAsia"/>
          <w:bCs/>
          <w:color w:val="auto"/>
          <w:sz w:val="21"/>
          <w:szCs w:val="21"/>
          <w:highlight w:val="none"/>
        </w:rPr>
        <w:t>：</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1、磋商保证金：金额为人民币叁仟元整（¥3,000.00元）。</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供应商必须于响应文件递交截止时间前以转账、支票、汇票、本票或者金融机构、担保机构出具的保函等非现金形式足额提交至采购代理机构指定账户并且到账。</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2、磋商保证金交纳的指定账号：</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开户名称：广西众联工程项目管理有限公司</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银行账号：78900188000167866</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开户行：中国光大银行股份有限公司南宁民主支行</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3、磋商时间及地点：于</w:t>
      </w:r>
      <w:r>
        <w:rPr>
          <w:rFonts w:hint="eastAsia" w:asciiTheme="minorEastAsia" w:hAnsiTheme="minorEastAsia" w:eastAsiaTheme="minorEastAsia" w:cstheme="minorEastAsia"/>
          <w:bCs/>
          <w:color w:val="auto"/>
          <w:sz w:val="21"/>
          <w:szCs w:val="21"/>
          <w:highlight w:val="none"/>
        </w:rPr>
        <w:t>2023年</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9</w:t>
      </w:r>
      <w:r>
        <w:rPr>
          <w:rFonts w:hint="eastAsia" w:asciiTheme="minorEastAsia" w:hAnsiTheme="minorEastAsia" w:eastAsiaTheme="minorEastAsia" w:cstheme="minorEastAsia"/>
          <w:bCs/>
          <w:color w:val="auto"/>
          <w:sz w:val="21"/>
          <w:szCs w:val="21"/>
          <w:highlight w:val="none"/>
        </w:rPr>
        <w:t>日</w:t>
      </w:r>
      <w:r>
        <w:rPr>
          <w:rFonts w:hint="eastAsia" w:asciiTheme="minorEastAsia" w:hAnsiTheme="minorEastAsia" w:eastAsiaTheme="minorEastAsia" w:cstheme="minorEastAsia"/>
          <w:color w:val="auto"/>
          <w:sz w:val="21"/>
          <w:szCs w:val="21"/>
          <w:highlight w:val="none"/>
        </w:rPr>
        <w:t>9时30分截标后为磋商小组与供应商磋商时间，具体时间由采购代理机构另行通知。地点：广西众联工程项目管理有限公司评标室（以具体通知为准），参加磋商的法定代表人（负责人） 或委托代理人必须持有效证件[法定代表人（负责人）凭身份证或委托代理人凭法人授权委托书原件和身份证]依时达到指定地点等候当面磋商。</w:t>
      </w:r>
    </w:p>
    <w:p>
      <w:pPr>
        <w:pageBreakBefore w:val="0"/>
        <w:widowControl w:val="0"/>
        <w:kinsoku/>
        <w:wordWrap/>
        <w:overflowPunct/>
        <w:topLinePunct w:val="0"/>
        <w:autoSpaceDE/>
        <w:autoSpaceDN/>
        <w:bidi w:val="0"/>
        <w:adjustRightInd/>
        <w:spacing w:line="42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4、公告媒体：国家税务总局广西壮族自治区税务局网（http://guangxi.chinatax.gov.cn/）、广西众联工程项目管理有限公司网（</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"http://www.gxzhonglian.cn/" </w:instrText>
      </w:r>
      <w:r>
        <w:rPr>
          <w:rFonts w:hint="eastAsia" w:asciiTheme="minorEastAsia" w:hAnsiTheme="minorEastAsia" w:eastAsiaTheme="minorEastAsia" w:cstheme="minorEastAsia"/>
          <w:color w:val="auto"/>
          <w:sz w:val="21"/>
          <w:szCs w:val="21"/>
          <w:highlight w:val="none"/>
        </w:rPr>
        <w:fldChar w:fldCharType="separate"/>
      </w:r>
      <w:r>
        <w:rPr>
          <w:rStyle w:val="52"/>
          <w:rFonts w:hint="eastAsia" w:asciiTheme="minorEastAsia" w:hAnsiTheme="minorEastAsia" w:eastAsiaTheme="minorEastAsia" w:cstheme="minorEastAsia"/>
          <w:color w:val="auto"/>
          <w:sz w:val="21"/>
          <w:szCs w:val="21"/>
          <w:highlight w:val="none"/>
          <w:u w:val="none"/>
        </w:rPr>
        <w:t>http://www.gxzhonglian.cn/</w:t>
      </w:r>
      <w:r>
        <w:rPr>
          <w:rStyle w:val="52"/>
          <w:rFonts w:hint="eastAsia" w:asciiTheme="minorEastAsia" w:hAnsiTheme="minorEastAsia" w:eastAsiaTheme="minorEastAsia" w:cstheme="minorEastAsia"/>
          <w:color w:val="auto"/>
          <w:sz w:val="21"/>
          <w:szCs w:val="21"/>
          <w:highlight w:val="none"/>
          <w:u w:val="none"/>
        </w:rPr>
        <w:fldChar w:fldCharType="end"/>
      </w:r>
      <w:r>
        <w:rPr>
          <w:rFonts w:hint="eastAsia" w:asciiTheme="minorEastAsia" w:hAnsiTheme="minorEastAsia" w:eastAsiaTheme="minorEastAsia" w:cstheme="minorEastAsia"/>
          <w:color w:val="auto"/>
          <w:sz w:val="21"/>
          <w:szCs w:val="21"/>
          <w:highlight w:val="none"/>
        </w:rPr>
        <w:t>）。</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kern w:val="0"/>
          <w:sz w:val="21"/>
          <w:szCs w:val="21"/>
          <w:highlight w:val="none"/>
        </w:rPr>
        <w:t xml:space="preserve">本项目需要落实的政府采购政策： </w:t>
      </w:r>
    </w:p>
    <w:p>
      <w:pPr>
        <w:pageBreakBefore w:val="0"/>
        <w:widowControl w:val="0"/>
        <w:kinsoku/>
        <w:wordWrap/>
        <w:overflowPunct/>
        <w:topLinePunct w:val="0"/>
        <w:autoSpaceDE/>
        <w:autoSpaceDN/>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（1）政府采购促进中小企业发展。</w:t>
      </w:r>
    </w:p>
    <w:p>
      <w:pPr>
        <w:pageBreakBefore w:val="0"/>
        <w:widowControl w:val="0"/>
        <w:kinsoku/>
        <w:wordWrap/>
        <w:overflowPunct/>
        <w:topLinePunct w:val="0"/>
        <w:autoSpaceDE/>
        <w:autoSpaceDN/>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（2）政府采购促进残疾人就业政策。</w:t>
      </w:r>
    </w:p>
    <w:p>
      <w:pPr>
        <w:pageBreakBefore w:val="0"/>
        <w:widowControl w:val="0"/>
        <w:kinsoku/>
        <w:wordWrap/>
        <w:overflowPunct/>
        <w:topLinePunct w:val="0"/>
        <w:autoSpaceDE/>
        <w:autoSpaceDN/>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（3）政府采购支持监狱企业发展。</w:t>
      </w:r>
    </w:p>
    <w:p>
      <w:pPr>
        <w:pageBreakBefore w:val="0"/>
        <w:widowControl w:val="0"/>
        <w:kinsoku/>
        <w:wordWrap/>
        <w:overflowPunct/>
        <w:topLinePunct w:val="0"/>
        <w:autoSpaceDE/>
        <w:autoSpaceDN/>
        <w:bidi w:val="0"/>
        <w:adjustRightInd/>
        <w:spacing w:line="42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6、本项</w:t>
      </w:r>
      <w:r>
        <w:rPr>
          <w:rFonts w:hint="eastAsia" w:asciiTheme="minorEastAsia" w:hAnsiTheme="minorEastAsia" w:eastAsiaTheme="minorEastAsia" w:cstheme="minorEastAsia"/>
          <w:b/>
          <w:color w:val="auto"/>
          <w:sz w:val="21"/>
          <w:szCs w:val="21"/>
          <w:highlight w:val="none"/>
        </w:rPr>
        <w:t>目为目录外标准下项目。</w:t>
      </w:r>
    </w:p>
    <w:p>
      <w:pPr>
        <w:keepNext/>
        <w:keepLines/>
        <w:pageBreakBefore w:val="0"/>
        <w:widowControl w:val="0"/>
        <w:kinsoku/>
        <w:wordWrap/>
        <w:overflowPunct/>
        <w:topLinePunct w:val="0"/>
        <w:autoSpaceDE/>
        <w:autoSpaceDN/>
        <w:bidi w:val="0"/>
        <w:adjustRightInd/>
        <w:spacing w:line="420" w:lineRule="exact"/>
        <w:textAlignment w:val="auto"/>
        <w:outlineLvl w:val="1"/>
        <w:rPr>
          <w:rFonts w:hint="eastAsia" w:asciiTheme="minorEastAsia" w:hAnsiTheme="minorEastAsia" w:eastAsiaTheme="minorEastAsia" w:cstheme="minorEastAsia"/>
          <w:bCs/>
          <w:color w:val="auto"/>
          <w:sz w:val="21"/>
          <w:szCs w:val="21"/>
          <w:highlight w:val="none"/>
        </w:rPr>
      </w:pPr>
      <w:bookmarkStart w:id="32" w:name="_Toc46761414"/>
      <w:bookmarkStart w:id="33" w:name="_Toc35393805"/>
      <w:bookmarkStart w:id="34" w:name="_Toc13006"/>
      <w:bookmarkStart w:id="35" w:name="_Toc28359095"/>
      <w:bookmarkStart w:id="36" w:name="_Toc28359018"/>
      <w:bookmarkStart w:id="37" w:name="_Toc35393636"/>
      <w:r>
        <w:rPr>
          <w:rFonts w:hint="eastAsia" w:asciiTheme="minorEastAsia" w:hAnsiTheme="minorEastAsia" w:eastAsiaTheme="minorEastAsia" w:cstheme="minorEastAsia"/>
          <w:bCs/>
          <w:color w:val="auto"/>
          <w:sz w:val="21"/>
          <w:szCs w:val="21"/>
          <w:highlight w:val="none"/>
        </w:rPr>
        <w:t>八、凡对本次采购提出询问，请按以下方式联系。</w:t>
      </w:r>
      <w:bookmarkEnd w:id="32"/>
      <w:bookmarkEnd w:id="33"/>
      <w:bookmarkEnd w:id="34"/>
      <w:bookmarkEnd w:id="35"/>
      <w:bookmarkEnd w:id="36"/>
      <w:bookmarkEnd w:id="37"/>
    </w:p>
    <w:p>
      <w:pPr>
        <w:keepNext/>
        <w:keepLines/>
        <w:pageBreakBefore w:val="0"/>
        <w:widowControl w:val="0"/>
        <w:kinsoku/>
        <w:wordWrap/>
        <w:overflowPunct/>
        <w:topLinePunct w:val="0"/>
        <w:autoSpaceDE/>
        <w:autoSpaceDN/>
        <w:bidi w:val="0"/>
        <w:adjustRightInd/>
        <w:spacing w:line="420" w:lineRule="exact"/>
        <w:ind w:firstLine="424" w:firstLineChars="202"/>
        <w:textAlignment w:val="auto"/>
        <w:outlineLvl w:val="1"/>
        <w:rPr>
          <w:rFonts w:hint="eastAsia" w:asciiTheme="minorEastAsia" w:hAnsiTheme="minorEastAsia" w:eastAsiaTheme="minorEastAsia" w:cstheme="minorEastAsia"/>
          <w:bCs/>
          <w:color w:val="auto"/>
          <w:sz w:val="21"/>
          <w:szCs w:val="21"/>
          <w:highlight w:val="none"/>
        </w:rPr>
      </w:pPr>
      <w:bookmarkStart w:id="38" w:name="_Toc46761415"/>
      <w:bookmarkStart w:id="39" w:name="_Toc35393806"/>
      <w:bookmarkStart w:id="40" w:name="_Toc35393637"/>
      <w:bookmarkStart w:id="41" w:name="_Toc28359096"/>
      <w:bookmarkStart w:id="42" w:name="_Toc15710"/>
      <w:bookmarkStart w:id="43" w:name="_Toc28359019"/>
      <w:r>
        <w:rPr>
          <w:rFonts w:hint="eastAsia" w:asciiTheme="minorEastAsia" w:hAnsiTheme="minorEastAsia" w:eastAsiaTheme="minorEastAsia" w:cstheme="minorEastAsia"/>
          <w:bCs/>
          <w:color w:val="auto"/>
          <w:sz w:val="21"/>
          <w:szCs w:val="21"/>
          <w:highlight w:val="none"/>
        </w:rPr>
        <w:t>1、采购人信息</w:t>
      </w:r>
      <w:bookmarkEnd w:id="38"/>
      <w:bookmarkEnd w:id="39"/>
      <w:bookmarkEnd w:id="40"/>
      <w:bookmarkEnd w:id="41"/>
      <w:bookmarkEnd w:id="42"/>
      <w:bookmarkEnd w:id="43"/>
    </w:p>
    <w:p>
      <w:pPr>
        <w:pageBreakBefore w:val="0"/>
        <w:widowControl w:val="0"/>
        <w:kinsoku/>
        <w:wordWrap/>
        <w:overflowPunct/>
        <w:topLinePunct w:val="0"/>
        <w:autoSpaceDE/>
        <w:autoSpaceDN/>
        <w:bidi w:val="0"/>
        <w:adjustRightInd/>
        <w:spacing w:line="42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名    称：国家税务总局广西壮族自治区税务局 </w:t>
      </w:r>
    </w:p>
    <w:p>
      <w:pPr>
        <w:pageBreakBefore w:val="0"/>
        <w:widowControl w:val="0"/>
        <w:kinsoku/>
        <w:wordWrap/>
        <w:overflowPunct/>
        <w:topLinePunct w:val="0"/>
        <w:autoSpaceDE/>
        <w:autoSpaceDN/>
        <w:bidi w:val="0"/>
        <w:adjustRightInd/>
        <w:spacing w:line="42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地    址：广西壮族自治区南宁市青秀区民族大道105号 </w:t>
      </w:r>
    </w:p>
    <w:p>
      <w:pPr>
        <w:keepNext/>
        <w:keepLines/>
        <w:pageBreakBefore w:val="0"/>
        <w:widowControl w:val="0"/>
        <w:kinsoku/>
        <w:wordWrap/>
        <w:overflowPunct/>
        <w:topLinePunct w:val="0"/>
        <w:autoSpaceDE/>
        <w:autoSpaceDN/>
        <w:bidi w:val="0"/>
        <w:adjustRightInd/>
        <w:spacing w:line="420" w:lineRule="exact"/>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bookmarkStart w:id="44" w:name="_Toc21412"/>
      <w:bookmarkStart w:id="45" w:name="_Toc46761416"/>
      <w:r>
        <w:rPr>
          <w:rFonts w:hint="eastAsia" w:asciiTheme="minorEastAsia" w:hAnsiTheme="minorEastAsia" w:eastAsiaTheme="minorEastAsia" w:cstheme="minorEastAsia"/>
          <w:color w:val="auto"/>
          <w:sz w:val="21"/>
          <w:szCs w:val="21"/>
          <w:highlight w:val="none"/>
        </w:rPr>
        <w:t>联系方式</w:t>
      </w:r>
      <w:bookmarkEnd w:id="44"/>
      <w:bookmarkEnd w:id="45"/>
      <w:r>
        <w:rPr>
          <w:rFonts w:hint="eastAsia" w:asciiTheme="minorEastAsia" w:hAnsiTheme="minorEastAsia" w:eastAsiaTheme="minorEastAsia" w:cstheme="minorEastAsia"/>
          <w:color w:val="auto"/>
          <w:sz w:val="21"/>
          <w:szCs w:val="21"/>
          <w:highlight w:val="none"/>
        </w:rPr>
        <w:t>：宁 冰 0771-5562212，蓝 俊 0771-5850740</w:t>
      </w:r>
    </w:p>
    <w:p>
      <w:pPr>
        <w:keepNext/>
        <w:keepLines/>
        <w:pageBreakBefore w:val="0"/>
        <w:widowControl w:val="0"/>
        <w:kinsoku/>
        <w:wordWrap/>
        <w:overflowPunct/>
        <w:topLinePunct w:val="0"/>
        <w:autoSpaceDE/>
        <w:autoSpaceDN/>
        <w:bidi w:val="0"/>
        <w:adjustRightInd/>
        <w:spacing w:line="420" w:lineRule="exact"/>
        <w:ind w:firstLine="424" w:firstLineChars="202"/>
        <w:textAlignment w:val="auto"/>
        <w:outlineLvl w:val="1"/>
        <w:rPr>
          <w:rFonts w:hint="eastAsia" w:asciiTheme="minorEastAsia" w:hAnsiTheme="minorEastAsia" w:eastAsiaTheme="minorEastAsia" w:cstheme="minorEastAsia"/>
          <w:bCs/>
          <w:color w:val="auto"/>
          <w:sz w:val="21"/>
          <w:szCs w:val="21"/>
          <w:highlight w:val="none"/>
        </w:rPr>
      </w:pPr>
      <w:bookmarkStart w:id="46" w:name="_Toc28359097"/>
      <w:bookmarkStart w:id="47" w:name="_Toc35393638"/>
      <w:bookmarkStart w:id="48" w:name="_Toc28359020"/>
      <w:bookmarkStart w:id="49" w:name="_Toc46761417"/>
      <w:bookmarkStart w:id="50" w:name="_Toc35393807"/>
      <w:bookmarkStart w:id="51" w:name="_Toc24805"/>
      <w:r>
        <w:rPr>
          <w:rFonts w:hint="eastAsia" w:asciiTheme="minorEastAsia" w:hAnsiTheme="minorEastAsia" w:eastAsiaTheme="minorEastAsia" w:cstheme="minorEastAsia"/>
          <w:bCs/>
          <w:color w:val="auto"/>
          <w:sz w:val="21"/>
          <w:szCs w:val="21"/>
          <w:highlight w:val="none"/>
        </w:rPr>
        <w:t>2、采购代理机构信息</w:t>
      </w:r>
      <w:bookmarkEnd w:id="46"/>
      <w:bookmarkEnd w:id="47"/>
      <w:bookmarkEnd w:id="48"/>
      <w:bookmarkEnd w:id="49"/>
      <w:bookmarkEnd w:id="50"/>
      <w:bookmarkEnd w:id="51"/>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    称：广西众联工程项目管理有限公司</w:t>
      </w:r>
    </w:p>
    <w:p>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址：南宁市江南区白沙大道53号松宇时代14A层</w:t>
      </w:r>
    </w:p>
    <w:p>
      <w:pPr>
        <w:keepNext/>
        <w:keepLines/>
        <w:pageBreakBefore w:val="0"/>
        <w:widowControl w:val="0"/>
        <w:kinsoku/>
        <w:wordWrap/>
        <w:overflowPunct/>
        <w:topLinePunct w:val="0"/>
        <w:autoSpaceDE/>
        <w:autoSpaceDN/>
        <w:bidi w:val="0"/>
        <w:adjustRightInd/>
        <w:spacing w:line="420" w:lineRule="exact"/>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bookmarkStart w:id="52" w:name="_Toc13075"/>
      <w:bookmarkStart w:id="53" w:name="_Toc28359021"/>
      <w:bookmarkStart w:id="54" w:name="_Toc35393808"/>
      <w:bookmarkStart w:id="55" w:name="_Toc35393639"/>
      <w:bookmarkStart w:id="56" w:name="_Toc28359098"/>
      <w:bookmarkStart w:id="57" w:name="_Toc46761418"/>
      <w:r>
        <w:rPr>
          <w:rFonts w:hint="eastAsia" w:asciiTheme="minorEastAsia" w:hAnsiTheme="minorEastAsia" w:eastAsiaTheme="minorEastAsia" w:cstheme="minorEastAsia"/>
          <w:color w:val="auto"/>
          <w:sz w:val="21"/>
          <w:szCs w:val="21"/>
          <w:highlight w:val="none"/>
        </w:rPr>
        <w:t xml:space="preserve">联系方式：姚茜 </w:t>
      </w:r>
      <w:r>
        <w:rPr>
          <w:rFonts w:hint="eastAsia" w:asciiTheme="minorEastAsia" w:hAnsiTheme="minorEastAsia" w:eastAsiaTheme="minorEastAsia" w:cstheme="minorEastAsia"/>
          <w:bCs/>
          <w:color w:val="auto"/>
          <w:sz w:val="21"/>
          <w:szCs w:val="21"/>
          <w:highlight w:val="none"/>
        </w:rPr>
        <w:t>0771-4308370</w:t>
      </w:r>
      <w:bookmarkEnd w:id="52"/>
    </w:p>
    <w:p>
      <w:pPr>
        <w:keepNext/>
        <w:keepLines/>
        <w:pageBreakBefore w:val="0"/>
        <w:widowControl w:val="0"/>
        <w:kinsoku/>
        <w:wordWrap/>
        <w:overflowPunct/>
        <w:topLinePunct w:val="0"/>
        <w:autoSpaceDE/>
        <w:autoSpaceDN/>
        <w:bidi w:val="0"/>
        <w:adjustRightInd/>
        <w:spacing w:line="420" w:lineRule="exact"/>
        <w:ind w:firstLine="424" w:firstLineChars="202"/>
        <w:textAlignment w:val="auto"/>
        <w:outlineLvl w:val="1"/>
        <w:rPr>
          <w:rFonts w:hint="eastAsia" w:asciiTheme="minorEastAsia" w:hAnsiTheme="minorEastAsia" w:eastAsiaTheme="minorEastAsia" w:cstheme="minorEastAsia"/>
          <w:bCs/>
          <w:color w:val="auto"/>
          <w:sz w:val="21"/>
          <w:szCs w:val="21"/>
          <w:highlight w:val="none"/>
        </w:rPr>
      </w:pPr>
      <w:bookmarkStart w:id="58" w:name="_Toc20517"/>
      <w:r>
        <w:rPr>
          <w:rFonts w:hint="eastAsia" w:asciiTheme="minorEastAsia" w:hAnsiTheme="minorEastAsia" w:eastAsiaTheme="minorEastAsia" w:cstheme="minorEastAsia"/>
          <w:bCs/>
          <w:color w:val="auto"/>
          <w:sz w:val="21"/>
          <w:szCs w:val="21"/>
          <w:highlight w:val="none"/>
        </w:rPr>
        <w:t>3、项目联系方式</w:t>
      </w:r>
      <w:bookmarkEnd w:id="53"/>
      <w:bookmarkEnd w:id="54"/>
      <w:bookmarkEnd w:id="55"/>
      <w:bookmarkEnd w:id="56"/>
      <w:bookmarkEnd w:id="57"/>
      <w:bookmarkEnd w:id="58"/>
    </w:p>
    <w:p>
      <w:pPr>
        <w:pStyle w:val="2"/>
        <w:pageBreakBefore w:val="0"/>
        <w:widowControl w:val="0"/>
        <w:kinsoku/>
        <w:wordWrap/>
        <w:overflowPunct/>
        <w:topLinePunct w:val="0"/>
        <w:autoSpaceDE/>
        <w:autoSpaceDN/>
        <w:bidi w:val="0"/>
        <w:adjustRightInd/>
        <w:spacing w:after="0" w:line="42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项目联系人：姚茜</w:t>
      </w:r>
    </w:p>
    <w:p>
      <w:pPr>
        <w:pStyle w:val="2"/>
        <w:pageBreakBefore w:val="0"/>
        <w:widowControl w:val="0"/>
        <w:kinsoku/>
        <w:wordWrap/>
        <w:overflowPunct/>
        <w:topLinePunct w:val="0"/>
        <w:autoSpaceDE/>
        <w:autoSpaceDN/>
        <w:bidi w:val="0"/>
        <w:adjustRightInd/>
        <w:spacing w:after="0"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r>
        <w:rPr>
          <w:rFonts w:hint="eastAsia" w:asciiTheme="minorEastAsia" w:hAnsiTheme="minorEastAsia" w:eastAsiaTheme="minorEastAsia" w:cstheme="minorEastAsia"/>
          <w:bCs/>
          <w:color w:val="auto"/>
          <w:sz w:val="21"/>
          <w:szCs w:val="21"/>
          <w:highlight w:val="none"/>
        </w:rPr>
        <w:t>0771-4308370</w:t>
      </w:r>
    </w:p>
    <w:p>
      <w:pPr>
        <w:pageBreakBefore w:val="0"/>
        <w:widowControl w:val="0"/>
        <w:kinsoku/>
        <w:wordWrap/>
        <w:overflowPunct/>
        <w:topLinePunct w:val="0"/>
        <w:autoSpaceDE/>
        <w:autoSpaceDN/>
        <w:bidi w:val="0"/>
        <w:adjustRightInd/>
        <w:snapToGrid w:val="0"/>
        <w:spacing w:line="420" w:lineRule="exact"/>
        <w:ind w:firstLine="420" w:firstLineChars="200"/>
        <w:jc w:val="righ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pageBreakBefore w:val="0"/>
        <w:widowControl w:val="0"/>
        <w:kinsoku/>
        <w:wordWrap/>
        <w:overflowPunct/>
        <w:topLinePunct w:val="0"/>
        <w:autoSpaceDE/>
        <w:autoSpaceDN/>
        <w:bidi w:val="0"/>
        <w:adjustRightInd/>
        <w:snapToGrid w:val="0"/>
        <w:spacing w:line="420" w:lineRule="exact"/>
        <w:ind w:firstLine="420" w:firstLineChars="200"/>
        <w:jc w:val="right"/>
        <w:textAlignment w:val="auto"/>
        <w:rPr>
          <w:rFonts w:hint="eastAsia" w:asciiTheme="minorEastAsia" w:hAnsiTheme="minorEastAsia" w:eastAsiaTheme="minorEastAsia" w:cstheme="minorEastAsia"/>
          <w:color w:val="auto"/>
          <w:sz w:val="21"/>
          <w:szCs w:val="21"/>
          <w:highlight w:val="none"/>
        </w:rPr>
      </w:pPr>
    </w:p>
    <w:p>
      <w:pPr>
        <w:pageBreakBefore w:val="0"/>
        <w:widowControl w:val="0"/>
        <w:kinsoku/>
        <w:wordWrap/>
        <w:overflowPunct/>
        <w:topLinePunct w:val="0"/>
        <w:autoSpaceDE/>
        <w:autoSpaceDN/>
        <w:bidi w:val="0"/>
        <w:adjustRightInd/>
        <w:snapToGrid w:val="0"/>
        <w:spacing w:line="420" w:lineRule="exact"/>
        <w:ind w:firstLine="420" w:firstLineChars="200"/>
        <w:jc w:val="righ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采购代理机构：广西众联工程项目管理有限公司</w:t>
      </w:r>
    </w:p>
    <w:p>
      <w:pPr>
        <w:pageBreakBefore w:val="0"/>
        <w:widowControl w:val="0"/>
        <w:kinsoku/>
        <w:wordWrap/>
        <w:overflowPunct/>
        <w:topLinePunct w:val="0"/>
        <w:autoSpaceDE/>
        <w:autoSpaceDN/>
        <w:bidi w:val="0"/>
        <w:adjustRightInd/>
        <w:spacing w:line="42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2023年</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27</w:t>
      </w:r>
      <w:r>
        <w:rPr>
          <w:rFonts w:hint="eastAsia" w:asciiTheme="minorEastAsia" w:hAnsiTheme="minorEastAsia" w:eastAsiaTheme="minorEastAsia" w:cstheme="minorEastAsia"/>
          <w:color w:val="auto"/>
          <w:sz w:val="21"/>
          <w:szCs w:val="21"/>
          <w:highlight w:val="none"/>
        </w:rPr>
        <w:t>日</w:t>
      </w:r>
    </w:p>
    <w:p>
      <w:pPr>
        <w:spacing w:line="420" w:lineRule="exact"/>
        <w:jc w:val="center"/>
        <w:outlineLvl w:val="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Cs w:val="21"/>
          <w:highlight w:val="none"/>
        </w:rPr>
        <w:br w:type="page"/>
      </w:r>
      <w:bookmarkStart w:id="59" w:name="_Toc31183"/>
      <w:r>
        <w:rPr>
          <w:rFonts w:hint="eastAsia" w:asciiTheme="minorEastAsia" w:hAnsiTheme="minorEastAsia" w:eastAsiaTheme="minorEastAsia" w:cstheme="minorEastAsia"/>
          <w:b/>
          <w:color w:val="auto"/>
          <w:sz w:val="28"/>
          <w:szCs w:val="28"/>
          <w:highlight w:val="none"/>
        </w:rPr>
        <w:t>第二章 磋商须知</w:t>
      </w:r>
      <w:bookmarkEnd w:id="59"/>
    </w:p>
    <w:p>
      <w:pPr>
        <w:keepNext/>
        <w:keepLines/>
        <w:spacing w:line="360" w:lineRule="auto"/>
        <w:jc w:val="center"/>
        <w:outlineLvl w:val="0"/>
        <w:rPr>
          <w:rFonts w:asciiTheme="minorEastAsia" w:hAnsiTheme="minorEastAsia" w:eastAsiaTheme="minorEastAsia" w:cstheme="minorEastAsia"/>
          <w:bCs/>
          <w:color w:val="auto"/>
          <w:kern w:val="44"/>
          <w:sz w:val="28"/>
          <w:szCs w:val="28"/>
          <w:highlight w:val="none"/>
        </w:rPr>
      </w:pPr>
      <w:bookmarkStart w:id="60" w:name="_Toc1828"/>
      <w:bookmarkStart w:id="61" w:name="_Toc46761420"/>
      <w:bookmarkStart w:id="62" w:name="_Toc3570431"/>
      <w:r>
        <w:rPr>
          <w:rFonts w:hint="eastAsia" w:asciiTheme="minorEastAsia" w:hAnsiTheme="minorEastAsia" w:eastAsiaTheme="minorEastAsia" w:cstheme="minorEastAsia"/>
          <w:bCs/>
          <w:color w:val="auto"/>
          <w:kern w:val="44"/>
          <w:sz w:val="28"/>
          <w:szCs w:val="28"/>
          <w:highlight w:val="none"/>
        </w:rPr>
        <w:t>磋商须知前附表</w:t>
      </w:r>
      <w:bookmarkEnd w:id="60"/>
      <w:bookmarkEnd w:id="61"/>
    </w:p>
    <w:tbl>
      <w:tblPr>
        <w:tblStyle w:val="44"/>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5"/>
        <w:gridCol w:w="10"/>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1735"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名称</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restart"/>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采购项目</w:t>
            </w:r>
          </w:p>
        </w:tc>
        <w:tc>
          <w:tcPr>
            <w:tcW w:w="6057" w:type="dxa"/>
            <w:gridSpan w:val="2"/>
            <w:vAlign w:val="center"/>
          </w:tcPr>
          <w:p>
            <w:pPr>
              <w:keepNext w:val="0"/>
              <w:keepLines w:val="0"/>
              <w:pageBreakBefore w:val="0"/>
              <w:kinsoku/>
              <w:wordWrap/>
              <w:overflowPunct/>
              <w:topLinePunct w:val="0"/>
              <w:bidi w:val="0"/>
              <w:adjustRightInd/>
              <w:spacing w:line="420" w:lineRule="exact"/>
              <w:ind w:left="0" w:hanging="945" w:hangingChars="45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项目名称：国家税务总局广西壮族自治区税务局购买预算管理一体化配套软件</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项目编号：ZB2022-584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采购预算</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人民币（大写）叁拾柒万伍仟元整（¥375,000.00元）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p>
        </w:tc>
        <w:tc>
          <w:tcPr>
            <w:tcW w:w="1735" w:type="dxa"/>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本项目设定的最高限价</w:t>
            </w:r>
          </w:p>
        </w:tc>
        <w:tc>
          <w:tcPr>
            <w:tcW w:w="6057" w:type="dxa"/>
            <w:gridSpan w:val="2"/>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TW"/>
              </w:rPr>
              <w:t>□无</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☑有，金额：</w:t>
            </w:r>
            <w:r>
              <w:rPr>
                <w:rFonts w:hint="eastAsia" w:asciiTheme="minorEastAsia" w:hAnsiTheme="minorEastAsia" w:eastAsiaTheme="minorEastAsia" w:cstheme="minorEastAsia"/>
                <w:color w:val="auto"/>
                <w:sz w:val="21"/>
                <w:szCs w:val="21"/>
                <w:highlight w:val="none"/>
              </w:rPr>
              <w:t>人民币（大写）叁拾柒万伍仟元整（¥375,000.00元）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p>
        </w:tc>
        <w:tc>
          <w:tcPr>
            <w:tcW w:w="1735" w:type="dxa"/>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核心产品（非单一产品项目，必填）</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公告媒体</w:t>
            </w:r>
          </w:p>
        </w:tc>
        <w:tc>
          <w:tcPr>
            <w:tcW w:w="6057" w:type="dxa"/>
            <w:gridSpan w:val="2"/>
            <w:vAlign w:val="center"/>
          </w:tcPr>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国家税务总局广西壮族自治区税务局网（http://guangxi.chinatax.gov.cn/）</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广西众联工程项目管理有限公司网（</w:t>
            </w:r>
            <w:r>
              <w:rPr>
                <w:rStyle w:val="52"/>
                <w:rFonts w:hint="eastAsia" w:asciiTheme="minorEastAsia" w:hAnsiTheme="minorEastAsia" w:eastAsiaTheme="minorEastAsia" w:cstheme="minorEastAsia"/>
                <w:color w:val="auto"/>
                <w:sz w:val="21"/>
                <w:szCs w:val="21"/>
                <w:highlight w:val="none"/>
                <w:u w:val="none"/>
              </w:rPr>
              <w:t>http://www.gxzhonglian.cn/</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采购人</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名    称：国家税务总局广西壮族自治区税务局 </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地    址：</w:t>
            </w:r>
            <w:r>
              <w:rPr>
                <w:rFonts w:hint="eastAsia" w:asciiTheme="minorEastAsia" w:hAnsiTheme="minorEastAsia" w:eastAsiaTheme="minorEastAsia" w:cstheme="minorEastAsia"/>
                <w:color w:val="auto"/>
                <w:sz w:val="21"/>
                <w:szCs w:val="21"/>
                <w:highlight w:val="none"/>
              </w:rPr>
              <w:t xml:space="preserve">广西壮族自治区南宁市青秀区民族大道105号 </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联系方式：宁冰 0771-5562212，蓝俊 0771-5850740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采购代理机构</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    称：广西众联工程项目管理有限公司</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址：南宁市江南区白沙大道53号松宇时代14A层</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联系方式：姚茜 0771-4308370</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    真：0771-4308713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供应商资格条件</w:t>
            </w:r>
          </w:p>
        </w:tc>
        <w:tc>
          <w:tcPr>
            <w:tcW w:w="6057" w:type="dxa"/>
            <w:gridSpan w:val="2"/>
            <w:vAlign w:val="center"/>
          </w:tcPr>
          <w:p>
            <w:pPr>
              <w:keepNext w:val="0"/>
              <w:keepLines w:val="0"/>
              <w:pageBreakBefore w:val="0"/>
              <w:kinsoku/>
              <w:wordWrap/>
              <w:overflowPunct/>
              <w:topLinePunct w:val="0"/>
              <w:bidi w:val="0"/>
              <w:adjustRightInd/>
              <w:spacing w:line="42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1、供应商参加本采购活动应当具备下列条件：</w:t>
            </w:r>
          </w:p>
          <w:p>
            <w:pPr>
              <w:keepNext w:val="0"/>
              <w:keepLines w:val="0"/>
              <w:pageBreakBefore w:val="0"/>
              <w:kinsoku/>
              <w:wordWrap/>
              <w:overflowPunct/>
              <w:topLinePunct w:val="0"/>
              <w:bidi w:val="0"/>
              <w:adjustRightInd/>
              <w:spacing w:line="420" w:lineRule="exact"/>
              <w:ind w:left="0" w:firstLine="210" w:firstLineChars="1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（1）具有独立承担民事责任的能力；</w:t>
            </w:r>
          </w:p>
          <w:p>
            <w:pPr>
              <w:keepNext w:val="0"/>
              <w:keepLines w:val="0"/>
              <w:pageBreakBefore w:val="0"/>
              <w:kinsoku/>
              <w:wordWrap/>
              <w:overflowPunct/>
              <w:topLinePunct w:val="0"/>
              <w:bidi w:val="0"/>
              <w:adjustRightInd/>
              <w:spacing w:line="420" w:lineRule="exact"/>
              <w:ind w:left="0" w:firstLine="210" w:firstLineChars="1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（2）具有良好的商业信誉和健全的财务会计制度；</w:t>
            </w:r>
          </w:p>
          <w:p>
            <w:pPr>
              <w:keepNext w:val="0"/>
              <w:keepLines w:val="0"/>
              <w:pageBreakBefore w:val="0"/>
              <w:kinsoku/>
              <w:wordWrap/>
              <w:overflowPunct/>
              <w:topLinePunct w:val="0"/>
              <w:bidi w:val="0"/>
              <w:adjustRightInd/>
              <w:spacing w:line="420" w:lineRule="exact"/>
              <w:ind w:left="0" w:firstLine="210" w:firstLineChars="1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（3）具有履行合同所必需的设备和专业技术能力；</w:t>
            </w:r>
          </w:p>
          <w:p>
            <w:pPr>
              <w:keepNext w:val="0"/>
              <w:keepLines w:val="0"/>
              <w:pageBreakBefore w:val="0"/>
              <w:kinsoku/>
              <w:wordWrap/>
              <w:overflowPunct/>
              <w:topLinePunct w:val="0"/>
              <w:bidi w:val="0"/>
              <w:adjustRightInd/>
              <w:spacing w:line="420" w:lineRule="exact"/>
              <w:ind w:left="0" w:firstLine="210" w:firstLineChars="1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（4）有依法缴纳税收和社会保障资金的良好记录；</w:t>
            </w:r>
          </w:p>
          <w:p>
            <w:pPr>
              <w:keepNext w:val="0"/>
              <w:keepLines w:val="0"/>
              <w:pageBreakBefore w:val="0"/>
              <w:kinsoku/>
              <w:wordWrap/>
              <w:overflowPunct/>
              <w:topLinePunct w:val="0"/>
              <w:bidi w:val="0"/>
              <w:adjustRightInd/>
              <w:spacing w:line="420" w:lineRule="exact"/>
              <w:ind w:left="0" w:firstLine="210" w:firstLineChars="1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（5）参加采购活动前三年内，在经营活动中没有重大违法记录；</w:t>
            </w:r>
          </w:p>
          <w:p>
            <w:pPr>
              <w:keepNext w:val="0"/>
              <w:keepLines w:val="0"/>
              <w:pageBreakBefore w:val="0"/>
              <w:kinsoku/>
              <w:wordWrap/>
              <w:overflowPunct/>
              <w:topLinePunct w:val="0"/>
              <w:bidi w:val="0"/>
              <w:adjustRightInd/>
              <w:spacing w:line="420" w:lineRule="exact"/>
              <w:ind w:left="0" w:firstLine="210" w:firstLineChars="1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（6）法律、行政法规规定的其他条件。</w:t>
            </w:r>
          </w:p>
          <w:p>
            <w:pPr>
              <w:keepNext w:val="0"/>
              <w:keepLines w:val="0"/>
              <w:pageBreakBefore w:val="0"/>
              <w:kinsoku/>
              <w:wordWrap/>
              <w:overflowPunct/>
              <w:topLinePunct w:val="0"/>
              <w:bidi w:val="0"/>
              <w:adjustRightInd/>
              <w:spacing w:line="42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sz w:val="21"/>
                <w:szCs w:val="21"/>
                <w:highlight w:val="none"/>
              </w:rPr>
              <w:t>落实政府采购政策需满足的资格要求：</w:t>
            </w:r>
          </w:p>
          <w:p>
            <w:pPr>
              <w:keepNext w:val="0"/>
              <w:keepLines w:val="0"/>
              <w:pageBreakBefore w:val="0"/>
              <w:kinsoku/>
              <w:wordWrap/>
              <w:overflowPunct/>
              <w:topLinePunct w:val="0"/>
              <w:bidi w:val="0"/>
              <w:adjustRightInd/>
              <w:spacing w:line="42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□专门面向中小企业采购的项目（供应商应为中小微企业、监狱企业、残疾人福利性单位)</w:t>
            </w:r>
          </w:p>
          <w:p>
            <w:pPr>
              <w:keepNext w:val="0"/>
              <w:keepLines w:val="0"/>
              <w:pageBreakBefore w:val="0"/>
              <w:kinsoku/>
              <w:wordWrap/>
              <w:overflowPunct/>
              <w:topLinePunct w:val="0"/>
              <w:bidi w:val="0"/>
              <w:adjustRightInd/>
              <w:spacing w:line="42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☑非专门面向中小企业采购的项目</w:t>
            </w:r>
          </w:p>
          <w:p>
            <w:pPr>
              <w:keepNext w:val="0"/>
              <w:keepLines w:val="0"/>
              <w:pageBreakBefore w:val="0"/>
              <w:kinsoku/>
              <w:wordWrap/>
              <w:overflowPunct/>
              <w:topLinePunct w:val="0"/>
              <w:bidi w:val="0"/>
              <w:adjustRightInd/>
              <w:spacing w:line="42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本项目采购标的对应的中小企业划分标准所属行业为软件和信息技术服务业。</w:t>
            </w:r>
          </w:p>
          <w:p>
            <w:pPr>
              <w:keepNext w:val="0"/>
              <w:keepLines w:val="0"/>
              <w:pageBreakBefore w:val="0"/>
              <w:kinsoku/>
              <w:wordWrap/>
              <w:overflowPunct/>
              <w:topLinePunct w:val="0"/>
              <w:bidi w:val="0"/>
              <w:adjustRightInd/>
              <w:spacing w:line="420" w:lineRule="exact"/>
              <w:ind w:left="0" w:firstLine="420" w:firstLineChars="200"/>
              <w:rPr>
                <w:rFonts w:hint="eastAsia" w:asciiTheme="minorEastAsia" w:hAnsiTheme="minorEastAsia" w:eastAsiaTheme="minorEastAsia" w:cstheme="minorEastAsia"/>
                <w:b/>
                <w:i/>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其他要求：无。</w:t>
            </w:r>
          </w:p>
          <w:p>
            <w:pPr>
              <w:keepNext w:val="0"/>
              <w:keepLines w:val="0"/>
              <w:pageBreakBefore w:val="0"/>
              <w:kinsoku/>
              <w:wordWrap/>
              <w:overflowPunct/>
              <w:topLinePunct w:val="0"/>
              <w:bidi w:val="0"/>
              <w:adjustRightInd/>
              <w:spacing w:line="42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3、本项目的特定资格要求：无。</w:t>
            </w:r>
          </w:p>
          <w:p>
            <w:pPr>
              <w:keepNext w:val="0"/>
              <w:keepLines w:val="0"/>
              <w:pageBreakBefore w:val="0"/>
              <w:kinsoku/>
              <w:wordWrap/>
              <w:overflowPunct/>
              <w:topLinePunct w:val="0"/>
              <w:bidi w:val="0"/>
              <w:adjustRightInd/>
              <w:spacing w:line="42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4、本项目由符合国家有关法律法规规定、同时满足本项目资质要求、在中国境内的供应商参加磋商。</w:t>
            </w:r>
          </w:p>
          <w:p>
            <w:pPr>
              <w:keepNext w:val="0"/>
              <w:keepLines w:val="0"/>
              <w:pageBreakBefore w:val="0"/>
              <w:kinsoku/>
              <w:wordWrap/>
              <w:overflowPunct/>
              <w:topLinePunct w:val="0"/>
              <w:bidi w:val="0"/>
              <w:adjustRightInd/>
              <w:spacing w:line="42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、对</w:t>
            </w:r>
            <w:r>
              <w:rPr>
                <w:rFonts w:hint="eastAsia" w:asciiTheme="minorEastAsia" w:hAnsiTheme="minorEastAsia" w:eastAsiaTheme="minorEastAsia" w:cstheme="minorEastAsia"/>
                <w:color w:val="auto"/>
                <w:sz w:val="21"/>
                <w:szCs w:val="21"/>
                <w:highlight w:val="none"/>
              </w:rPr>
              <w:t>在“信用中国”网站&lt;www.creditchina.gov.cn&gt;、中国政府采购网&lt;www.ccgp.gov.cn&gt;等渠道被列入失信被执行人、重大税收违法失信主体、政府采购严重违法失信行为记录名单</w:t>
            </w:r>
            <w:r>
              <w:rPr>
                <w:rFonts w:hint="eastAsia" w:asciiTheme="minorEastAsia" w:hAnsiTheme="minorEastAsia" w:eastAsiaTheme="minorEastAsia" w:cstheme="minorEastAsia"/>
                <w:color w:val="auto"/>
                <w:sz w:val="21"/>
                <w:szCs w:val="21"/>
                <w:highlight w:val="none"/>
                <w:lang w:eastAsia="zh-CN"/>
              </w:rPr>
              <w:t>及其他不符合《中华人民共和国政府采购法》第二十二条规定条件的</w:t>
            </w: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，不得</w:t>
            </w:r>
            <w:r>
              <w:rPr>
                <w:rFonts w:hint="eastAsia" w:asciiTheme="minorEastAsia" w:hAnsiTheme="minorEastAsia" w:eastAsiaTheme="minorEastAsia" w:cstheme="minorEastAsia"/>
                <w:color w:val="auto"/>
                <w:sz w:val="21"/>
                <w:szCs w:val="21"/>
                <w:highlight w:val="none"/>
              </w:rPr>
              <w:t>参与</w:t>
            </w:r>
            <w:r>
              <w:rPr>
                <w:rFonts w:hint="eastAsia" w:asciiTheme="minorEastAsia" w:hAnsiTheme="minorEastAsia" w:eastAsiaTheme="minorEastAsia" w:cstheme="minorEastAsia"/>
                <w:color w:val="auto"/>
                <w:sz w:val="21"/>
                <w:szCs w:val="21"/>
                <w:highlight w:val="none"/>
                <w:lang w:eastAsia="zh-CN"/>
              </w:rPr>
              <w:t>本次</w:t>
            </w:r>
            <w:r>
              <w:rPr>
                <w:rFonts w:hint="eastAsia" w:asciiTheme="minorEastAsia" w:hAnsiTheme="minorEastAsia" w:eastAsiaTheme="minorEastAsia" w:cstheme="minorEastAsia"/>
                <w:color w:val="auto"/>
                <w:sz w:val="21"/>
                <w:szCs w:val="21"/>
                <w:highlight w:val="none"/>
              </w:rPr>
              <w:t>采购活动。</w:t>
            </w:r>
          </w:p>
          <w:p>
            <w:pPr>
              <w:keepNext w:val="0"/>
              <w:keepLines w:val="0"/>
              <w:pageBreakBefore w:val="0"/>
              <w:kinsoku/>
              <w:wordWrap/>
              <w:overflowPunct/>
              <w:topLinePunct w:val="0"/>
              <w:bidi w:val="0"/>
              <w:adjustRightInd/>
              <w:spacing w:line="42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6、单位负责人为同一人或者存在直接控股、管理关系的不同供应商，不得参加同一合同项下的采购活动。</w:t>
            </w:r>
          </w:p>
          <w:p>
            <w:pPr>
              <w:keepNext w:val="0"/>
              <w:keepLines w:val="0"/>
              <w:pageBreakBefore w:val="0"/>
              <w:kinsoku/>
              <w:wordWrap/>
              <w:overflowPunct/>
              <w:topLinePunct w:val="0"/>
              <w:bidi w:val="0"/>
              <w:adjustRightInd/>
              <w:spacing w:line="420" w:lineRule="exact"/>
              <w:ind w:lef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7、为本项目提供整体设计、规范编制或者项目管理、监理、检测等服务的供应商，不得再参加本次采购活动。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项目现场勘察</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☑不组织</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□组织：____________________</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1.时间：____________________</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2.地点：____________________</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3.其他：____________________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样品</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☑不要求提供</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□要求提供 </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1.样品制作的标准和要求：</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2.样品检测报告：（□否；□是，检测机构的要求、检测内容详见第六章 项目采购需求）</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3.样品的评审方法及评审标准：内容详见第三章评审办法及标准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restart"/>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联合体</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☑不接受</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continue"/>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p>
        </w:tc>
        <w:tc>
          <w:tcPr>
            <w:tcW w:w="1735" w:type="dxa"/>
          </w:tcPr>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TW"/>
              </w:rPr>
              <w:t>分包</w:t>
            </w:r>
          </w:p>
        </w:tc>
        <w:tc>
          <w:tcPr>
            <w:tcW w:w="6057" w:type="dxa"/>
            <w:gridSpan w:val="2"/>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TW"/>
              </w:rPr>
              <w:t>不接受</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20"/>
                <w:kern w:val="0"/>
                <w:sz w:val="21"/>
                <w:szCs w:val="21"/>
                <w:highlight w:val="none"/>
                <w:shd w:val="clear" w:color="auto" w:fill="FFFFFF"/>
              </w:rPr>
              <w:t>□</w:t>
            </w:r>
            <w:r>
              <w:rPr>
                <w:rFonts w:hint="eastAsia" w:asciiTheme="minorEastAsia" w:hAnsiTheme="minorEastAsia" w:eastAsiaTheme="minorEastAsia" w:cstheme="minorEastAsia"/>
                <w:color w:val="auto"/>
                <w:kern w:val="0"/>
                <w:sz w:val="21"/>
                <w:szCs w:val="21"/>
                <w:highlight w:val="none"/>
                <w:lang w:val="zh-TW"/>
              </w:rPr>
              <w:t>接受：分包要求详见第六章项目采购需求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1735" w:type="dxa"/>
            <w:vAlign w:val="center"/>
          </w:tcPr>
          <w:p>
            <w:pPr>
              <w:keepNext w:val="0"/>
              <w:keepLines w:val="0"/>
              <w:pageBreakBefore w:val="0"/>
              <w:widowControl/>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lang w:val="zh-TW"/>
              </w:rPr>
            </w:pPr>
            <w:r>
              <w:rPr>
                <w:rFonts w:hint="eastAsia" w:asciiTheme="minorEastAsia" w:hAnsiTheme="minorEastAsia" w:eastAsiaTheme="minorEastAsia" w:cstheme="minorEastAsia"/>
                <w:color w:val="auto"/>
                <w:kern w:val="0"/>
                <w:sz w:val="21"/>
                <w:szCs w:val="21"/>
                <w:highlight w:val="none"/>
              </w:rPr>
              <w:t>采购进口产品</w:t>
            </w:r>
          </w:p>
        </w:tc>
        <w:tc>
          <w:tcPr>
            <w:tcW w:w="6057" w:type="dxa"/>
            <w:gridSpan w:val="2"/>
            <w:vAlign w:val="center"/>
          </w:tcPr>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2" w:char="0052"/>
            </w:r>
            <w:r>
              <w:rPr>
                <w:rFonts w:hint="eastAsia" w:asciiTheme="minorEastAsia" w:hAnsiTheme="minorEastAsia" w:eastAsiaTheme="minorEastAsia" w:cstheme="minorEastAsia"/>
                <w:color w:val="auto"/>
                <w:sz w:val="21"/>
                <w:szCs w:val="21"/>
                <w:highlight w:val="none"/>
              </w:rPr>
              <w:t xml:space="preserve"> 本采购项目拒绝进口产品参加磋商</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本采购项目已经财政部审核同意购买的进口产品为：______________</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其他或不适用____________________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1735" w:type="dxa"/>
            <w:vAlign w:val="center"/>
          </w:tcPr>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支持中小企业发展</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lang w:val="zh-TW"/>
              </w:rPr>
            </w:pPr>
          </w:p>
        </w:tc>
        <w:tc>
          <w:tcPr>
            <w:tcW w:w="6057" w:type="dxa"/>
            <w:gridSpan w:val="2"/>
            <w:vAlign w:val="center"/>
          </w:tcPr>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sym w:font="Wingdings 2" w:char="00A3"/>
            </w:r>
            <w:r>
              <w:rPr>
                <w:rFonts w:hint="eastAsia" w:asciiTheme="minorEastAsia" w:hAnsiTheme="minorEastAsia" w:eastAsiaTheme="minorEastAsia" w:cstheme="minorEastAsia"/>
                <w:color w:val="auto"/>
                <w:sz w:val="21"/>
                <w:szCs w:val="21"/>
                <w:highlight w:val="none"/>
              </w:rPr>
              <w:t>专门面向中小企业采购项目</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本项目为专门面对中小企业项目，小微企业、监狱企业、残疾人福利性单位不再执行价格评审优惠的扶持政策。</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2" w:char="0052"/>
            </w:r>
            <w:r>
              <w:rPr>
                <w:rFonts w:hint="eastAsia" w:asciiTheme="minorEastAsia" w:hAnsiTheme="minorEastAsia" w:eastAsiaTheme="minorEastAsia" w:cstheme="minorEastAsia"/>
                <w:color w:val="auto"/>
                <w:sz w:val="21"/>
                <w:szCs w:val="21"/>
                <w:highlight w:val="none"/>
              </w:rPr>
              <w:t xml:space="preserve"> 非专门面向中小企业采购项目（价格扣除）：</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本项目采购标的对应的中小企业划分标准所属行业为软件和信息技术服务业。</w:t>
            </w:r>
          </w:p>
          <w:p>
            <w:pPr>
              <w:pStyle w:val="20"/>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1、货物服务采购项目给予小微企业的价格评审优惠为15%～20%的扣除，用扣除后的价格参与评审。本项目的扣除比例为：小型企业扣除15%，微型企业扣除15%。（注：全区税务系统为15%-20%，其中区局机关为</w:t>
            </w:r>
            <w:r>
              <w:rPr>
                <w:rFonts w:hint="eastAsia" w:asciiTheme="minorEastAsia" w:hAnsiTheme="minorEastAsia" w:eastAsiaTheme="minorEastAsia" w:cstheme="minorEastAsia"/>
                <w:color w:val="auto"/>
                <w:sz w:val="21"/>
                <w:szCs w:val="21"/>
                <w:highlight w:val="none"/>
                <w:u w:val="single"/>
              </w:rPr>
              <w:t xml:space="preserve"> 15 </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政府采购工程的价格评审优惠按照财库〔2020〕46号文件的规定执行。</w:t>
            </w:r>
          </w:p>
          <w:p>
            <w:pPr>
              <w:pStyle w:val="20"/>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2、本项目接受联合体或者分包投标</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的，若小型和微型企业的协议合同金额占到联合体协议或者分包意向协议合同总金额30%以上的，给予联合体或者大中型企业报价5%～6%的扣除，用扣除后的价格参与评审。本项目的扣除比例为：</w:t>
            </w:r>
            <w:r>
              <w:rPr>
                <w:rFonts w:hint="eastAsia" w:asciiTheme="minorEastAsia" w:hAnsiTheme="minorEastAsia" w:eastAsiaTheme="minorEastAsia" w:cstheme="minorEastAsia"/>
                <w:color w:val="auto"/>
                <w:sz w:val="21"/>
                <w:szCs w:val="21"/>
                <w:highlight w:val="none"/>
                <w:u w:val="single"/>
              </w:rPr>
              <w:t xml:space="preserve">5% </w:t>
            </w:r>
            <w:r>
              <w:rPr>
                <w:rFonts w:hint="eastAsia" w:asciiTheme="minorEastAsia" w:hAnsiTheme="minorEastAsia" w:eastAsiaTheme="minorEastAsia" w:cstheme="minorEastAsia"/>
                <w:color w:val="auto"/>
                <w:sz w:val="21"/>
                <w:szCs w:val="21"/>
                <w:highlight w:val="none"/>
              </w:rPr>
              <w:t>。（注：全区税务系统为5%～6%，其中区局机关为</w:t>
            </w:r>
            <w:r>
              <w:rPr>
                <w:rFonts w:hint="eastAsia" w:asciiTheme="minorEastAsia" w:hAnsiTheme="minorEastAsia" w:eastAsiaTheme="minorEastAsia" w:cstheme="minorEastAsia"/>
                <w:color w:val="auto"/>
                <w:sz w:val="21"/>
                <w:szCs w:val="21"/>
                <w:highlight w:val="none"/>
                <w:u w:val="single"/>
              </w:rPr>
              <w:t xml:space="preserve"> 5 </w:t>
            </w:r>
            <w:r>
              <w:rPr>
                <w:rFonts w:hint="eastAsia" w:asciiTheme="minorEastAsia" w:hAnsiTheme="minorEastAsia" w:eastAsiaTheme="minorEastAsia" w:cstheme="minorEastAsia"/>
                <w:color w:val="auto"/>
                <w:sz w:val="21"/>
                <w:szCs w:val="21"/>
                <w:highlight w:val="none"/>
              </w:rPr>
              <w:t xml:space="preserve"> %）</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非专门面向中小企业采购项目（其他优惠）：____________________</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rPr>
              <w:t>注：享受政府采购扶持政策的供应商属于中小企业的，必须提供《中小企业声明函》；属于残疾人福利单位的，必须提供《残疾人福利性单位声明函》；属于监狱企业的，必须提供由省级以上监狱管理局、戒毒管理局（含新疆生产建设兵团）出具的属于监狱企业的证明文件，否则不得享受相关扶持政策。提供声明函或证明文件内容不实的，属于提供虚假材料谋取中标、成交，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735" w:type="dxa"/>
            <w:vAlign w:val="center"/>
          </w:tcPr>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lang w:val="zh-TW"/>
              </w:rPr>
            </w:pPr>
            <w:r>
              <w:rPr>
                <w:rFonts w:hint="eastAsia" w:asciiTheme="minorEastAsia" w:hAnsiTheme="minorEastAsia" w:eastAsiaTheme="minorEastAsia" w:cstheme="minorEastAsia"/>
                <w:color w:val="auto"/>
                <w:sz w:val="21"/>
                <w:szCs w:val="21"/>
                <w:highlight w:val="none"/>
              </w:rPr>
              <w:t>其他法律法规强制性规定或扶持政策</w:t>
            </w:r>
          </w:p>
        </w:tc>
        <w:tc>
          <w:tcPr>
            <w:tcW w:w="6057" w:type="dxa"/>
            <w:gridSpan w:val="2"/>
            <w:vAlign w:val="center"/>
          </w:tcPr>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1735" w:type="dxa"/>
            <w:vAlign w:val="center"/>
          </w:tcPr>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其他规定</w:t>
            </w:r>
          </w:p>
        </w:tc>
        <w:tc>
          <w:tcPr>
            <w:tcW w:w="6057" w:type="dxa"/>
            <w:gridSpan w:val="2"/>
            <w:vAlign w:val="center"/>
          </w:tcPr>
          <w:p>
            <w:pPr>
              <w:pStyle w:val="20"/>
              <w:keepNext w:val="0"/>
              <w:keepLines w:val="0"/>
              <w:pageBreakBefore w:val="0"/>
              <w:kinsoku/>
              <w:wordWrap/>
              <w:overflowPunct/>
              <w:topLinePunct w:val="0"/>
              <w:bidi w:val="0"/>
              <w:adjustRightInd/>
              <w:spacing w:line="420" w:lineRule="exact"/>
              <w:ind w:left="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国家税务总局广西壮族自治区税务局办公室关于修订印发《国家税务总局广西壮族自治区税务局系统目录外标准下项目采购管理暂行办法》的通知》：采购代理机构按照采购文件规定的时间及要求组织评审，并形成评审报告。原则上参加采购的供应商不得少于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供应商须提供的其他资料</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供应商应根据磋商文件和项目采购需求提供相关资料。</w:t>
            </w:r>
            <w:r>
              <w:rPr>
                <w:rFonts w:hint="eastAsia" w:asciiTheme="minorEastAsia" w:hAnsiTheme="minorEastAsia" w:eastAsiaTheme="minorEastAsia" w:cstheme="minorEastAsia"/>
                <w:color w:val="auto"/>
                <w:sz w:val="21"/>
                <w:szCs w:val="21"/>
                <w:highlight w:val="none"/>
                <w:u w:val="single"/>
              </w:rPr>
              <w:t>除磋商文件要求必要的原件核对外，对于供应商能够在线提供的材料，供应商可不提供纸质材料。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澄清或者修改时间</w:t>
            </w:r>
          </w:p>
        </w:tc>
        <w:tc>
          <w:tcPr>
            <w:tcW w:w="6057" w:type="dxa"/>
            <w:gridSpan w:val="2"/>
            <w:vAlign w:val="center"/>
          </w:tcPr>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澄清或者修改的内容可能影响响应文件编制的，采购人、采购代理机构应当在提交首次响应文件截止之日2日前，以书面形式通知所有接收磋商文件的供应商，不足2日的，顺延供应商提交首次响应文件截止时间。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递交磋商响应文件的截止时间和地点</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时间：2023年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日9时30分</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地点：广西众联工程项目管理有限公司开标厅（南宁市江南区白沙大道53号松宇时代14层）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15</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磋商响应文件开启时间和地点</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时间：2023年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日9时30分</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地点：广西众联工程项目管理有限公司评标室（南宁市江南区白沙大道53号松宇时代14层）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磋商保证金</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□不要求提供</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☑要求提供。磋商保证金数额不得超过采购项目预算金额的1%，</w:t>
            </w:r>
            <w:r>
              <w:rPr>
                <w:rFonts w:hint="eastAsia" w:asciiTheme="minorEastAsia" w:hAnsiTheme="minorEastAsia" w:eastAsiaTheme="minorEastAsia" w:cstheme="minorEastAsia"/>
                <w:b/>
                <w:color w:val="auto"/>
                <w:kern w:val="0"/>
                <w:sz w:val="21"/>
                <w:szCs w:val="21"/>
                <w:highlight w:val="none"/>
              </w:rPr>
              <w:t>本项目的磋商保证金为人民币叁仟元整（¥3,000.00元）</w:t>
            </w:r>
            <w:r>
              <w:rPr>
                <w:rFonts w:hint="eastAsia" w:asciiTheme="minorEastAsia" w:hAnsiTheme="minorEastAsia" w:eastAsiaTheme="minorEastAsia" w:cstheme="minorEastAsia"/>
                <w:b/>
                <w:color w:val="auto"/>
                <w:sz w:val="21"/>
                <w:szCs w:val="21"/>
                <w:highlight w:val="none"/>
              </w:rPr>
              <w:t>（取整到元），</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提交方式：</w:t>
            </w:r>
            <w:r>
              <w:rPr>
                <w:rFonts w:hint="eastAsia" w:asciiTheme="minorEastAsia" w:hAnsiTheme="minorEastAsia" w:eastAsiaTheme="minorEastAsia" w:cstheme="minorEastAsia"/>
                <w:color w:val="auto"/>
                <w:sz w:val="21"/>
                <w:szCs w:val="21"/>
                <w:highlight w:val="none"/>
              </w:rPr>
              <w:t>供应商必须于响应文件递交截止时间前以转账、支票、汇票、本票或者金融机构、担保机构出具的保函等非现金形式足额提交给采购代理机构。</w:t>
            </w:r>
          </w:p>
          <w:p>
            <w:pPr>
              <w:keepNext w:val="0"/>
              <w:keepLines w:val="0"/>
              <w:pageBreakBefore w:val="0"/>
              <w:kinsoku/>
              <w:wordWrap/>
              <w:overflowPunct/>
              <w:topLinePunct w:val="0"/>
              <w:autoSpaceDE w:val="0"/>
              <w:autoSpaceDN w:val="0"/>
              <w:bidi w:val="0"/>
              <w:adjustRightInd/>
              <w:snapToGrid w:val="0"/>
              <w:spacing w:line="420" w:lineRule="exact"/>
              <w:ind w:left="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收款人户名：广西众联工程项目管理有限公司</w:t>
            </w:r>
          </w:p>
          <w:p>
            <w:pPr>
              <w:keepNext w:val="0"/>
              <w:keepLines w:val="0"/>
              <w:pageBreakBefore w:val="0"/>
              <w:kinsoku/>
              <w:wordWrap/>
              <w:overflowPunct/>
              <w:topLinePunct w:val="0"/>
              <w:autoSpaceDE w:val="0"/>
              <w:autoSpaceDN w:val="0"/>
              <w:bidi w:val="0"/>
              <w:adjustRightInd/>
              <w:snapToGrid w:val="0"/>
              <w:spacing w:line="420" w:lineRule="exact"/>
              <w:ind w:left="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开户银行：中国光大银行股份有限公司南宁民主支行</w:t>
            </w:r>
          </w:p>
          <w:p>
            <w:pPr>
              <w:keepNext w:val="0"/>
              <w:keepLines w:val="0"/>
              <w:pageBreakBefore w:val="0"/>
              <w:kinsoku/>
              <w:wordWrap/>
              <w:overflowPunct/>
              <w:topLinePunct w:val="0"/>
              <w:autoSpaceDE w:val="0"/>
              <w:autoSpaceDN w:val="0"/>
              <w:bidi w:val="0"/>
              <w:adjustRightInd/>
              <w:snapToGrid w:val="0"/>
              <w:spacing w:line="420" w:lineRule="exact"/>
              <w:ind w:left="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银行账号：78900188000167866</w:t>
            </w:r>
          </w:p>
          <w:p>
            <w:pPr>
              <w:keepNext w:val="0"/>
              <w:keepLines w:val="0"/>
              <w:pageBreakBefore w:val="0"/>
              <w:kinsoku/>
              <w:wordWrap/>
              <w:overflowPunct/>
              <w:topLinePunct w:val="0"/>
              <w:autoSpaceDE w:val="0"/>
              <w:autoSpaceDN w:val="0"/>
              <w:bidi w:val="0"/>
              <w:adjustRightInd/>
              <w:snapToGrid w:val="0"/>
              <w:spacing w:line="420" w:lineRule="exact"/>
              <w:ind w:left="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注：以电汇方式递交磋商保证金须在电汇凭据附言栏中写明项目名称或项目编号、分标（如有）及用途(磋商保证金)。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磋商响应有效期</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自响应文件截止时间起90日(日历日)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18</w:t>
            </w:r>
          </w:p>
        </w:tc>
        <w:tc>
          <w:tcPr>
            <w:tcW w:w="1735" w:type="dxa"/>
            <w:vAlign w:val="center"/>
          </w:tcPr>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响应文件份数</w:t>
            </w:r>
          </w:p>
        </w:tc>
        <w:tc>
          <w:tcPr>
            <w:tcW w:w="6057" w:type="dxa"/>
            <w:gridSpan w:val="2"/>
            <w:vAlign w:val="center"/>
          </w:tcPr>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正本 </w:t>
            </w:r>
            <w:r>
              <w:rPr>
                <w:rFonts w:hint="eastAsia" w:asciiTheme="minorEastAsia" w:hAnsiTheme="minorEastAsia" w:eastAsiaTheme="minorEastAsia" w:cstheme="minorEastAsia"/>
                <w:color w:val="auto"/>
                <w:sz w:val="21"/>
                <w:szCs w:val="21"/>
                <w:highlight w:val="none"/>
                <w:u w:val="single"/>
              </w:rPr>
              <w:t xml:space="preserve">壹 </w:t>
            </w:r>
            <w:r>
              <w:rPr>
                <w:rFonts w:hint="eastAsia" w:asciiTheme="minorEastAsia" w:hAnsiTheme="minorEastAsia" w:eastAsiaTheme="minorEastAsia" w:cstheme="minorEastAsia"/>
                <w:color w:val="auto"/>
                <w:sz w:val="21"/>
                <w:szCs w:val="21"/>
                <w:highlight w:val="none"/>
              </w:rPr>
              <w:t>份</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副本 </w:t>
            </w:r>
            <w:r>
              <w:rPr>
                <w:rFonts w:hint="eastAsia" w:asciiTheme="minorEastAsia" w:hAnsiTheme="minorEastAsia" w:eastAsiaTheme="minorEastAsia" w:cstheme="minorEastAsia"/>
                <w:color w:val="auto"/>
                <w:sz w:val="21"/>
                <w:szCs w:val="21"/>
                <w:highlight w:val="none"/>
                <w:u w:val="single"/>
                <w:lang w:eastAsia="zh-CN"/>
              </w:rPr>
              <w:t>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份</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电子文件</w:t>
            </w:r>
            <w:r>
              <w:rPr>
                <w:rFonts w:hint="eastAsia" w:asciiTheme="minorEastAsia" w:hAnsiTheme="minorEastAsia" w:eastAsiaTheme="minorEastAsia" w:cstheme="minorEastAsia"/>
                <w:color w:val="auto"/>
                <w:sz w:val="21"/>
                <w:szCs w:val="21"/>
                <w:highlight w:val="none"/>
                <w:u w:val="single"/>
              </w:rPr>
              <w:t xml:space="preserve"> 壹 </w:t>
            </w:r>
            <w:r>
              <w:rPr>
                <w:rFonts w:hint="eastAsia" w:asciiTheme="minorEastAsia" w:hAnsiTheme="minorEastAsia" w:eastAsiaTheme="minorEastAsia" w:cstheme="minorEastAsia"/>
                <w:color w:val="auto"/>
                <w:sz w:val="21"/>
                <w:szCs w:val="21"/>
                <w:highlight w:val="none"/>
              </w:rPr>
              <w:t>份（U盘）(□扫描件，</w:t>
            </w:r>
            <w:r>
              <w:rPr>
                <w:rFonts w:hint="eastAsia" w:asciiTheme="minorEastAsia" w:hAnsiTheme="minorEastAsia" w:eastAsiaTheme="minorEastAsia" w:cstheme="minorEastAsia"/>
                <w:color w:val="auto"/>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 xml:space="preserve"> Word，可多选)</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响应文件每本装订厚度不能超过55mm，如超出需分册装订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响应文件封套上应载明的信息</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___________________(项目名称)响应文件</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项目编号：____________________</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在______年____月____日____时____分之前不得启封</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供应商名称：____________________</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w:t>
            </w:r>
          </w:p>
        </w:tc>
        <w:tc>
          <w:tcPr>
            <w:tcW w:w="1735"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信用查询</w:t>
            </w:r>
          </w:p>
        </w:tc>
        <w:tc>
          <w:tcPr>
            <w:tcW w:w="6057"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采购人或采购代理机构通过“信用中国”网站(www. creditchina. gov.cn)、中国政府采购网(www.ccgp.gov.cn)查询相关主体信用记录。本次查询的信用记录打印的网页版将留存在评审报告中。</w:t>
            </w:r>
            <w:r>
              <w:rPr>
                <w:rFonts w:hint="eastAsia" w:asciiTheme="minorEastAsia" w:hAnsiTheme="minorEastAsia" w:eastAsiaTheme="minorEastAsia" w:cstheme="minorEastAsia"/>
                <w:b/>
                <w:color w:val="auto"/>
                <w:kern w:val="0"/>
                <w:sz w:val="21"/>
                <w:szCs w:val="21"/>
                <w:highlight w:val="none"/>
              </w:rPr>
              <w:t>本项目信用记录查询截止时点为</w:t>
            </w:r>
            <w:r>
              <w:rPr>
                <w:rFonts w:hint="eastAsia" w:asciiTheme="minorEastAsia" w:hAnsiTheme="minorEastAsia" w:eastAsiaTheme="minorEastAsia" w:cstheme="minorEastAsia"/>
                <w:b/>
                <w:color w:val="auto"/>
                <w:kern w:val="0"/>
                <w:sz w:val="21"/>
                <w:szCs w:val="21"/>
                <w:highlight w:val="none"/>
                <w:u w:val="single"/>
              </w:rPr>
              <w:t>文件开启当日。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w:t>
            </w:r>
          </w:p>
        </w:tc>
        <w:tc>
          <w:tcPr>
            <w:tcW w:w="1735" w:type="dxa"/>
            <w:vAlign w:val="center"/>
          </w:tcPr>
          <w:p>
            <w:pPr>
              <w:pStyle w:val="20"/>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定标原则</w:t>
            </w:r>
          </w:p>
        </w:tc>
        <w:tc>
          <w:tcPr>
            <w:tcW w:w="6057" w:type="dxa"/>
            <w:gridSpan w:val="2"/>
            <w:vAlign w:val="center"/>
          </w:tcPr>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1.采购人在评审报告确定的成交候选供应商名单中按顺序确定成交供应商。</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2.成交候选供应商并列的，按照以下方式确定成交供应商。</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①最低评标价法：</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随机抽取</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□其他____________________</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②综合评分法：</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随机抽取</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r>
              <w:rPr>
                <w:rFonts w:hint="eastAsia" w:asciiTheme="minorEastAsia" w:hAnsiTheme="minorEastAsia" w:eastAsiaTheme="minorEastAsia" w:cstheme="minorEastAsia"/>
                <w:color w:val="auto"/>
                <w:sz w:val="21"/>
                <w:szCs w:val="21"/>
                <w:highlight w:val="none"/>
                <w:u w:val="single"/>
              </w:rPr>
              <w:t>得分相同时，以最后报价由低到高顺序排列；得分相同且最后报价相同的，按技术指标优劣顺序排列。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22</w:t>
            </w:r>
          </w:p>
        </w:tc>
        <w:tc>
          <w:tcPr>
            <w:tcW w:w="1745"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提供</w:t>
            </w:r>
            <w:r>
              <w:rPr>
                <w:rFonts w:hint="eastAsia" w:asciiTheme="minorEastAsia" w:hAnsiTheme="minorEastAsia" w:eastAsiaTheme="minorEastAsia" w:cstheme="minorEastAsia"/>
                <w:color w:val="auto"/>
                <w:sz w:val="21"/>
                <w:szCs w:val="21"/>
                <w:highlight w:val="none"/>
              </w:rPr>
              <w:t>交货</w:t>
            </w:r>
            <w:r>
              <w:rPr>
                <w:rFonts w:hint="eastAsia" w:asciiTheme="minorEastAsia" w:hAnsiTheme="minorEastAsia" w:eastAsiaTheme="minorEastAsia" w:cstheme="minorEastAsia"/>
                <w:color w:val="auto"/>
                <w:kern w:val="0"/>
                <w:sz w:val="21"/>
                <w:szCs w:val="21"/>
                <w:highlight w:val="none"/>
              </w:rPr>
              <w:t>时间、地点</w:t>
            </w:r>
          </w:p>
        </w:tc>
        <w:tc>
          <w:tcPr>
            <w:tcW w:w="6047"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提供交货的时间：详见第六章项目采购需求</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提供交货的地点：详见第六章项目采购需求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23</w:t>
            </w:r>
          </w:p>
        </w:tc>
        <w:tc>
          <w:tcPr>
            <w:tcW w:w="1745"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采购资金的支付方式和时间</w:t>
            </w:r>
          </w:p>
        </w:tc>
        <w:tc>
          <w:tcPr>
            <w:tcW w:w="6047" w:type="dxa"/>
            <w:vAlign w:val="center"/>
          </w:tcPr>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24</w:t>
            </w:r>
          </w:p>
        </w:tc>
        <w:tc>
          <w:tcPr>
            <w:tcW w:w="1745"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履约保证金</w:t>
            </w:r>
          </w:p>
        </w:tc>
        <w:tc>
          <w:tcPr>
            <w:tcW w:w="6047"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☑不要求提供</w:t>
            </w:r>
          </w:p>
          <w:p>
            <w:pPr>
              <w:pStyle w:val="20"/>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2" w:char="00A3"/>
            </w:r>
            <w:r>
              <w:rPr>
                <w:rFonts w:hint="eastAsia" w:asciiTheme="minorEastAsia" w:hAnsiTheme="minorEastAsia" w:eastAsiaTheme="minorEastAsia" w:cstheme="minorEastAsia"/>
                <w:color w:val="auto"/>
                <w:sz w:val="21"/>
                <w:szCs w:val="21"/>
                <w:highlight w:val="none"/>
              </w:rPr>
              <w:t xml:space="preserve"> 要求提供，履约保证金的数额不得超过采购合同金额的10%，本项目履约保证金为合同金额的3%（取整到元），提交方式为支票、汇票、本票或者金融机构、担保机构出具的保函等非现金形式，成交供应商在签订合同前应提交履约保证金，否则，不予签订合同。采用转账、电汇方式的，由成交供应商在签订合同前按规定的金额从成交供应商银行账户直接缴入采购人账户。</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项目验收合格的，采购人在收到成交供应商提出申请的30日内无息返还履约保证金；采购人如逾期退还履约保证金，每逾期一天，可按应退款项的</w:t>
            </w:r>
            <w:r>
              <w:rPr>
                <w:rFonts w:hint="eastAsia" w:asciiTheme="minorEastAsia" w:hAnsiTheme="minorEastAsia" w:eastAsiaTheme="minorEastAsia" w:cstheme="minorEastAsia"/>
                <w:color w:val="auto"/>
                <w:sz w:val="21"/>
                <w:szCs w:val="21"/>
                <w:highlight w:val="none"/>
                <w:shd w:val="clear" w:color="auto" w:fill="FFFFFF"/>
              </w:rPr>
              <w:t>银行同期存款利息</w:t>
            </w:r>
            <w:r>
              <w:rPr>
                <w:rFonts w:hint="eastAsia" w:asciiTheme="minorEastAsia" w:hAnsiTheme="minorEastAsia" w:eastAsiaTheme="minorEastAsia" w:cstheme="minorEastAsia"/>
                <w:color w:val="auto"/>
                <w:sz w:val="21"/>
                <w:szCs w:val="21"/>
                <w:highlight w:val="none"/>
              </w:rPr>
              <w:t>计算违约金；项目验收不合格的，履约保证金不予退还。</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收款人户名：</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银行账号：</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w:t>
            </w:r>
          </w:p>
        </w:tc>
        <w:tc>
          <w:tcPr>
            <w:tcW w:w="1745"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全区税务系统代理费用标准</w:t>
            </w:r>
          </w:p>
        </w:tc>
        <w:tc>
          <w:tcPr>
            <w:tcW w:w="6047" w:type="dxa"/>
            <w:vAlign w:val="center"/>
          </w:tcPr>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（1）采购代理费收费标准：</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asciiTheme="minorEastAsia" w:hAnsiTheme="minorEastAsia" w:eastAsiaTheme="minorEastAsia" w:cstheme="minorEastAsia"/>
                <w:color w:val="auto"/>
                <w:sz w:val="21"/>
                <w:szCs w:val="21"/>
                <w:highlight w:val="none"/>
                <w:lang w:val="zh-CN"/>
              </w:rPr>
              <w:t>下浮</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z w:val="21"/>
                <w:szCs w:val="21"/>
                <w:highlight w:val="none"/>
                <w:lang w:val="zh-CN"/>
              </w:rPr>
              <w:t>%执行。即：</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全区税务系统代理费用=采购代理标准费用×（1-30%）。</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采购代理服务费标准费率（未下浮30%）：</w:t>
            </w:r>
          </w:p>
          <w:tbl>
            <w:tblPr>
              <w:tblStyle w:val="44"/>
              <w:tblpPr w:leftFromText="180" w:rightFromText="180" w:vertAnchor="text" w:horzAnchor="page" w:tblpXSpec="center" w:tblpY="74"/>
              <w:tblOverlap w:val="never"/>
              <w:tblW w:w="5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252"/>
              <w:gridCol w:w="110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54" w:type="dxa"/>
                  <w:tcBorders>
                    <w:tl2br w:val="single" w:color="auto" w:sz="4" w:space="0"/>
                  </w:tcBorders>
                </w:tcPr>
                <w:p>
                  <w:pPr>
                    <w:keepNext w:val="0"/>
                    <w:keepLines w:val="0"/>
                    <w:pageBreakBefore w:val="0"/>
                    <w:kinsoku/>
                    <w:wordWrap/>
                    <w:overflowPunct/>
                    <w:topLinePunct w:val="0"/>
                    <w:bidi w:val="0"/>
                    <w:adjustRightInd/>
                    <w:spacing w:line="420" w:lineRule="exact"/>
                    <w:ind w:left="0" w:hanging="1365" w:hangingChars="6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费率</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成交金额</w:t>
                  </w:r>
                </w:p>
              </w:tc>
              <w:tc>
                <w:tcPr>
                  <w:tcW w:w="1252" w:type="dxa"/>
                  <w:vAlign w:val="center"/>
                </w:tcPr>
                <w:p>
                  <w:pPr>
                    <w:keepNext w:val="0"/>
                    <w:keepLines w:val="0"/>
                    <w:pageBreakBefore w:val="0"/>
                    <w:kinsoku/>
                    <w:wordWrap/>
                    <w:overflowPunct/>
                    <w:topLinePunct w:val="0"/>
                    <w:bidi w:val="0"/>
                    <w:adjustRightInd/>
                    <w:spacing w:line="420" w:lineRule="exact"/>
                    <w:ind w:left="0" w:firstLine="105" w:firstLine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货物招标</w:t>
                  </w:r>
                </w:p>
              </w:tc>
              <w:tc>
                <w:tcPr>
                  <w:tcW w:w="1108"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服务招标</w:t>
                  </w:r>
                </w:p>
              </w:tc>
              <w:tc>
                <w:tcPr>
                  <w:tcW w:w="1090"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100万元以下</w:t>
                  </w:r>
                </w:p>
              </w:tc>
              <w:tc>
                <w:tcPr>
                  <w:tcW w:w="1252"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108"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090"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100～500万元</w:t>
                  </w:r>
                </w:p>
              </w:tc>
              <w:tc>
                <w:tcPr>
                  <w:tcW w:w="1252"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108"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1090"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500～1000万元</w:t>
                  </w:r>
                </w:p>
              </w:tc>
              <w:tc>
                <w:tcPr>
                  <w:tcW w:w="1252"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1108"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1090"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054"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1000～5000万元</w:t>
                  </w:r>
                </w:p>
              </w:tc>
              <w:tc>
                <w:tcPr>
                  <w:tcW w:w="1252"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1108"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1090"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5000万元～1亿元</w:t>
                  </w:r>
                </w:p>
              </w:tc>
              <w:tc>
                <w:tcPr>
                  <w:tcW w:w="1252"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1108"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w:t>
                  </w:r>
                </w:p>
              </w:tc>
              <w:tc>
                <w:tcPr>
                  <w:tcW w:w="1090"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1～5亿元</w:t>
                  </w:r>
                </w:p>
              </w:tc>
              <w:tc>
                <w:tcPr>
                  <w:tcW w:w="1252"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1108"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1090"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54"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5～10亿元</w:t>
                  </w:r>
                </w:p>
              </w:tc>
              <w:tc>
                <w:tcPr>
                  <w:tcW w:w="1252"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0.035%</w:t>
                  </w:r>
                </w:p>
              </w:tc>
              <w:tc>
                <w:tcPr>
                  <w:tcW w:w="1108"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0.035%</w:t>
                  </w:r>
                </w:p>
              </w:tc>
              <w:tc>
                <w:tcPr>
                  <w:tcW w:w="1090"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0.035%</w:t>
                  </w:r>
                </w:p>
              </w:tc>
            </w:tr>
          </w:tbl>
          <w:p>
            <w:pPr>
              <w:keepNext w:val="0"/>
              <w:keepLines w:val="0"/>
              <w:pageBreakBefore w:val="0"/>
              <w:kinsoku/>
              <w:wordWrap/>
              <w:overflowPunct/>
              <w:topLinePunct w:val="0"/>
              <w:bidi w:val="0"/>
              <w:adjustRightInd/>
              <w:spacing w:line="420" w:lineRule="exact"/>
              <w:ind w:left="0"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注：采购代理服务收费按差额定率累进法计算。</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例如：广西税务系统某工程招标代理业务成交金额为6000万元，计算招标代理服务收费额如下：</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100万元×1.0%=1万元</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（500-100）万元×0.7%=2.8万元</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（1000-500）万元×0.55%=2.75万元</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（5000-1000）万元×0.35%=14万元</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（6000-5000）万元×0.2%=2万元</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合计收费（标准费率）=1+2.8+2.75+14+2=22.55（万元）</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合计收费（标准费率下浮30%）=22.55×（1-30%）=15.785（万元）</w:t>
            </w:r>
          </w:p>
          <w:p>
            <w:pPr>
              <w:pStyle w:val="20"/>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（2）代理费用汇到如下指定账户：</w:t>
            </w:r>
          </w:p>
          <w:p>
            <w:pPr>
              <w:pStyle w:val="20"/>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开户名称：广西众联工程项目管理有限公司</w:t>
            </w:r>
          </w:p>
          <w:p>
            <w:pPr>
              <w:pStyle w:val="20"/>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开户银行：中国光大银行股份有限公司南宁民主支行</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银行账号：78900188000167866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20" w:lineRule="exact"/>
              <w:ind w:lef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26</w:t>
            </w:r>
          </w:p>
        </w:tc>
        <w:tc>
          <w:tcPr>
            <w:tcW w:w="1745" w:type="dxa"/>
            <w:gridSpan w:val="2"/>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其他规定</w:t>
            </w:r>
          </w:p>
        </w:tc>
        <w:tc>
          <w:tcPr>
            <w:tcW w:w="6047" w:type="dxa"/>
            <w:vAlign w:val="center"/>
          </w:tcPr>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磋商文件中描述供应商的“公章”是指根据我国对公章的管理规定，用供应商法定主体行为名称制作的印章，除本磋商文件有特殊规定外，供应商的财务章、部门章、分公司章、工会章、合同章、磋商专用章、业务专用章等其它形式印章均不能代替公章。</w:t>
            </w:r>
          </w:p>
          <w:p>
            <w:pPr>
              <w:keepNext w:val="0"/>
              <w:keepLines w:val="0"/>
              <w:pageBreakBefore w:val="0"/>
              <w:kinsoku/>
              <w:wordWrap/>
              <w:overflowPunct/>
              <w:topLinePunct w:val="0"/>
              <w:bidi w:val="0"/>
              <w:adjustRightInd/>
              <w:spacing w:line="42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2、本磋商文件中描述供应商的“签字”是指供应商的法定代表人或被授权人亲自在磋商文件规定签署处亲笔写上个人的名字的行为，私章、签字章、印鉴、影印等其它形式均不能代替亲笔签字。</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3、递交质疑函的联系事项：</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广西众联工程项目管理有限公司招标部</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联系电话：0771-4308370 </w:t>
            </w:r>
          </w:p>
          <w:p>
            <w:pPr>
              <w:keepNext w:val="0"/>
              <w:keepLines w:val="0"/>
              <w:pageBreakBefore w:val="0"/>
              <w:kinsoku/>
              <w:wordWrap/>
              <w:overflowPunct/>
              <w:topLinePunct w:val="0"/>
              <w:bidi w:val="0"/>
              <w:adjustRightInd/>
              <w:spacing w:line="42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地址：南宁市江南区白沙大道53号松宇时代14A层</w:t>
            </w:r>
          </w:p>
        </w:tc>
      </w:tr>
      <w:bookmarkEnd w:id="62"/>
    </w:tbl>
    <w:p>
      <w:pPr>
        <w:pStyle w:val="41"/>
        <w:ind w:firstLine="210"/>
        <w:rPr>
          <w:color w:val="auto"/>
          <w:highlight w:val="none"/>
        </w:rPr>
      </w:pPr>
    </w:p>
    <w:p>
      <w:pPr>
        <w:keepNext/>
        <w:keepLines/>
        <w:spacing w:line="360" w:lineRule="auto"/>
        <w:jc w:val="center"/>
        <w:outlineLvl w:val="5"/>
        <w:rPr>
          <w:rFonts w:hint="eastAsia" w:asciiTheme="minorEastAsia" w:hAnsiTheme="minorEastAsia" w:eastAsiaTheme="minorEastAsia" w:cstheme="minorEastAsia"/>
          <w:b/>
          <w:bCs/>
          <w:color w:val="auto"/>
          <w:kern w:val="0"/>
          <w:sz w:val="28"/>
          <w:szCs w:val="21"/>
          <w:highlight w:val="none"/>
        </w:rPr>
      </w:pPr>
    </w:p>
    <w:p>
      <w:pPr>
        <w:keepNext/>
        <w:keepLines/>
        <w:spacing w:line="360" w:lineRule="auto"/>
        <w:jc w:val="center"/>
        <w:outlineLvl w:val="5"/>
        <w:rPr>
          <w:rFonts w:hint="eastAsia" w:asciiTheme="minorEastAsia" w:hAnsiTheme="minorEastAsia" w:eastAsiaTheme="minorEastAsia" w:cstheme="minorEastAsia"/>
          <w:b/>
          <w:bCs/>
          <w:color w:val="auto"/>
          <w:kern w:val="0"/>
          <w:sz w:val="28"/>
          <w:szCs w:val="21"/>
          <w:highlight w:val="none"/>
        </w:rPr>
      </w:pPr>
    </w:p>
    <w:p>
      <w:pPr>
        <w:keepNext/>
        <w:keepLines/>
        <w:spacing w:line="360" w:lineRule="auto"/>
        <w:jc w:val="center"/>
        <w:outlineLvl w:val="5"/>
        <w:rPr>
          <w:rFonts w:hint="eastAsia" w:asciiTheme="minorEastAsia" w:hAnsiTheme="minorEastAsia" w:eastAsiaTheme="minorEastAsia" w:cstheme="minorEastAsia"/>
          <w:b/>
          <w:bCs/>
          <w:color w:val="auto"/>
          <w:kern w:val="0"/>
          <w:sz w:val="28"/>
          <w:szCs w:val="21"/>
          <w:highlight w:val="none"/>
        </w:rPr>
      </w:pPr>
    </w:p>
    <w:p>
      <w:pPr>
        <w:keepNext/>
        <w:keepLines/>
        <w:spacing w:line="360" w:lineRule="auto"/>
        <w:jc w:val="center"/>
        <w:outlineLvl w:val="5"/>
        <w:rPr>
          <w:rFonts w:hint="eastAsia" w:asciiTheme="minorEastAsia" w:hAnsiTheme="minorEastAsia" w:eastAsiaTheme="minorEastAsia" w:cstheme="minorEastAsia"/>
          <w:b/>
          <w:bCs/>
          <w:color w:val="auto"/>
          <w:kern w:val="0"/>
          <w:sz w:val="28"/>
          <w:szCs w:val="21"/>
          <w:highlight w:val="none"/>
        </w:rPr>
      </w:pPr>
    </w:p>
    <w:p>
      <w:pPr>
        <w:keepNext/>
        <w:keepLines/>
        <w:spacing w:line="360" w:lineRule="auto"/>
        <w:jc w:val="center"/>
        <w:outlineLvl w:val="5"/>
        <w:rPr>
          <w:rFonts w:hint="eastAsia" w:asciiTheme="minorEastAsia" w:hAnsiTheme="minorEastAsia" w:eastAsiaTheme="minorEastAsia" w:cstheme="minorEastAsia"/>
          <w:b/>
          <w:bCs/>
          <w:color w:val="auto"/>
          <w:kern w:val="0"/>
          <w:sz w:val="28"/>
          <w:szCs w:val="21"/>
          <w:highlight w:val="none"/>
        </w:rPr>
      </w:pPr>
    </w:p>
    <w:p>
      <w:pPr>
        <w:keepNext/>
        <w:keepLines/>
        <w:spacing w:line="360" w:lineRule="auto"/>
        <w:jc w:val="center"/>
        <w:outlineLvl w:val="5"/>
        <w:rPr>
          <w:rFonts w:hint="eastAsia" w:asciiTheme="minorEastAsia" w:hAnsiTheme="minorEastAsia" w:eastAsiaTheme="minorEastAsia" w:cstheme="minorEastAsia"/>
          <w:b/>
          <w:bCs/>
          <w:color w:val="auto"/>
          <w:kern w:val="0"/>
          <w:sz w:val="28"/>
          <w:szCs w:val="21"/>
          <w:highlight w:val="none"/>
        </w:rPr>
      </w:pPr>
    </w:p>
    <w:p>
      <w:pPr>
        <w:keepNext/>
        <w:keepLines/>
        <w:spacing w:line="360" w:lineRule="auto"/>
        <w:jc w:val="center"/>
        <w:outlineLvl w:val="5"/>
        <w:rPr>
          <w:rFonts w:hint="eastAsia" w:asciiTheme="minorEastAsia" w:hAnsiTheme="minorEastAsia" w:eastAsiaTheme="minorEastAsia" w:cstheme="minorEastAsia"/>
          <w:b/>
          <w:bCs/>
          <w:color w:val="auto"/>
          <w:kern w:val="0"/>
          <w:sz w:val="28"/>
          <w:szCs w:val="21"/>
          <w:highlight w:val="none"/>
        </w:rPr>
      </w:pPr>
    </w:p>
    <w:p>
      <w:pPr>
        <w:keepNext/>
        <w:keepLines/>
        <w:spacing w:line="360" w:lineRule="auto"/>
        <w:jc w:val="center"/>
        <w:outlineLvl w:val="5"/>
        <w:rPr>
          <w:rFonts w:hint="eastAsia" w:asciiTheme="minorEastAsia" w:hAnsiTheme="minorEastAsia" w:eastAsiaTheme="minorEastAsia" w:cstheme="minorEastAsia"/>
          <w:b/>
          <w:bCs/>
          <w:color w:val="auto"/>
          <w:kern w:val="0"/>
          <w:sz w:val="28"/>
          <w:szCs w:val="21"/>
          <w:highlight w:val="none"/>
        </w:rPr>
      </w:pPr>
    </w:p>
    <w:p>
      <w:pPr>
        <w:keepNext/>
        <w:keepLines/>
        <w:spacing w:line="360" w:lineRule="auto"/>
        <w:jc w:val="center"/>
        <w:outlineLvl w:val="5"/>
        <w:rPr>
          <w:rFonts w:hint="eastAsia" w:asciiTheme="minorEastAsia" w:hAnsiTheme="minorEastAsia" w:eastAsiaTheme="minorEastAsia" w:cstheme="minorEastAsia"/>
          <w:b/>
          <w:bCs/>
          <w:color w:val="auto"/>
          <w:kern w:val="0"/>
          <w:sz w:val="28"/>
          <w:szCs w:val="21"/>
          <w:highlight w:val="none"/>
        </w:rPr>
      </w:pPr>
    </w:p>
    <w:p>
      <w:pPr>
        <w:keepNext/>
        <w:keepLines/>
        <w:spacing w:line="360" w:lineRule="auto"/>
        <w:jc w:val="center"/>
        <w:outlineLvl w:val="5"/>
        <w:rPr>
          <w:rFonts w:hint="eastAsia" w:asciiTheme="minorEastAsia" w:hAnsiTheme="minorEastAsia" w:eastAsiaTheme="minorEastAsia" w:cstheme="minorEastAsia"/>
          <w:b/>
          <w:bCs/>
          <w:color w:val="auto"/>
          <w:kern w:val="0"/>
          <w:sz w:val="28"/>
          <w:szCs w:val="21"/>
          <w:highlight w:val="none"/>
        </w:rPr>
      </w:pPr>
    </w:p>
    <w:p>
      <w:pPr>
        <w:keepNext/>
        <w:keepLines/>
        <w:spacing w:line="360" w:lineRule="auto"/>
        <w:jc w:val="center"/>
        <w:outlineLvl w:val="5"/>
        <w:rPr>
          <w:rFonts w:hint="eastAsia" w:asciiTheme="minorEastAsia" w:hAnsiTheme="minorEastAsia" w:eastAsiaTheme="minorEastAsia" w:cstheme="minorEastAsia"/>
          <w:b/>
          <w:bCs/>
          <w:color w:val="auto"/>
          <w:kern w:val="0"/>
          <w:sz w:val="28"/>
          <w:szCs w:val="21"/>
          <w:highlight w:val="none"/>
        </w:rPr>
      </w:pPr>
    </w:p>
    <w:p>
      <w:pPr>
        <w:pStyle w:val="2"/>
        <w:rPr>
          <w:rFonts w:hint="eastAsia" w:asciiTheme="minorEastAsia" w:hAnsiTheme="minorEastAsia" w:eastAsiaTheme="minorEastAsia" w:cstheme="minorEastAsia"/>
          <w:b/>
          <w:bCs/>
          <w:color w:val="auto"/>
          <w:kern w:val="0"/>
          <w:sz w:val="28"/>
          <w:szCs w:val="21"/>
          <w:highlight w:val="none"/>
        </w:rPr>
      </w:pPr>
    </w:p>
    <w:p>
      <w:pPr>
        <w:keepNext/>
        <w:keepLines/>
        <w:spacing w:line="360" w:lineRule="auto"/>
        <w:jc w:val="center"/>
        <w:outlineLvl w:val="5"/>
        <w:rPr>
          <w:rFonts w:asciiTheme="minorEastAsia" w:hAnsiTheme="minorEastAsia" w:eastAsiaTheme="minorEastAsia" w:cstheme="minorEastAsia"/>
          <w:b/>
          <w:bCs/>
          <w:color w:val="auto"/>
          <w:kern w:val="0"/>
          <w:sz w:val="28"/>
          <w:szCs w:val="21"/>
          <w:highlight w:val="none"/>
        </w:rPr>
      </w:pPr>
      <w:r>
        <w:rPr>
          <w:rFonts w:hint="eastAsia" w:asciiTheme="minorEastAsia" w:hAnsiTheme="minorEastAsia" w:eastAsiaTheme="minorEastAsia" w:cstheme="minorEastAsia"/>
          <w:b/>
          <w:bCs/>
          <w:color w:val="auto"/>
          <w:kern w:val="0"/>
          <w:sz w:val="28"/>
          <w:szCs w:val="21"/>
          <w:highlight w:val="none"/>
        </w:rPr>
        <w:t>磋商须知正文</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一、总则</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1.定义</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　“采购人”是指依法进行采购的国家机关、事业单位、团体组织。本次采购的采购人名称、地址、电话、联系人见磋商须知前附表。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　“采购代理机构”是指接受采购人委托，代理采购项目的集中采购机构和其他采购代理机构。本次采购的采购代理机构名称、地址、电话、联系人见磋商须知前附表。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　“供应商”是指响应磋商文件要求、参加磋商采购的法人、其他组织或者自然人。本次采购项目邀请的供应商通过磋商须知前附表所述方式产生。</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　“磋商小组”是依据有关规定组建，依法履行磋商采购活动职责的3人以上单数的磋商成员。</w:t>
      </w:r>
    </w:p>
    <w:p>
      <w:pPr>
        <w:pStyle w:val="41"/>
        <w:keepNext w:val="0"/>
        <w:keepLines w:val="0"/>
        <w:pageBreakBefore w:val="0"/>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  “货物”是指各种形态和种类的物品，包括原材料、燃料、设备、产品等。</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　“服务”是指除货物和工程以外的其他采购对象。</w:t>
      </w:r>
    </w:p>
    <w:p>
      <w:pPr>
        <w:pStyle w:val="41"/>
        <w:keepNext w:val="0"/>
        <w:keepLines w:val="0"/>
        <w:pageBreakBefore w:val="0"/>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   本采购项目属于目录外标准下项目。</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2.采购项目预算</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　本项目采购资金的预算金额见磋商须知前附表。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★3.供应商的资格要求</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　供应商应当符合磋商须知前附表中规定的资格条件要求：</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4.参与磋商的费用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4.1　无论磋商的结果如何，供应商应自行承担所有与磋商采购活动有关的全部费用。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5.授权委托</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5.1　供应商代表为供应商法定代表人的，应持有法定代表人身份证明。供应商代表不是供应商法定代表人的，应持有法定代表人授权书</w:t>
      </w:r>
      <w:r>
        <w:rPr>
          <w:rFonts w:hint="eastAsia" w:asciiTheme="minorEastAsia" w:hAnsiTheme="minorEastAsia" w:eastAsiaTheme="minorEastAsia" w:cstheme="minorEastAsia"/>
          <w:color w:val="auto"/>
          <w:sz w:val="21"/>
          <w:szCs w:val="21"/>
          <w:highlight w:val="none"/>
        </w:rPr>
        <w:t>原件或复印件</w:t>
      </w:r>
      <w:r>
        <w:rPr>
          <w:rFonts w:hint="eastAsia" w:asciiTheme="minorEastAsia" w:hAnsiTheme="minorEastAsia" w:eastAsiaTheme="minorEastAsia" w:cstheme="minorEastAsia"/>
          <w:color w:val="auto"/>
          <w:kern w:val="0"/>
          <w:sz w:val="21"/>
          <w:szCs w:val="21"/>
          <w:highlight w:val="none"/>
        </w:rPr>
        <w:t>，并附授权代表的身份证</w:t>
      </w:r>
      <w:r>
        <w:rPr>
          <w:rFonts w:hint="eastAsia" w:asciiTheme="minorEastAsia" w:hAnsiTheme="minorEastAsia" w:eastAsiaTheme="minorEastAsia" w:cstheme="minorEastAsia"/>
          <w:color w:val="auto"/>
          <w:sz w:val="21"/>
          <w:szCs w:val="21"/>
          <w:highlight w:val="none"/>
        </w:rPr>
        <w:t>原件</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6.联合体形式</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6.1　本项目是否接受联合体参与及相关要求见磋商须知前附表。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6.2　如果本项目接受联合体磋商的，应遵守以下规定：</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(1)联合体各方必须签订联合体协议书，明确联合体牵头人和各方权利、义务及分工、合同工作量比例；</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(2)联合体各方均应当符合本章第3.1款规定的供应商基本资格条件；</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(3)除磋商须知前附表中另有规定，联合体各方中至少有一方应当符合本章第3.1款规定的供应商特定资格条件；</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(4)联合体中有同类资质的供应商按照联合体分工承担相同工作的，应当按照资质等级较低的供应商确定资质等级；</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(5)联合体各方不得再单独或与其他供应商组成新的联合体参加同一项目的采购活动。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7.项目现场勘察</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7.1　本项目是否组织现场勘察见磋商须知前附表。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7.2　供应商应按磋商须知前附表中规定对采购项目现场和周围环境的现场考察。供应商未在指定时间进行勘察的，采购人不再另行组织。</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7.3　勘察现场的费用由供应商自己承担，勘察期间所发生的人身伤害及财产损失由供应商自己负责。</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7.4　采购人不对供应商据此而做出的推论、理解和结论负责。一旦成交，供应商不得以任何借口，提出额外补偿，或延长合同期限的要求。</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8.采购进口产品</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8.1　本项目是否采购进口产品及相关要求见磋商须知前附表。</w:t>
      </w:r>
    </w:p>
    <w:p>
      <w:pPr>
        <w:pStyle w:val="41"/>
        <w:keepNext w:val="0"/>
        <w:keepLines w:val="0"/>
        <w:pageBreakBefore w:val="0"/>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9.政策与其他规定</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9.1本项目是否属于专门面向中小企业采购的项目见磋商须知前附表。对于非专门面向中小企业采购的项目，供应商符合属于小微企业条件的，可用扣除后的最后报价参与价格比较。本项目价格扣除比例及相关要求见磋商须知前附表。监狱企业视同小型、微型企业。</w:t>
      </w:r>
    </w:p>
    <w:p>
      <w:pPr>
        <w:pStyle w:val="41"/>
        <w:keepNext w:val="0"/>
        <w:keepLines w:val="0"/>
        <w:pageBreakBefore w:val="0"/>
        <w:kinsoku/>
        <w:wordWrap/>
        <w:overflowPunct/>
        <w:topLinePunct w:val="0"/>
        <w:autoSpaceDE/>
        <w:autoSpaceDN/>
        <w:bidi w:val="0"/>
        <w:adjustRightInd/>
        <w:snapToGrid/>
        <w:spacing w:after="0"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 其他法律法规强制性规定或扶持政策。本项目的详细要求见磋商须知前附表。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二、磋商文件</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10.磋商文件的组成</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10.1　磋商文件由下列文件组成：</w:t>
      </w:r>
    </w:p>
    <w:p>
      <w:pPr>
        <w:keepNext w:val="0"/>
        <w:keepLines w:val="0"/>
        <w:pageBreakBefore w:val="0"/>
        <w:kinsoku/>
        <w:wordWrap/>
        <w:overflowPunct/>
        <w:topLinePunct w:val="0"/>
        <w:autoSpaceDE/>
        <w:autoSpaceDN/>
        <w:bidi w:val="0"/>
        <w:adjustRightInd/>
        <w:snapToGrid/>
        <w:spacing w:line="400" w:lineRule="exact"/>
        <w:ind w:left="0" w:leftChars="0" w:firstLine="630" w:firstLineChars="3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第一部分　商务部分</w:t>
      </w:r>
    </w:p>
    <w:p>
      <w:pPr>
        <w:keepNext w:val="0"/>
        <w:keepLines w:val="0"/>
        <w:pageBreakBefore w:val="0"/>
        <w:kinsoku/>
        <w:wordWrap/>
        <w:overflowPunct/>
        <w:topLinePunct w:val="0"/>
        <w:autoSpaceDE/>
        <w:autoSpaceDN/>
        <w:bidi w:val="0"/>
        <w:adjustRightInd/>
        <w:snapToGrid/>
        <w:spacing w:line="400" w:lineRule="exact"/>
        <w:ind w:left="0" w:leftChars="0" w:firstLine="630" w:firstLineChars="3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第一章　磋商邀请</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第二章　磋商须知</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第三章　评审方法及标准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第四章　合同草案条款</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第五章　响应文件组成</w:t>
      </w:r>
    </w:p>
    <w:p>
      <w:pPr>
        <w:keepNext w:val="0"/>
        <w:keepLines w:val="0"/>
        <w:pageBreakBefore w:val="0"/>
        <w:kinsoku/>
        <w:wordWrap/>
        <w:overflowPunct/>
        <w:topLinePunct w:val="0"/>
        <w:autoSpaceDE/>
        <w:autoSpaceDN/>
        <w:bidi w:val="0"/>
        <w:adjustRightInd/>
        <w:snapToGrid/>
        <w:spacing w:line="400" w:lineRule="exact"/>
        <w:ind w:left="0" w:leftChars="0" w:firstLine="630" w:firstLineChars="3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第二部分　技术部分</w:t>
      </w:r>
    </w:p>
    <w:p>
      <w:pPr>
        <w:keepNext w:val="0"/>
        <w:keepLines w:val="0"/>
        <w:pageBreakBefore w:val="0"/>
        <w:kinsoku/>
        <w:wordWrap/>
        <w:overflowPunct/>
        <w:topLinePunct w:val="0"/>
        <w:autoSpaceDE/>
        <w:autoSpaceDN/>
        <w:bidi w:val="0"/>
        <w:adjustRightInd/>
        <w:snapToGrid/>
        <w:spacing w:line="400" w:lineRule="exact"/>
        <w:ind w:left="0" w:leftChars="0" w:firstLine="630" w:firstLineChars="3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第六章　项目采购需求</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10.2　磋商须知前附表规定的提交首次响应文件截止时间前，对磋商文件进行澄清或者修改的内容，为磋商文件的组成部分。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10.3　磋商小组根据与供应商磋商情况可能实质性变动的内容，包括采购需求中的技术、商务要求以及合同草案条款，对磋商文件作出的实质性变动是磋商文件的有效组成部分。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10.4　供应商应仔细阅读磋商文件的全部内容，按照磋商文件要求编制响应文件。任何对磋商文件的忽略或误解不能作为响应文件存在缺陷或瑕疵的理由，其风险由供应商承担。</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11.磋商文件的澄清或者修改</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11.1　在磋商须知前附表规定的提交首次响应文件截止之日前，采购人、采购代理机构可以对已发出的磋商文件进行必要的澄清或者修改。</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11.2　澄清或者修改的内容可能影响响应文件编制的，采购人、采购代理机构应当在磋商须知前附表规定的提交首次响应文件截止之日2日前，以书面形式通知所有接收磋商文件的供应商，不足2日的，顺延供应商提交首次响应文件截止时间。</w:t>
      </w:r>
      <w:r>
        <w:rPr>
          <w:rFonts w:hint="eastAsia" w:asciiTheme="minorEastAsia" w:hAnsiTheme="minorEastAsia" w:eastAsiaTheme="minorEastAsia" w:cstheme="minorEastAsia"/>
          <w:b/>
          <w:color w:val="auto"/>
          <w:kern w:val="0"/>
          <w:sz w:val="21"/>
          <w:szCs w:val="21"/>
          <w:highlight w:val="none"/>
        </w:rPr>
        <w:t>【此项目为目录外标准下项目】</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12.偏离</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12.1　</w:t>
      </w:r>
      <w:r>
        <w:rPr>
          <w:rFonts w:hint="eastAsia" w:asciiTheme="minorEastAsia" w:hAnsiTheme="minorEastAsia" w:eastAsiaTheme="minorEastAsia" w:cstheme="minorEastAsia"/>
          <w:color w:val="auto"/>
          <w:sz w:val="21"/>
          <w:szCs w:val="21"/>
          <w:highlight w:val="none"/>
        </w:rPr>
        <w:t>本条所称偏离为响应文件对磋商文件的偏离，即完全响应磋商文件要求的为“无偏离”、不满足或不响应磋商文件要求的为“负偏离”、优于磋商文件要求的为“正偏离”。</w:t>
      </w:r>
    </w:p>
    <w:p>
      <w:pPr>
        <w:pStyle w:val="20"/>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除法律、法规和规章规定外，采购文件中用“拒绝”“不接受”“无效”“不得”“必须”“应当”（仅限标注“★”）等文字规定或其他标注“★”符号的条款为实质性要求条款(即重要条款)，对其中任何一条不满足或不响应，在评审时将其视为无效响应。</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三、响应文件</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13.一般要求</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13.1　供应商应仔细阅读磋商文件的所有内容，按磋商文件的要求编制响应文件，并保证所提供的全部资料的真实性，以使其响应文件对磋商文件做出实质性的响应。</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13.2　供应商提交的响应文件及供应商与采购人或采购代理机构、磋商小组就有关磋商的所有来往函电必须使用中文。供应商可以提交其他语言的资料，但应附中文注释，在有差异时以中文为准。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13.3　除技术要求另有规定外，本文件所要求使用的计量单位均采用国家法定的度、量、衡标准单位计量。未列明时亦默认为我国法定计量单位。</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13.4　供应商应按磋商文件中提供的响应文件格式填写。</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13.5　磋商响应文件应采用书面形式，磋商文件中要求提供电子版的，必须按要求提供。</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14.响应文件的组成</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14.1　响应文件应包括但不限于下列内容：</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14.1.1　</w:t>
      </w:r>
      <w:r>
        <w:rPr>
          <w:rFonts w:hint="eastAsia" w:asciiTheme="minorEastAsia" w:hAnsiTheme="minorEastAsia" w:eastAsiaTheme="minorEastAsia" w:cstheme="minorEastAsia"/>
          <w:color w:val="auto"/>
          <w:sz w:val="21"/>
          <w:szCs w:val="21"/>
          <w:highlight w:val="none"/>
        </w:rPr>
        <w:t>价格及</w:t>
      </w:r>
      <w:r>
        <w:rPr>
          <w:rFonts w:hint="eastAsia" w:asciiTheme="minorEastAsia" w:hAnsiTheme="minorEastAsia" w:eastAsiaTheme="minorEastAsia" w:cstheme="minorEastAsia"/>
          <w:color w:val="auto"/>
          <w:kern w:val="0"/>
          <w:sz w:val="21"/>
          <w:szCs w:val="21"/>
          <w:highlight w:val="none"/>
        </w:rPr>
        <w:t>商务部分</w:t>
      </w:r>
      <w:r>
        <w:rPr>
          <w:rFonts w:hint="eastAsia" w:asciiTheme="minorEastAsia" w:hAnsiTheme="minorEastAsia" w:eastAsiaTheme="minorEastAsia" w:cstheme="minorEastAsia"/>
          <w:b/>
          <w:color w:val="auto"/>
          <w:kern w:val="0"/>
          <w:sz w:val="21"/>
          <w:szCs w:val="21"/>
          <w:highlight w:val="none"/>
        </w:rPr>
        <w:t>：</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磋商响应声明函（供应商代表是法定代表人的，应提供法定代表人身份证复印件；供应商代表不是法定代表人的，除提供供应商代表身份证复印件外，还应当提供法定代表人身份证复印件和授权委托书）（格式见第五章）</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★(2)报价一览表及分项价格表（格式见第五章）。</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★(3)商务条款偏离表（供应商</w:t>
      </w:r>
      <w:r>
        <w:rPr>
          <w:rFonts w:hint="eastAsia" w:asciiTheme="minorEastAsia" w:hAnsiTheme="minorEastAsia" w:eastAsiaTheme="minorEastAsia" w:cstheme="minorEastAsia"/>
          <w:color w:val="auto"/>
          <w:sz w:val="21"/>
          <w:szCs w:val="21"/>
          <w:highlight w:val="none"/>
        </w:rPr>
        <w:t>填报该表时，应按项目采购需求中的商务条款要求，结合自身参加响应情况对商务条款逐条响应，未逐条响应的视为响应无效）（格式见第五章</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★(4)磋商保证金缴纳证明（格式见第五章）。</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★(5)供应商符合资格条件的证明文件</w:t>
      </w:r>
      <w:r>
        <w:rPr>
          <w:rFonts w:hint="eastAsia" w:asciiTheme="minorEastAsia" w:hAnsiTheme="minorEastAsia" w:eastAsiaTheme="minorEastAsia" w:cstheme="minorEastAsia"/>
          <w:b/>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①供应商基本情况表（格式见第五章）； </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②供应商有效的新版“营业执照”或《事业单位法人证书》或其他依法成立组织的证明文件（必须具有，如能够在线查询的材料，请提供国家有关部门规定查询的网址链接，</w:t>
      </w:r>
      <w:r>
        <w:rPr>
          <w:rFonts w:hint="eastAsia" w:asciiTheme="minorEastAsia" w:hAnsiTheme="minorEastAsia" w:eastAsiaTheme="minorEastAsia" w:cstheme="minorEastAsia"/>
          <w:b/>
          <w:color w:val="auto"/>
          <w:kern w:val="0"/>
          <w:sz w:val="21"/>
          <w:szCs w:val="21"/>
          <w:highlight w:val="none"/>
        </w:rPr>
        <w:t>原件备查</w:t>
      </w:r>
      <w:r>
        <w:rPr>
          <w:rFonts w:hint="eastAsia" w:asciiTheme="minorEastAsia" w:hAnsiTheme="minorEastAsia" w:eastAsiaTheme="minorEastAsia" w:cstheme="minorEastAsia"/>
          <w:color w:val="auto"/>
          <w:kern w:val="0"/>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③供应商有效的税务登记证（必须具有，如能够在线查询的材料，请提供国家有关部门规定查询的网址链接，</w:t>
      </w:r>
      <w:r>
        <w:rPr>
          <w:rFonts w:hint="eastAsia" w:asciiTheme="minorEastAsia" w:hAnsiTheme="minorEastAsia" w:eastAsiaTheme="minorEastAsia" w:cstheme="minorEastAsia"/>
          <w:b/>
          <w:color w:val="auto"/>
          <w:kern w:val="0"/>
          <w:sz w:val="21"/>
          <w:szCs w:val="21"/>
          <w:highlight w:val="none"/>
        </w:rPr>
        <w:t>原件备查</w:t>
      </w:r>
      <w:r>
        <w:rPr>
          <w:rFonts w:hint="eastAsia" w:asciiTheme="minorEastAsia" w:hAnsiTheme="minorEastAsia" w:eastAsiaTheme="minorEastAsia" w:cstheme="minorEastAsia"/>
          <w:color w:val="auto"/>
          <w:kern w:val="0"/>
          <w:sz w:val="21"/>
          <w:szCs w:val="21"/>
          <w:highlight w:val="none"/>
        </w:rPr>
        <w:t xml:space="preserve">）；（若已经取得“三证合一”的可不提供）； </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④供应商参加本项目时上一年度的年度财务报告复印件（如供应商为参加本项目时当年新成立公司的，应提供于公司成立之日后的财务报表），</w:t>
      </w:r>
      <w:r>
        <w:rPr>
          <w:rFonts w:hint="eastAsia" w:asciiTheme="minorEastAsia" w:hAnsiTheme="minorEastAsia" w:eastAsiaTheme="minorEastAsia" w:cstheme="minorEastAsia"/>
          <w:b/>
          <w:color w:val="auto"/>
          <w:kern w:val="0"/>
          <w:sz w:val="21"/>
          <w:szCs w:val="21"/>
          <w:highlight w:val="none"/>
        </w:rPr>
        <w:t>原件备查</w:t>
      </w:r>
      <w:r>
        <w:rPr>
          <w:rFonts w:hint="eastAsia" w:asciiTheme="minorEastAsia" w:hAnsiTheme="minorEastAsia" w:eastAsiaTheme="minorEastAsia" w:cstheme="minorEastAsia"/>
          <w:color w:val="auto"/>
          <w:kern w:val="0"/>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⑤响应文件递交截止之日前半年内供应商连续三个月的依法纳税的依法缴纳税费或依法免缴税费的证明（复印件，</w:t>
      </w:r>
      <w:r>
        <w:rPr>
          <w:rFonts w:hint="eastAsia" w:asciiTheme="minorEastAsia" w:hAnsiTheme="minorEastAsia" w:eastAsiaTheme="minorEastAsia" w:cstheme="minorEastAsia"/>
          <w:b/>
          <w:color w:val="auto"/>
          <w:kern w:val="0"/>
          <w:sz w:val="21"/>
          <w:szCs w:val="21"/>
          <w:highlight w:val="none"/>
        </w:rPr>
        <w:t>原件备查</w:t>
      </w:r>
      <w:r>
        <w:rPr>
          <w:rFonts w:hint="eastAsia" w:asciiTheme="minorEastAsia" w:hAnsiTheme="minorEastAsia" w:eastAsiaTheme="minorEastAsia" w:cstheme="minorEastAsia"/>
          <w:color w:val="auto"/>
          <w:kern w:val="0"/>
          <w:sz w:val="21"/>
          <w:szCs w:val="21"/>
          <w:highlight w:val="none"/>
        </w:rPr>
        <w:t>）；供应商无纳税记录或为新成立公司，应提供由供应商所在地主管税务部门出具的《依法纳税或依法免税证明》（复印件，</w:t>
      </w:r>
      <w:r>
        <w:rPr>
          <w:rFonts w:hint="eastAsia" w:asciiTheme="minorEastAsia" w:hAnsiTheme="minorEastAsia" w:eastAsiaTheme="minorEastAsia" w:cstheme="minorEastAsia"/>
          <w:b/>
          <w:color w:val="auto"/>
          <w:kern w:val="0"/>
          <w:sz w:val="21"/>
          <w:szCs w:val="21"/>
          <w:highlight w:val="none"/>
        </w:rPr>
        <w:t>原件备查</w:t>
      </w:r>
      <w:r>
        <w:rPr>
          <w:rFonts w:hint="eastAsia" w:asciiTheme="minorEastAsia" w:hAnsiTheme="minorEastAsia" w:eastAsiaTheme="minorEastAsia" w:cstheme="minorEastAsia"/>
          <w:color w:val="auto"/>
          <w:kern w:val="0"/>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⑥响应文件递交截止之日前半年内供应商连续三个月的依法缴纳社保费的缴费凭证（复印件，</w:t>
      </w:r>
      <w:r>
        <w:rPr>
          <w:rFonts w:hint="eastAsia" w:asciiTheme="minorEastAsia" w:hAnsiTheme="minorEastAsia" w:eastAsiaTheme="minorEastAsia" w:cstheme="minorEastAsia"/>
          <w:b/>
          <w:color w:val="auto"/>
          <w:kern w:val="0"/>
          <w:sz w:val="21"/>
          <w:szCs w:val="21"/>
          <w:highlight w:val="none"/>
        </w:rPr>
        <w:t>原件备查</w:t>
      </w:r>
      <w:r>
        <w:rPr>
          <w:rFonts w:hint="eastAsia" w:asciiTheme="minorEastAsia" w:hAnsiTheme="minorEastAsia" w:eastAsiaTheme="minorEastAsia" w:cstheme="minorEastAsia"/>
          <w:color w:val="auto"/>
          <w:kern w:val="0"/>
          <w:sz w:val="21"/>
          <w:szCs w:val="21"/>
          <w:highlight w:val="none"/>
        </w:rPr>
        <w:t>）；供应商无缴费记录或为新成立公司，应提供由供应商所在地社保部门或税务部门出具的《依法缴纳或依法免缴社保费证明》（复印件，</w:t>
      </w:r>
      <w:r>
        <w:rPr>
          <w:rFonts w:hint="eastAsia" w:asciiTheme="minorEastAsia" w:hAnsiTheme="minorEastAsia" w:eastAsiaTheme="minorEastAsia" w:cstheme="minorEastAsia"/>
          <w:b/>
          <w:color w:val="auto"/>
          <w:kern w:val="0"/>
          <w:sz w:val="21"/>
          <w:szCs w:val="21"/>
          <w:highlight w:val="none"/>
        </w:rPr>
        <w:t>原件备查</w:t>
      </w:r>
      <w:r>
        <w:rPr>
          <w:rFonts w:hint="eastAsia" w:asciiTheme="minorEastAsia" w:hAnsiTheme="minorEastAsia" w:eastAsiaTheme="minorEastAsia" w:cstheme="minorEastAsia"/>
          <w:color w:val="auto"/>
          <w:kern w:val="0"/>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⑦供应商参加采购活动前三年内在经营活动中没有重大违法记录的书面声明(格式见第五章)； </w:t>
      </w:r>
    </w:p>
    <w:p>
      <w:pPr>
        <w:pStyle w:val="20"/>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⑧特定资格条件：详见磋商须知前附表；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（6）磋商须知前附表要求供应商须提供的其他资料。</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（7）供应商认为需提供的其他资料。</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14.1.2　技术部分：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★(1)服务方案、实施方案及技术方案（格式自拟）。</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★(2)技术响应与偏离表（供应商</w:t>
      </w:r>
      <w:r>
        <w:rPr>
          <w:rFonts w:hint="eastAsia" w:asciiTheme="minorEastAsia" w:hAnsiTheme="minorEastAsia" w:eastAsiaTheme="minorEastAsia" w:cstheme="minorEastAsia"/>
          <w:color w:val="auto"/>
          <w:sz w:val="21"/>
          <w:szCs w:val="21"/>
          <w:highlight w:val="none"/>
        </w:rPr>
        <w:t>填报该表时，应按项目采购需求中的技术条款要求，结合自身参加响应情况对技术条款逐条响应，未逐条响应的视为响应无效）（格式见第五章</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(3)售后服务承诺。</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(4)用于本项目人员简历表。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(5)磋商标的物符合磋商文件要求的相关证明文件。</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(6)其他资料。</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14.2　本项目是否要求提供样品的见磋商须知前附表。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14.3　磋商须知前附表规定供应商在磋商时提供样品的，供应商有以下情形之一的，在磋商时将其视为无效响应文件。</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(1)未在磋商须知前附表规定的提交时间、地点提交的；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(2)供应商提供的样品与响应文件中型号、规格不一致的。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14.4　在磋商过程中，供应商根据磋商小组书面形式要求提交的最后报价(或者重新提交的响应文件和最后报价)是响应文件的有效组成部分。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14.5　磋商文件规定可能发生实质性变动的，供应商应当在《技术/商务响应与偏离表》中的对应内容处注明。</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14.6　供应商无论成交与否，其响应文件不予退还。</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15.报价</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15.1　供应商应按磋商文件规定的供货及服务要求、责任范围和合同条件，以人民币进行报价。</w:t>
      </w:r>
      <w:r>
        <w:rPr>
          <w:rFonts w:hint="eastAsia" w:asciiTheme="minorEastAsia" w:hAnsiTheme="minorEastAsia" w:eastAsiaTheme="minorEastAsia" w:cstheme="minorEastAsia"/>
          <w:color w:val="auto"/>
          <w:sz w:val="21"/>
          <w:szCs w:val="21"/>
          <w:highlight w:val="none"/>
        </w:rPr>
        <w:t>报价应为完税价。</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15.2　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15.3供应商</w:t>
      </w:r>
      <w:r>
        <w:rPr>
          <w:rFonts w:hint="eastAsia" w:asciiTheme="minorEastAsia" w:hAnsiTheme="minorEastAsia" w:eastAsiaTheme="minorEastAsia" w:cstheme="minorEastAsia"/>
          <w:color w:val="auto"/>
          <w:sz w:val="21"/>
          <w:szCs w:val="21"/>
          <w:highlight w:val="none"/>
        </w:rPr>
        <w:t>对每种货物及服务只允许有一个报价，不接受可变动性报价、赠送及“零”报价，否则，在评审时将其视为无效磋商</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15.4　项目有特殊要求的见磋商须知前附表。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16.磋商保证金</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16.1　本项目是否交纳磋商保证金要求见磋商须知前附表。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16.2　磋商须知前附表规定交纳磋商保证金的，供应商应以转账、汇款或者金融机构、担保机构出具的保函等非现金形式，在磋商须知前附表规定的提交首次响应文件截止时间前，向采购人或采购代理机构</w:t>
      </w:r>
      <w:r>
        <w:rPr>
          <w:rFonts w:hint="eastAsia" w:asciiTheme="minorEastAsia" w:hAnsiTheme="minorEastAsia" w:eastAsiaTheme="minorEastAsia" w:cstheme="minorEastAsia"/>
          <w:color w:val="auto"/>
          <w:sz w:val="21"/>
          <w:szCs w:val="21"/>
          <w:highlight w:val="none"/>
        </w:rPr>
        <w:t>足额</w:t>
      </w:r>
      <w:r>
        <w:rPr>
          <w:rFonts w:hint="eastAsia" w:asciiTheme="minorEastAsia" w:hAnsiTheme="minorEastAsia" w:eastAsiaTheme="minorEastAsia" w:cstheme="minorEastAsia"/>
          <w:color w:val="auto"/>
          <w:kern w:val="0"/>
          <w:sz w:val="21"/>
          <w:szCs w:val="21"/>
          <w:highlight w:val="none"/>
        </w:rPr>
        <w:t>提交磋商须知前附表规定的磋商保证金。磋商保证金有效期应当与本章磋商须知前附表规定的磋商响应有效期一致。未按磋商文件规定提交保证金的，采购人或采购代理机构应当拒绝接收供应商的响应文件。</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16.3　供应商为联合体的，可以由联合体中的一方或者共同交纳保证金，其交纳的保证金，对联合体各方均具有约束力。</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16.4　未成交供应商的保证金，在成交通知书发出后5个工作日内退还；成交供应商的保证金，在采购合同签订后5个工作日内退还，但因供应商自身原因导致无法及时退还的除外。</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16.5　有下列情形之一的，保证金不予退还：</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(1)供应商在磋商须知前附表规定的提交首次响应文件截止时间后撤回响应文件的；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(2)供应商在响应文件中提供虚假材料的；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(3)除因不可抗力或磋商文件认可的情形以外，成交供应商不与采购人签订合同的；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(4)供应商与采购人、其他供应商或者采购代理机构恶意串通的；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(5)磋商文件规定的其他情形。</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17.磋商响应有效期</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17.1　磋商响应有效期见磋商须知前附表，在此期间响应文件对供应商具有法律约束力。响应文件有效期从磋商须知前附表规定的提交首次响应文件截止时间之日起计算。磋商响应有效期不足的将被视为无效响应。</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18.响应文件的签署及规定</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18.1　供应商应根据磋商须知前附表规定提交响应文件。纸质文件的正本和副本应装订成册。正本和副本的封面上应标记“正本”或“副本”的字样，当正本和副本有差异时，以正本为准。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18.2　响应文件正本和副本应用不褪色的材料打印或书写，并按磋商文件要求在签字盖章处加盖公章和由法定代表人或其授权代表签字。响应文件中的任何加行、涂改、增删，应加盖单位公章或由法定代表人或其授权代表签字确认。否则，将导致响应文件无效。</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18.3　在磋商过程中，供应商按磋商文件规定和磋商小组要求重新提交的响应文件和最后报价，应打印或用不褪色墨水书写，并由法定代表人或其授权代表签字。否则，将导致响应文件无效。</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19.响应文件的密封和标记</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19.1　响应文件的的密封、标记详见磋商须知前附表。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19.1　响应文件如果未按上述规定密封和标记，采购人或采购代理机构应当拒绝接收。</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20.响应文件的递交</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20.1　响应文件应在磋商须知前附表规定的提交时间和指定地点提交。</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20.2　在截止时间后送达的响应文件为无效文件，采购人、采购代理机构或磋商小组应当拒收。</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21.响应文件的补充、修改或者撤回</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21.1　供应商在磋商须知前附表规定的提交首次响应文件截止时间前，可以对所提交的首次响应文件进行补充、修改或者撤回，并书面通知采购人或采购代理机构。该通知应有供应商法定代表人或其授权代表签字。</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21.2　补充、修改的内容与响应文件不一致时，以补充、修改的内容为准。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四、磋商与评审</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22.磋商小组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22.1　磋商与评审由依法组建的磋商小组负责，磋商小组由采购人代表和评审专家组成。</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23.初步审查</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(1)供应商未按照磋商文件规定提交磋商保证金的；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(2)未按照磋商文件规定要求密封、签署、盖章的；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(3)响应有效期不足的；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(4)供应商不满足磋商文件供应商资格条件或未按照磋商文件规定提供资格证明材料的；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(5)响应文件不满足磋商文件实质性条款的。响应文件是否实质性响应磋商文件，由磋商小组依据磋商文件规定、供应商响应文件及磋商情况认定；</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(6)供应商存在失信记录的：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失信记录是指，通过“信用中国”网站(www.creditchina.gov.cn)、中国政府采购网(www.ccgp.gov.cn)查询相关主体信用记录，列入失信被执行人、重大税收违法失信主体、政府采购严重违法失信行为记录名单及其他不符合供应商资格条件第1项条款的情况。失信情况查询详见磋商须知前附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(7)其他不符合法律、规章、规范性文件和磋商文件规定的。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24.澄清</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24.1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25.磋商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25.1　初审结束后，磋商小组所有成员集中与单一供应商分别进行磋商，并给予所有参加磋商的供应商平等的磋商机会。供应商应派其法定代表人或授权代表参加磋商。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25.2　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25.3　对磋商文件作出的实质性变动是磋商文件的有效组成部分，磋商小组应当及时以书面形式同时通知所有参加磋商的供应商。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25.5　磋商小组应当根据实际情况与供应商进行磋商，并确定磋商的轮次。</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25.6　已提交响应文件的供应商，在提交最后报价之前，可以根据磋商情况退出磋商。采购人或采购代理机构应当退还退出磋商的供应商的磋商保证金。</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25.7　磋商结束后，供应商按照磋商小组要求重新提交的响应文件，不满足磋商文件及变动后的技术、服务要求以及合同草案条款的实质性要求的，将视为无效响应文件。</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26.最后报价</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26.1　磋商结束后，磋商小组应当要求所有实质性响应的供应商在规定时间内提交最后报价，提交最后报价的供应商原则上不得少于3家。</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26.2　磋商文件不能详细列明采购标的技术、服务要求，需经磋商由供应商提供最终设计方案或解决方案的，磋商结束后，磋商小组应当按照少数服从多数的原则投票推荐原则上3家以上供应商的设计方案或者解决方案，并要求其在规定时间内提交最后报价。</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26.3　最后报价是供应商响应文件的有效组成部分。如磋商小组没有对磋商文件作实质性变动或增加新的需求，最后报价不得高于首轮报价。</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27.最后报价评审</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27.1　最后报价计算错误修正的原则</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(1)最后报价的大写金额和小写金额不一致的，以大写金额为准。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(2)总价金额与按分项报价汇总金额不一致的，以分项报价金额计算结果为准。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(3)分项报价金额小数点有明显错位的，应以总价为准，并修改分项报价。</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(4)如果供应商不接受对其错误的更正，其最后报价将被视为无效报价或确定为无效响应。</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27.2　价格得分：以供应商的最后报价作为价格评分依据。供应商的评审价为按上述条款修正后的价格。</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价格评分统一采用低价优先法计算，即满足磋商文件要求且价格最低的评审价为评审基准价，其价格分为满分。其他供应商的价格分统一按照下列公式计算：</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价格评分＝(评审基准价/评审价)×价格分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28.综合评审</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28.1　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28.2　评审办法及标准见第三章。</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28.3　评审时，磋商小组成员应当独立对每个有效响应的文件进行评价、打分，然后汇总每个供应商每项评分因素的得分。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29.提出成交供应商</w:t>
      </w:r>
    </w:p>
    <w:p>
      <w:pPr>
        <w:keepNext w:val="0"/>
        <w:keepLines w:val="0"/>
        <w:pageBreakBefore w:val="0"/>
        <w:kinsoku/>
        <w:wordWrap/>
        <w:overflowPunct/>
        <w:topLinePunct w:val="0"/>
        <w:autoSpaceDE/>
        <w:autoSpaceDN/>
        <w:bidi w:val="0"/>
        <w:adjustRightInd/>
        <w:snapToGrid/>
        <w:spacing w:line="400" w:lineRule="exact"/>
        <w:ind w:left="420" w:leftChars="20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29.1　磋商小组应当按照综合评分由高到低的顺序提出3名及以上成交候选供应商，并编写评审报告。29.2　评审得分相同的，按照最后报价由低到高的顺序推荐。评审得分且最后报价相同的，按照技术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指标优劣顺序推荐。</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30.确定成交供应商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30.1　采购代理机构应当在评审结束之日起2个工作日内将评审报告送采购人确认。</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30.2　采购人应当在收到评审报告之日起5个工作日内，从评审报告提出的成交候选供应商中，按照排序由高到低的原则确定成交供应商，也可以书面授权磋商小组直接确定成交供应商。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30.3　采购人自行组织磋商的，应当在评审结束之日起5个工作日内确定成交供应商。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31.磋商终止</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31.1　出现下列情形之一的，采购人或者采购代理机构应当终止磋商采购活动，在指定的媒体上发布项目终止公告并说明原因，重新开展采购活动：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(1)因情况变化，不再符合规定的磋商采购方式适用情形的；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(2)出现影响采购公正的违法、违规行为的；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(3)采购过程中符合竞争要求的供应商或者报价未超过采购预算的供应商不足3家的，或者提交最后报价的供应商少于3家的；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(4)因重大变故，采购任务取消的。</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32.重新评审</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32.1　除资格性检查认定错误、分值汇总计算错误、分项评分超出评分标准范围、客观分评分不一致、经磋商小组一致认定评分畸高、畸低的情形外，采购人或者采购代理机构不得以任何理由组织重新评审。</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33.保密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33.1　磋商小组成员以及与评审工作有关的人员不得泄露评审情况以及评审过程中获悉的国家秘密、商业秘密。</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34.禁止行为</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34.1　供应商不得与采购人、采购代理机构、其他供应商恶意串通；不得向采购人、采购代理机构或者磋商小组成员行贿或者提供其他不正当利益；不得提供虚假材料谋取成交；不得以任何方式干扰、影响采购工作。供应商违反法律法规、磋商文件相关规定的，依法追究法律责任。</w:t>
      </w:r>
    </w:p>
    <w:p>
      <w:pPr>
        <w:pStyle w:val="20"/>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34.2  供应商应当遵循公平竞争的原则，不得恶意串通，不得妨碍其他供应商的竞争行为，不得损害采购人或者其他供应商的合法权益。</w:t>
      </w:r>
    </w:p>
    <w:p>
      <w:pPr>
        <w:pStyle w:val="20"/>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有下列情形之一的，视为供应商串通响应，其响应无效：</w:t>
      </w:r>
    </w:p>
    <w:p>
      <w:pPr>
        <w:pStyle w:val="20"/>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(1)不同供应商的响应文件由同一单位或者个人编制；</w:t>
      </w:r>
    </w:p>
    <w:p>
      <w:pPr>
        <w:pStyle w:val="20"/>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(2)不同供应商委托同一单位或者个人办理磋商活动事宜；</w:t>
      </w:r>
    </w:p>
    <w:p>
      <w:pPr>
        <w:pStyle w:val="20"/>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(3)不同供应商的响应文件载明的项目管理成员或者联系人员为同一人；</w:t>
      </w:r>
    </w:p>
    <w:p>
      <w:pPr>
        <w:pStyle w:val="20"/>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(4)不同供应商的响应文件异常一致或者报价呈规律性差异；</w:t>
      </w:r>
    </w:p>
    <w:p>
      <w:pPr>
        <w:pStyle w:val="20"/>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(5)不同供应商的响应文件相互混装；</w:t>
      </w:r>
    </w:p>
    <w:p>
      <w:pPr>
        <w:pStyle w:val="20"/>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(6)不同供应商的磋商保证金从同一单位或者个人的账户转出。</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五、成交结果信息公布与签订合同</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35.成交信息的公布</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35.1　成交供应商确定之日起2个工作日内，采购人或者采购代理机构应在磋商须知前附表中规定的公告媒体上公布成交结果信息。</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35.2　磋商文件随成交结果同时公告。但成交结果公告前磋商文件已公告的，不再重复公告。</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35.3　采用书面推荐供应商参加采购活动的，在公告结果同时公告采购人和评审专家的推荐意见。</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36.成交通知</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36.1　成交供应商确定后，采购人或采购代理机构在发布成交公告的同时以书面形式向成交供应商发出成交通知书。成交通知书对采购人和成交供应商具有同等法律效力。</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37.履约保证金</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37.1　成交供应商按照磋商须知前附表的规定，在签订采购合同前，向采购人提交履约保证金。联合体成交的，履约保证金以联合体各方或联合体中牵头人的名义提交。</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37.2　成交供应商没有按照磋商须知前附表的规定提交履约保证金的，视为放弃成交资格，其磋商保证金不予退还。</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38.签订合同</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38.1　磋商文件、成交供应商的响应文件及补充文件等均为签订采购合同的依据。</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38.2　成交供应商应当在成交通知书发出之日起30日内与采购人签订采购合同。</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38.3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38.4  成交供应商因不可抗力或者拒绝签订采购合同的，采购人可以与成交供应商之后排名 </w:t>
      </w:r>
    </w:p>
    <w:p>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第一的成交候选供应商签订采购合同，以此类推。采购人也可以重新开展采购活动。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六、其他规定</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39.采购代理服务费</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39.1　成交供应商是否交纳采购代理服务费及相关要求见磋商须知前附表。</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40.询问、质疑、投诉</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40.1　供应商对采购活动事项有疑问的，可以向采购人或采购代理机构提出询问，采购人或 采购代理机构应当及时作出答复，但答复的内容不得涉及商业秘密。</w:t>
      </w:r>
    </w:p>
    <w:p>
      <w:pPr>
        <w:pStyle w:val="20"/>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40.2　供应商认为磋商文件、磋商过程和成交结果使自己的权益受到损害的，可以在知道或者应知其权益受到损害之日起7个工作日内，以书面形式向采购人或采购代理机构提出质疑。供应商应在法定质疑期内一次性提出针对同一采购程序环节的质疑。</w:t>
      </w:r>
    </w:p>
    <w:p>
      <w:pPr>
        <w:pStyle w:val="20"/>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40.3  文件解释权</w:t>
      </w:r>
    </w:p>
    <w:p>
      <w:pPr>
        <w:pStyle w:val="20"/>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41.1　本磋商文件的解释权归采购人(或采购代理机构)所有。</w:t>
      </w:r>
    </w:p>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Theme="minorEastAsia" w:hAnsiTheme="minorEastAsia" w:eastAsiaTheme="minorEastAsia" w:cstheme="minorEastAsia"/>
          <w:b/>
          <w:color w:val="auto"/>
          <w:sz w:val="21"/>
          <w:szCs w:val="21"/>
          <w:highlight w:val="none"/>
        </w:rPr>
      </w:pPr>
      <w:bookmarkStart w:id="63" w:name="_Toc22872"/>
    </w:p>
    <w:p>
      <w:pPr>
        <w:spacing w:line="400" w:lineRule="exact"/>
        <w:jc w:val="center"/>
        <w:rPr>
          <w:rFonts w:hint="eastAsia" w:asciiTheme="minorEastAsia" w:hAnsiTheme="minorEastAsia" w:eastAsiaTheme="minorEastAsia" w:cstheme="minorEastAsia"/>
          <w:b/>
          <w:color w:val="auto"/>
          <w:sz w:val="28"/>
          <w:szCs w:val="28"/>
          <w:highlight w:val="none"/>
        </w:rPr>
      </w:pPr>
    </w:p>
    <w:p>
      <w:pPr>
        <w:pStyle w:val="2"/>
        <w:rPr>
          <w:rFonts w:hint="eastAsia" w:asciiTheme="minorEastAsia" w:hAnsiTheme="minorEastAsia" w:eastAsiaTheme="minorEastAsia" w:cstheme="minorEastAsia"/>
          <w:b/>
          <w:color w:val="auto"/>
          <w:sz w:val="28"/>
          <w:szCs w:val="28"/>
          <w:highlight w:val="none"/>
        </w:rPr>
      </w:pPr>
    </w:p>
    <w:p>
      <w:pPr>
        <w:rPr>
          <w:rFonts w:hint="eastAsia" w:asciiTheme="minorEastAsia" w:hAnsiTheme="minorEastAsia" w:eastAsiaTheme="minorEastAsia" w:cstheme="minorEastAsia"/>
          <w:b/>
          <w:color w:val="auto"/>
          <w:sz w:val="28"/>
          <w:szCs w:val="28"/>
          <w:highlight w:val="none"/>
        </w:rPr>
      </w:pPr>
    </w:p>
    <w:p>
      <w:pPr>
        <w:pStyle w:val="2"/>
        <w:rPr>
          <w:rFonts w:hint="eastAsia" w:asciiTheme="minorEastAsia" w:hAnsiTheme="minorEastAsia" w:eastAsiaTheme="minorEastAsia" w:cstheme="minorEastAsia"/>
          <w:b/>
          <w:color w:val="auto"/>
          <w:sz w:val="28"/>
          <w:szCs w:val="28"/>
          <w:highlight w:val="none"/>
        </w:rPr>
      </w:pPr>
    </w:p>
    <w:p>
      <w:pPr>
        <w:rPr>
          <w:rFonts w:hint="eastAsia"/>
          <w:color w:val="auto"/>
          <w:highlight w:val="none"/>
        </w:rPr>
      </w:pPr>
    </w:p>
    <w:p>
      <w:pPr>
        <w:spacing w:line="400" w:lineRule="exact"/>
        <w:jc w:val="center"/>
        <w:rPr>
          <w:rFonts w:hint="eastAsia" w:asciiTheme="minorEastAsia" w:hAnsiTheme="minorEastAsia" w:eastAsiaTheme="minorEastAsia" w:cstheme="minorEastAsia"/>
          <w:b/>
          <w:color w:val="auto"/>
          <w:sz w:val="28"/>
          <w:szCs w:val="28"/>
          <w:highlight w:val="none"/>
        </w:rPr>
      </w:pPr>
    </w:p>
    <w:p>
      <w:pPr>
        <w:spacing w:line="40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第三章 评审方法及标准</w:t>
      </w:r>
      <w:bookmarkEnd w:id="63"/>
    </w:p>
    <w:p>
      <w:pPr>
        <w:pStyle w:val="20"/>
        <w:spacing w:line="360" w:lineRule="auto"/>
        <w:ind w:firstLine="434" w:firstLineChars="216"/>
        <w:rPr>
          <w:rFonts w:asciiTheme="minorEastAsia" w:hAnsiTheme="minorEastAsia" w:eastAsiaTheme="minorEastAsia" w:cstheme="minorEastAsia"/>
          <w:b/>
          <w:color w:val="auto"/>
          <w:highlight w:val="none"/>
        </w:rPr>
      </w:pPr>
    </w:p>
    <w:p>
      <w:pPr>
        <w:pStyle w:val="20"/>
        <w:keepNext w:val="0"/>
        <w:keepLines w:val="0"/>
        <w:pageBreakBefore w:val="0"/>
        <w:widowControl w:val="0"/>
        <w:kinsoku/>
        <w:wordWrap/>
        <w:overflowPunct/>
        <w:topLinePunct w:val="0"/>
        <w:autoSpaceDE/>
        <w:autoSpaceDN/>
        <w:bidi w:val="0"/>
        <w:adjustRightInd/>
        <w:snapToGrid/>
        <w:spacing w:line="440" w:lineRule="exact"/>
        <w:ind w:firstLine="455" w:firstLineChars="216"/>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一、评审原则（采用综合评分法）</w:t>
      </w:r>
    </w:p>
    <w:p>
      <w:pPr>
        <w:pStyle w:val="20"/>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（一）磋商小组构成：本项目的磋商小组分别由采购人代表和评审专家共3人组成，其中评审专家人数不得少于磋商小组成员总数的三分之二。</w:t>
      </w:r>
    </w:p>
    <w:p>
      <w:pPr>
        <w:pStyle w:val="20"/>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（二）评审依据：磋商小组将以磋商文件、响应文件、应答文件为评审依据，对供应商的报价、履约能力、技术或者服务水平等方面内容按百分制打分。</w:t>
      </w:r>
    </w:p>
    <w:p>
      <w:pPr>
        <w:pStyle w:val="20"/>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（三）评审方式：以封闭方式进行。</w:t>
      </w:r>
    </w:p>
    <w:p>
      <w:pPr>
        <w:pStyle w:val="20"/>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二、评审方法</w:t>
      </w:r>
    </w:p>
    <w:p>
      <w:pPr>
        <w:pStyle w:val="20"/>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（一）磋商小组依法对供应商的资格和符合性进行审查，通过资格和符合性审查的供应商才能进入详评。</w:t>
      </w:r>
    </w:p>
    <w:p>
      <w:pPr>
        <w:pStyle w:val="20"/>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（二）对进入详评的，采用百分制综合评分法。</w:t>
      </w:r>
    </w:p>
    <w:p>
      <w:pPr>
        <w:pStyle w:val="20"/>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（三）计分办法（按四舍五入取至百分位）</w:t>
      </w:r>
    </w:p>
    <w:tbl>
      <w:tblPr>
        <w:tblStyle w:val="4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115"/>
        <w:gridCol w:w="618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8" w:type="dxa"/>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类别</w:t>
            </w:r>
          </w:p>
        </w:tc>
        <w:tc>
          <w:tcPr>
            <w:tcW w:w="1115" w:type="dxa"/>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评审因素</w:t>
            </w:r>
          </w:p>
        </w:tc>
        <w:tc>
          <w:tcPr>
            <w:tcW w:w="6187" w:type="dxa"/>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考核内容</w:t>
            </w:r>
          </w:p>
        </w:tc>
        <w:tc>
          <w:tcPr>
            <w:tcW w:w="781" w:type="dxa"/>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w:t>
            </w:r>
          </w:p>
          <w:p>
            <w:pPr>
              <w:pStyle w:val="2"/>
              <w:pageBreakBefore w:val="0"/>
              <w:kinsoku/>
              <w:wordWrap/>
              <w:overflowPunct/>
              <w:topLinePunct w:val="0"/>
              <w:bidi w:val="0"/>
              <w:spacing w:after="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（满分</w:t>
            </w:r>
            <w:r>
              <w:rPr>
                <w:rFonts w:hint="eastAsia" w:asciiTheme="minorEastAsia" w:hAnsiTheme="minorEastAsia" w:eastAsiaTheme="minorEastAsia" w:cstheme="minorEastAsia"/>
                <w:color w:val="auto"/>
                <w:kern w:val="0"/>
                <w:sz w:val="21"/>
                <w:szCs w:val="21"/>
                <w:highlight w:val="none"/>
                <w:lang w:val="en-US" w:eastAsia="zh-CN"/>
              </w:rPr>
              <w:t>40</w:t>
            </w:r>
            <w:r>
              <w:rPr>
                <w:rFonts w:hint="eastAsia" w:asciiTheme="minorEastAsia" w:hAnsiTheme="minorEastAsia" w:eastAsiaTheme="minorEastAsia" w:cstheme="minorEastAsia"/>
                <w:color w:val="auto"/>
                <w:kern w:val="0"/>
                <w:sz w:val="21"/>
                <w:szCs w:val="21"/>
                <w:highlight w:val="none"/>
              </w:rPr>
              <w:t>分）</w:t>
            </w:r>
          </w:p>
        </w:tc>
        <w:tc>
          <w:tcPr>
            <w:tcW w:w="1115" w:type="dxa"/>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响应报价</w:t>
            </w:r>
          </w:p>
          <w:p>
            <w:pPr>
              <w:pStyle w:val="2"/>
              <w:pageBreakBefore w:val="0"/>
              <w:kinsoku/>
              <w:wordWrap/>
              <w:overflowPunct/>
              <w:topLinePunct w:val="0"/>
              <w:bidi w:val="0"/>
              <w:spacing w:after="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（满分</w:t>
            </w:r>
            <w:r>
              <w:rPr>
                <w:rFonts w:hint="eastAsia" w:asciiTheme="minorEastAsia" w:hAnsiTheme="minorEastAsia" w:eastAsiaTheme="minorEastAsia" w:cstheme="minorEastAsia"/>
                <w:color w:val="auto"/>
                <w:kern w:val="0"/>
                <w:sz w:val="21"/>
                <w:szCs w:val="21"/>
                <w:highlight w:val="none"/>
                <w:lang w:val="en-US" w:eastAsia="zh-CN"/>
              </w:rPr>
              <w:t>40</w:t>
            </w:r>
            <w:r>
              <w:rPr>
                <w:rFonts w:hint="eastAsia" w:asciiTheme="minorEastAsia" w:hAnsiTheme="minorEastAsia" w:eastAsiaTheme="minorEastAsia" w:cstheme="minorEastAsia"/>
                <w:color w:val="auto"/>
                <w:kern w:val="0"/>
                <w:sz w:val="21"/>
                <w:szCs w:val="21"/>
                <w:highlight w:val="none"/>
              </w:rPr>
              <w:t>分）</w:t>
            </w:r>
          </w:p>
        </w:tc>
        <w:tc>
          <w:tcPr>
            <w:tcW w:w="6187" w:type="dxa"/>
          </w:tcPr>
          <w:p>
            <w:pPr>
              <w:pageBreakBefore w:val="0"/>
              <w:widowControl/>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评审价为供应商的最后报价进行政策性扣除后的价格，评审价只是作为评审时使用。最终成交供应商的成交金额等于最后报价（如有修正，以确认修正后的最后报价为准）。</w:t>
            </w:r>
          </w:p>
          <w:p>
            <w:pPr>
              <w:pageBreakBefore w:val="0"/>
              <w:widowControl/>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政策性扣除计算方法</w:t>
            </w:r>
            <w:r>
              <w:rPr>
                <w:rFonts w:hint="eastAsia" w:asciiTheme="minorEastAsia" w:hAnsiTheme="minorEastAsia" w:eastAsiaTheme="minorEastAsia" w:cstheme="minorEastAsia"/>
                <w:color w:val="auto"/>
                <w:sz w:val="21"/>
                <w:szCs w:val="21"/>
                <w:highlight w:val="none"/>
                <w:lang w:eastAsia="zh-CN"/>
              </w:rPr>
              <w:t>：</w:t>
            </w:r>
          </w:p>
          <w:p>
            <w:pPr>
              <w:pageBreakBefore w:val="0"/>
              <w:widowControl/>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对小型企业、微型企业、监狱企业以及残疾人福利性单位，在评审时按</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须知前附表的规定对其</w:t>
            </w:r>
            <w:r>
              <w:rPr>
                <w:rFonts w:hint="eastAsia" w:asciiTheme="minorEastAsia" w:hAnsiTheme="minorEastAsia" w:eastAsiaTheme="minorEastAsia" w:cstheme="minorEastAsia"/>
                <w:color w:val="auto"/>
                <w:sz w:val="21"/>
                <w:szCs w:val="21"/>
                <w:highlight w:val="none"/>
                <w:lang w:val="en-US" w:eastAsia="zh-CN"/>
              </w:rPr>
              <w:t>最后报价</w:t>
            </w:r>
            <w:r>
              <w:rPr>
                <w:rFonts w:hint="eastAsia" w:asciiTheme="minorEastAsia" w:hAnsiTheme="minorEastAsia" w:eastAsiaTheme="minorEastAsia" w:cstheme="minorEastAsia"/>
                <w:color w:val="auto"/>
                <w:sz w:val="21"/>
                <w:szCs w:val="21"/>
                <w:highlight w:val="none"/>
              </w:rPr>
              <w:t>给予价格扣除。小微企业须在</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文件中提供《中小企业声明函》(格式见“第五章　</w:t>
            </w:r>
            <w:r>
              <w:rPr>
                <w:rFonts w:hint="eastAsia" w:asciiTheme="minorEastAsia" w:hAnsiTheme="minorEastAsia" w:eastAsiaTheme="minorEastAsia" w:cstheme="minorEastAsia"/>
                <w:color w:val="auto"/>
                <w:sz w:val="21"/>
                <w:szCs w:val="21"/>
                <w:highlight w:val="none"/>
                <w:lang w:val="en-US" w:eastAsia="zh-CN"/>
              </w:rPr>
              <w:t>响应文件组成</w:t>
            </w:r>
            <w:r>
              <w:rPr>
                <w:rFonts w:hint="eastAsia" w:asciiTheme="minorEastAsia" w:hAnsiTheme="minorEastAsia" w:eastAsiaTheme="minorEastAsia" w:cstheme="minorEastAsia"/>
                <w:color w:val="auto"/>
                <w:sz w:val="21"/>
                <w:szCs w:val="21"/>
                <w:highlight w:val="none"/>
              </w:rPr>
              <w:t>”)，监狱企业在</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文件中应当提供由省级以上监狱管理局、戒毒管理局（含新疆生产建设兵团）出具的属于监狱企业的证明文件，残疾人福利性单位在</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文件中应当提供《残疾人福利性单位声明函》(格式见“第五章　</w:t>
            </w:r>
            <w:r>
              <w:rPr>
                <w:rFonts w:hint="eastAsia" w:asciiTheme="minorEastAsia" w:hAnsiTheme="minorEastAsia" w:eastAsiaTheme="minorEastAsia" w:cstheme="minorEastAsia"/>
                <w:color w:val="auto"/>
                <w:sz w:val="21"/>
                <w:szCs w:val="21"/>
                <w:highlight w:val="none"/>
                <w:lang w:val="en-US" w:eastAsia="zh-CN"/>
              </w:rPr>
              <w:t>响应文件组成</w:t>
            </w:r>
            <w:r>
              <w:rPr>
                <w:rFonts w:hint="eastAsia" w:asciiTheme="minorEastAsia" w:hAnsiTheme="minorEastAsia" w:eastAsiaTheme="minorEastAsia" w:cstheme="minorEastAsia"/>
                <w:color w:val="auto"/>
                <w:sz w:val="21"/>
                <w:szCs w:val="21"/>
                <w:highlight w:val="none"/>
              </w:rPr>
              <w:t>”)，否则在评审时将不给予价格扣除。（</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如能够在线查询的材料，请提供查询网址链接，可以不用同时提供纸质材料。）</w:t>
            </w:r>
          </w:p>
          <w:p>
            <w:pPr>
              <w:pageBreakBefore w:val="0"/>
              <w:widowControl/>
              <w:kinsoku/>
              <w:wordWrap/>
              <w:overflowPunct/>
              <w:topLinePunct w:val="0"/>
              <w:bidi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注：残疾人福利性单位属于小型、微型企业的，不重复享受政策。</w:t>
            </w:r>
          </w:p>
          <w:p>
            <w:pPr>
              <w:pageBreakBefore w:val="0"/>
              <w:widowControl/>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）政策性扣除计算方法。</w:t>
            </w:r>
          </w:p>
          <w:p>
            <w:pPr>
              <w:pageBreakBefore w:val="0"/>
              <w:widowControl/>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供应商被评定为监狱企业或者残疾人福利性单位或者小型和微型企业且其所</w:t>
            </w:r>
            <w:r>
              <w:rPr>
                <w:rFonts w:hint="eastAsia" w:asciiTheme="minorEastAsia" w:hAnsiTheme="minorEastAsia" w:eastAsiaTheme="minorEastAsia" w:cstheme="minorEastAsia"/>
                <w:color w:val="auto"/>
                <w:sz w:val="21"/>
                <w:szCs w:val="21"/>
                <w:highlight w:val="none"/>
                <w:lang w:eastAsia="zh-CN"/>
              </w:rPr>
              <w:t>提供的</w:t>
            </w:r>
            <w:r>
              <w:rPr>
                <w:rFonts w:hint="eastAsia" w:asciiTheme="minorEastAsia" w:hAnsiTheme="minorEastAsia" w:eastAsiaTheme="minorEastAsia" w:cstheme="minorEastAsia"/>
                <w:color w:val="auto"/>
                <w:sz w:val="21"/>
                <w:szCs w:val="21"/>
                <w:highlight w:val="none"/>
              </w:rPr>
              <w:t>全部产品为小型和微型企业产品的，该供应商的最后报价给予1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%的扣除，扣除后的价格为评审价，即评审价=最后报价×（1-1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%）；除上述情况外，评审价=最后报价。</w:t>
            </w:r>
          </w:p>
          <w:p>
            <w:pPr>
              <w:pageBreakBefore w:val="0"/>
              <w:widowControl/>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）除上述情况外，评审价＝最后报价。</w:t>
            </w:r>
          </w:p>
          <w:p>
            <w:pPr>
              <w:pageBreakBefore w:val="0"/>
              <w:widowControl/>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）满足采购文件要求且评审报价最低的评审报价为评审基准价，其价格分为满分。</w:t>
            </w:r>
          </w:p>
          <w:p>
            <w:pPr>
              <w:pageBreakBefore w:val="0"/>
              <w:widowControl/>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）价格分计算公式：</w:t>
            </w:r>
          </w:p>
          <w:p>
            <w:pPr>
              <w:pageBreakBefore w:val="0"/>
              <w:widowControl/>
              <w:kinsoku/>
              <w:wordWrap/>
              <w:overflowPunct/>
              <w:topLinePunct w:val="0"/>
              <w:bidi w:val="0"/>
              <w:spacing w:line="400" w:lineRule="exact"/>
              <w:ind w:firstLine="420" w:firstLineChars="200"/>
              <w:jc w:val="both"/>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color w:val="auto"/>
                <w:sz w:val="21"/>
                <w:szCs w:val="21"/>
                <w:highlight w:val="none"/>
              </w:rPr>
              <w:t>价格分=(评审基准价／评审报价)×</w:t>
            </w: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分</w:t>
            </w:r>
          </w:p>
        </w:tc>
        <w:tc>
          <w:tcPr>
            <w:tcW w:w="781" w:type="dxa"/>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40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 w:type="dxa"/>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履约能力</w:t>
            </w:r>
          </w:p>
          <w:p>
            <w:pPr>
              <w:pStyle w:val="2"/>
              <w:pageBreakBefore w:val="0"/>
              <w:kinsoku/>
              <w:wordWrap/>
              <w:overflowPunct/>
              <w:topLinePunct w:val="0"/>
              <w:bidi w:val="0"/>
              <w:spacing w:after="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（满分</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p>
        </w:tc>
        <w:tc>
          <w:tcPr>
            <w:tcW w:w="1115" w:type="dxa"/>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相关证书</w:t>
            </w:r>
          </w:p>
          <w:p>
            <w:pPr>
              <w:pStyle w:val="2"/>
              <w:pageBreakBefore w:val="0"/>
              <w:kinsoku/>
              <w:wordWrap/>
              <w:overflowPunct/>
              <w:topLinePunct w:val="0"/>
              <w:bidi w:val="0"/>
              <w:spacing w:after="0" w:line="40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（满分</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p>
        </w:tc>
        <w:tc>
          <w:tcPr>
            <w:tcW w:w="6187" w:type="dxa"/>
          </w:tcPr>
          <w:p>
            <w:pPr>
              <w:pStyle w:val="6"/>
              <w:pageBreakBefore w:val="0"/>
              <w:kinsoku/>
              <w:wordWrap/>
              <w:overflowPunct/>
              <w:topLinePunct w:val="0"/>
              <w:bidi w:val="0"/>
              <w:spacing w:before="0" w:after="0"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供应商拥有有效期内的质量管理体系认证（ISO9001）、信息技术服务管理体系认证（ISO20000）、信息安全管理体系认证（ISO27001）的，每项得</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分，满分</w:t>
            </w: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分（提供有效期内的认证证书复印件，否则不予计分）。</w:t>
            </w:r>
          </w:p>
        </w:tc>
        <w:tc>
          <w:tcPr>
            <w:tcW w:w="781" w:type="dxa"/>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6</w:t>
            </w:r>
            <w:r>
              <w:rPr>
                <w:rFonts w:hint="eastAsia" w:asciiTheme="minorEastAsia" w:hAnsiTheme="minorEastAsia" w:eastAsiaTheme="minorEastAsia" w:cstheme="minorEastAsia"/>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58" w:type="dxa"/>
            <w:vMerge w:val="restart"/>
            <w:vAlign w:val="center"/>
          </w:tcPr>
          <w:p>
            <w:pPr>
              <w:pStyle w:val="2"/>
              <w:pageBreakBefore w:val="0"/>
              <w:kinsoku/>
              <w:wordWrap/>
              <w:overflowPunct/>
              <w:topLinePunct w:val="0"/>
              <w:bidi w:val="0"/>
              <w:spacing w:after="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技术或者服务水平</w:t>
            </w:r>
            <w:r>
              <w:rPr>
                <w:rFonts w:hint="eastAsia" w:asciiTheme="minorEastAsia" w:hAnsiTheme="minorEastAsia" w:eastAsiaTheme="minorEastAsia" w:cstheme="minorEastAsia"/>
                <w:color w:val="auto"/>
                <w:kern w:val="0"/>
                <w:sz w:val="21"/>
                <w:szCs w:val="21"/>
                <w:highlight w:val="none"/>
              </w:rPr>
              <w:t>（满分</w:t>
            </w:r>
            <w:r>
              <w:rPr>
                <w:rFonts w:hint="eastAsia" w:asciiTheme="minorEastAsia" w:hAnsiTheme="minorEastAsia" w:eastAsiaTheme="minorEastAsia" w:cstheme="minorEastAsia"/>
                <w:color w:val="auto"/>
                <w:kern w:val="0"/>
                <w:sz w:val="21"/>
                <w:szCs w:val="21"/>
                <w:highlight w:val="none"/>
                <w:lang w:val="en-US" w:eastAsia="zh-CN"/>
              </w:rPr>
              <w:t>54</w:t>
            </w:r>
            <w:r>
              <w:rPr>
                <w:rFonts w:hint="eastAsia" w:asciiTheme="minorEastAsia" w:hAnsiTheme="minorEastAsia" w:eastAsiaTheme="minorEastAsia" w:cstheme="minorEastAsia"/>
                <w:color w:val="auto"/>
                <w:kern w:val="0"/>
                <w:sz w:val="21"/>
                <w:szCs w:val="21"/>
                <w:highlight w:val="none"/>
              </w:rPr>
              <w:t>分）</w:t>
            </w:r>
          </w:p>
        </w:tc>
        <w:tc>
          <w:tcPr>
            <w:tcW w:w="1115" w:type="dxa"/>
            <w:vAlign w:val="center"/>
          </w:tcPr>
          <w:p>
            <w:pPr>
              <w:pageBreakBefore w:val="0"/>
              <w:kinsoku/>
              <w:wordWrap/>
              <w:overflowPunct/>
              <w:topLinePunct w:val="0"/>
              <w:bidi w:val="0"/>
              <w:adjustRightInd w:val="0"/>
              <w:spacing w:line="400" w:lineRule="exact"/>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项目需求</w:t>
            </w:r>
          </w:p>
          <w:p>
            <w:pPr>
              <w:pageBreakBefore w:val="0"/>
              <w:kinsoku/>
              <w:wordWrap/>
              <w:overflowPunct/>
              <w:topLinePunct w:val="0"/>
              <w:bidi w:val="0"/>
              <w:adjustRightInd w:val="0"/>
              <w:spacing w:line="400" w:lineRule="exact"/>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理解</w:t>
            </w:r>
          </w:p>
          <w:p>
            <w:pPr>
              <w:pStyle w:val="2"/>
              <w:pageBreakBefore w:val="0"/>
              <w:kinsoku/>
              <w:wordWrap/>
              <w:overflowPunct/>
              <w:topLinePunct w:val="0"/>
              <w:bidi w:val="0"/>
              <w:spacing w:after="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（满分</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6187" w:type="dxa"/>
            <w:vAlign w:val="center"/>
          </w:tcPr>
          <w:p>
            <w:pPr>
              <w:pageBreakBefore w:val="0"/>
              <w:widowControl w:val="0"/>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主要考核供应商对项目定位、建设目标、采购需求、业务流程的理解和把握情况。依据项目采购需求及</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w:t>
            </w:r>
            <w:r>
              <w:rPr>
                <w:rFonts w:hint="eastAsia" w:asciiTheme="minorEastAsia" w:hAnsiTheme="minorEastAsia" w:eastAsiaTheme="minorEastAsia" w:cstheme="minorEastAsia"/>
                <w:color w:val="auto"/>
                <w:sz w:val="21"/>
                <w:szCs w:val="21"/>
                <w:highlight w:val="none"/>
                <w:lang w:eastAsia="zh-CN"/>
              </w:rPr>
              <w:t>项目需求理解</w:t>
            </w:r>
            <w:r>
              <w:rPr>
                <w:rFonts w:hint="eastAsia" w:asciiTheme="minorEastAsia" w:hAnsiTheme="minorEastAsia" w:eastAsiaTheme="minorEastAsia" w:cstheme="minorEastAsia"/>
                <w:color w:val="auto"/>
                <w:sz w:val="21"/>
                <w:szCs w:val="21"/>
                <w:highlight w:val="none"/>
              </w:rPr>
              <w:t>进行评价，以下各项不重复计分，满分</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pPr>
              <w:pageBreakBefore w:val="0"/>
              <w:widowControl/>
              <w:kinsoku/>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能对项目定位、采购需求、业务流程、工作现状的把握及理解情况基本描述但不够全面、内容不完整，对本项目需求理解简单描述，能</w:t>
            </w:r>
            <w:r>
              <w:rPr>
                <w:rFonts w:hint="eastAsia" w:asciiTheme="minorEastAsia" w:hAnsiTheme="minorEastAsia" w:eastAsiaTheme="minorEastAsia" w:cstheme="minorEastAsia"/>
                <w:color w:val="auto"/>
                <w:sz w:val="21"/>
                <w:szCs w:val="21"/>
                <w:highlight w:val="none"/>
                <w:lang w:eastAsia="zh-CN"/>
              </w:rPr>
              <w:t>完全</w:t>
            </w:r>
            <w:r>
              <w:rPr>
                <w:rFonts w:hint="eastAsia" w:asciiTheme="minorEastAsia" w:hAnsiTheme="minorEastAsia" w:eastAsiaTheme="minorEastAsia" w:cstheme="minorEastAsia"/>
                <w:color w:val="auto"/>
                <w:sz w:val="21"/>
                <w:szCs w:val="21"/>
                <w:highlight w:val="none"/>
              </w:rPr>
              <w:t>响应但基本照搬</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文件采购需求内容，得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pPr>
              <w:pStyle w:val="2"/>
              <w:pageBreakBefore w:val="0"/>
              <w:kinsoku/>
              <w:wordWrap/>
              <w:overflowPunct/>
              <w:topLinePunct w:val="0"/>
              <w:bidi w:val="0"/>
              <w:spacing w:after="0"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②在满足上述第①条内容的基础上，供应商对本项目较熟悉，能对项目定位、采购需求、业务流程、工作现状的把握及理解情况进行合理描述、内容较完整，对本项目需求理解思路较清晰，目标明确，对各项工作和要求理解到位，能针对项目需求的主要任务制定服务措施，充分保障系统安全、平稳运行，得10分；</w:t>
            </w:r>
          </w:p>
          <w:p>
            <w:pPr>
              <w:pageBreakBefore w:val="0"/>
              <w:widowControl/>
              <w:kinsoku/>
              <w:wordWrap/>
              <w:overflowPunct/>
              <w:topLinePunct w:val="0"/>
              <w:autoSpaceDE w:val="0"/>
              <w:autoSpaceDN w:val="0"/>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③在满足上述第②条内容的基础上，供应商能提出项目需求实际的重点难点，并提供解决方案，细化服务措施，优化服务流程，具备处理紧急问题的能力和手段，确保系统正常平稳运行，得15分。</w:t>
            </w:r>
          </w:p>
          <w:p>
            <w:pPr>
              <w:pageBreakBefore w:val="0"/>
              <w:kinsoku/>
              <w:wordWrap/>
              <w:overflowPunct/>
              <w:topLinePunct w:val="0"/>
              <w:bidi w:val="0"/>
              <w:spacing w:line="400" w:lineRule="exact"/>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注：未提供项目需求理解或项目需求理解未达到①标准要求的，得0分。</w:t>
            </w:r>
          </w:p>
        </w:tc>
        <w:tc>
          <w:tcPr>
            <w:tcW w:w="781" w:type="dxa"/>
            <w:vAlign w:val="center"/>
          </w:tcPr>
          <w:p>
            <w:pPr>
              <w:pageBreakBefore w:val="0"/>
              <w:kinsoku/>
              <w:wordWrap/>
              <w:overflowPunct/>
              <w:topLinePunct w:val="0"/>
              <w:bidi w:val="0"/>
              <w:spacing w:line="400" w:lineRule="exact"/>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Merge w:val="continue"/>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b/>
                <w:bCs/>
                <w:color w:val="auto"/>
                <w:kern w:val="0"/>
                <w:sz w:val="21"/>
                <w:szCs w:val="21"/>
                <w:highlight w:val="none"/>
              </w:rPr>
            </w:pPr>
          </w:p>
        </w:tc>
        <w:tc>
          <w:tcPr>
            <w:tcW w:w="1115" w:type="dxa"/>
            <w:vAlign w:val="center"/>
          </w:tcPr>
          <w:p>
            <w:pPr>
              <w:pageBreakBefore w:val="0"/>
              <w:kinsoku/>
              <w:wordWrap/>
              <w:overflowPunct/>
              <w:topLinePunct w:val="0"/>
              <w:bidi w:val="0"/>
              <w:spacing w:line="40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技术</w:t>
            </w:r>
            <w:r>
              <w:rPr>
                <w:rFonts w:hint="eastAsia" w:asciiTheme="minorEastAsia" w:hAnsiTheme="minorEastAsia" w:eastAsiaTheme="minorEastAsia" w:cstheme="minorEastAsia"/>
                <w:bCs/>
                <w:color w:val="auto"/>
                <w:sz w:val="21"/>
                <w:szCs w:val="21"/>
                <w:highlight w:val="none"/>
              </w:rPr>
              <w:t>方案</w:t>
            </w:r>
            <w:r>
              <w:rPr>
                <w:rFonts w:hint="eastAsia" w:asciiTheme="minorEastAsia" w:hAnsiTheme="minorEastAsia" w:eastAsiaTheme="minorEastAsia" w:cstheme="minorEastAsia"/>
                <w:color w:val="auto"/>
                <w:sz w:val="21"/>
                <w:szCs w:val="21"/>
                <w:highlight w:val="none"/>
              </w:rPr>
              <w:t>（满分</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6187" w:type="dxa"/>
          </w:tcPr>
          <w:p>
            <w:pPr>
              <w:pageBreakBefore w:val="0"/>
              <w:widowControl w:val="0"/>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主要考核</w:t>
            </w:r>
            <w:r>
              <w:rPr>
                <w:rFonts w:hint="eastAsia" w:asciiTheme="minorEastAsia" w:hAnsiTheme="minorEastAsia" w:eastAsiaTheme="minorEastAsia" w:cstheme="minorEastAsia"/>
                <w:color w:val="auto"/>
                <w:sz w:val="21"/>
                <w:szCs w:val="21"/>
                <w:highlight w:val="none"/>
                <w:lang w:eastAsia="zh-CN"/>
              </w:rPr>
              <w:t>供应商提供的技术方案的</w:t>
            </w:r>
            <w:r>
              <w:rPr>
                <w:rFonts w:hint="eastAsia" w:asciiTheme="minorEastAsia" w:hAnsiTheme="minorEastAsia" w:eastAsiaTheme="minorEastAsia" w:cstheme="minorEastAsia"/>
                <w:color w:val="auto"/>
                <w:sz w:val="21"/>
                <w:szCs w:val="21"/>
                <w:highlight w:val="none"/>
              </w:rPr>
              <w:t>完整性、详细性、可操作性等。依据项目采购需求及</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w:t>
            </w:r>
            <w:r>
              <w:rPr>
                <w:rFonts w:hint="eastAsia" w:asciiTheme="minorEastAsia" w:hAnsiTheme="minorEastAsia" w:eastAsiaTheme="minorEastAsia" w:cstheme="minorEastAsia"/>
                <w:color w:val="auto"/>
                <w:sz w:val="21"/>
                <w:szCs w:val="21"/>
                <w:highlight w:val="none"/>
                <w:lang w:eastAsia="zh-CN"/>
              </w:rPr>
              <w:t>技术</w:t>
            </w:r>
            <w:r>
              <w:rPr>
                <w:rFonts w:hint="eastAsia" w:asciiTheme="minorEastAsia" w:hAnsiTheme="minorEastAsia" w:eastAsiaTheme="minorEastAsia" w:cstheme="minorEastAsia"/>
                <w:color w:val="auto"/>
                <w:sz w:val="21"/>
                <w:szCs w:val="21"/>
                <w:highlight w:val="none"/>
              </w:rPr>
              <w:t>方案进行评价，以下各项不重复计分，满分</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pPr>
              <w:pageBreakBefore w:val="0"/>
              <w:widowControl w:val="0"/>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①供应商提供</w:t>
            </w:r>
            <w:r>
              <w:rPr>
                <w:rFonts w:hint="eastAsia" w:asciiTheme="minorEastAsia" w:hAnsiTheme="minorEastAsia" w:eastAsiaTheme="minorEastAsia" w:cstheme="minorEastAsia"/>
                <w:color w:val="auto"/>
                <w:sz w:val="21"/>
                <w:szCs w:val="21"/>
                <w:highlight w:val="none"/>
                <w:lang w:eastAsia="zh-CN"/>
              </w:rPr>
              <w:t>的技术</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eastAsia="zh-CN"/>
              </w:rPr>
              <w:t>描述基本完整</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对配套软件各功能模块设置、安装调试和技术维护等有简单描述，</w:t>
            </w:r>
            <w:r>
              <w:rPr>
                <w:rFonts w:hint="eastAsia" w:asciiTheme="minorEastAsia" w:hAnsiTheme="minorEastAsia" w:eastAsiaTheme="minorEastAsia" w:cstheme="minorEastAsia"/>
                <w:color w:val="auto"/>
                <w:sz w:val="21"/>
                <w:szCs w:val="21"/>
                <w:highlight w:val="none"/>
              </w:rPr>
              <w:t>有基本的质量控制保</w:t>
            </w:r>
            <w:r>
              <w:rPr>
                <w:rFonts w:hint="eastAsia" w:asciiTheme="minorEastAsia" w:hAnsiTheme="minorEastAsia" w:eastAsiaTheme="minorEastAsia" w:cstheme="minorEastAsia"/>
                <w:color w:val="auto"/>
                <w:sz w:val="21"/>
                <w:szCs w:val="21"/>
                <w:highlight w:val="none"/>
                <w:lang w:eastAsia="zh-CN"/>
              </w:rPr>
              <w:t>证措施，基本满足采购需求，得</w:t>
            </w:r>
            <w:r>
              <w:rPr>
                <w:rFonts w:hint="eastAsia" w:asciiTheme="minorEastAsia" w:hAnsiTheme="minorEastAsia" w:eastAsiaTheme="minorEastAsia" w:cstheme="minorEastAsia"/>
                <w:color w:val="auto"/>
                <w:sz w:val="21"/>
                <w:szCs w:val="21"/>
                <w:highlight w:val="none"/>
                <w:lang w:val="en-US" w:eastAsia="zh-CN"/>
              </w:rPr>
              <w:t>5分；</w:t>
            </w:r>
          </w:p>
          <w:p>
            <w:pPr>
              <w:pageBreakBefore w:val="0"/>
              <w:widowControl w:val="0"/>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②在满足上述第①条内容的基础上，供应商</w:t>
            </w:r>
            <w:r>
              <w:rPr>
                <w:rFonts w:hint="eastAsia" w:asciiTheme="minorEastAsia" w:hAnsiTheme="minorEastAsia" w:eastAsiaTheme="minorEastAsia" w:cstheme="minorEastAsia"/>
                <w:color w:val="auto"/>
                <w:sz w:val="21"/>
                <w:szCs w:val="21"/>
                <w:highlight w:val="none"/>
                <w:lang w:eastAsia="zh-CN"/>
              </w:rPr>
              <w:t>提供的技术方案内容较完整，对配套软件各功能模块设置、安装调试和技术维护等有明确的描述，有严谨的质量控制措施和项目管理制度及方法，得</w:t>
            </w:r>
            <w:r>
              <w:rPr>
                <w:rFonts w:hint="eastAsia" w:asciiTheme="minorEastAsia" w:hAnsiTheme="minorEastAsia" w:eastAsiaTheme="minorEastAsia" w:cstheme="minorEastAsia"/>
                <w:color w:val="auto"/>
                <w:sz w:val="21"/>
                <w:szCs w:val="21"/>
                <w:highlight w:val="none"/>
                <w:lang w:val="en-US" w:eastAsia="zh-CN"/>
              </w:rPr>
              <w:t>10分；</w:t>
            </w:r>
          </w:p>
          <w:p>
            <w:pPr>
              <w:pageBreakBefore w:val="0"/>
              <w:widowControl w:val="0"/>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③在满足上述第②条内容的基础上，供应商</w:t>
            </w:r>
            <w:r>
              <w:rPr>
                <w:rFonts w:hint="eastAsia" w:asciiTheme="minorEastAsia" w:hAnsiTheme="minorEastAsia" w:eastAsiaTheme="minorEastAsia" w:cstheme="minorEastAsia"/>
                <w:color w:val="auto"/>
                <w:sz w:val="21"/>
                <w:szCs w:val="21"/>
                <w:highlight w:val="none"/>
                <w:lang w:eastAsia="zh-CN"/>
              </w:rPr>
              <w:t>提供的技术方案详细、完整、可靠性强，能清晰描述配套软件各功能模块设置、安装调试和技术维护的注意事项，能提交参加项目实施组成人员名单及其技术经验介绍等内容，能实现单位内部全流程电子化预算管理的目的，得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分。</w:t>
            </w:r>
          </w:p>
          <w:p>
            <w:pPr>
              <w:pageBreakBefore w:val="0"/>
              <w:kinsoku/>
              <w:wordWrap/>
              <w:overflowPunct/>
              <w:topLinePunct w:val="0"/>
              <w:bidi w:val="0"/>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注：未提供</w:t>
            </w:r>
            <w:r>
              <w:rPr>
                <w:rFonts w:hint="eastAsia" w:asciiTheme="minorEastAsia" w:hAnsiTheme="minorEastAsia" w:eastAsiaTheme="minorEastAsia" w:cstheme="minorEastAsia"/>
                <w:b/>
                <w:bCs/>
                <w:color w:val="auto"/>
                <w:sz w:val="21"/>
                <w:szCs w:val="21"/>
                <w:highlight w:val="none"/>
                <w:lang w:eastAsia="zh-CN"/>
              </w:rPr>
              <w:t>技术</w:t>
            </w:r>
            <w:r>
              <w:rPr>
                <w:rFonts w:hint="eastAsia" w:asciiTheme="minorEastAsia" w:hAnsiTheme="minorEastAsia" w:eastAsiaTheme="minorEastAsia" w:cstheme="minorEastAsia"/>
                <w:b/>
                <w:bCs/>
                <w:color w:val="auto"/>
                <w:sz w:val="21"/>
                <w:szCs w:val="21"/>
                <w:highlight w:val="none"/>
              </w:rPr>
              <w:t>方案</w:t>
            </w:r>
            <w:r>
              <w:rPr>
                <w:rFonts w:hint="eastAsia" w:asciiTheme="minorEastAsia" w:hAnsiTheme="minorEastAsia" w:eastAsiaTheme="minorEastAsia" w:cstheme="minorEastAsia"/>
                <w:b/>
                <w:color w:val="auto"/>
                <w:sz w:val="21"/>
                <w:szCs w:val="21"/>
                <w:highlight w:val="none"/>
              </w:rPr>
              <w:t>或</w:t>
            </w:r>
            <w:r>
              <w:rPr>
                <w:rFonts w:hint="eastAsia" w:asciiTheme="minorEastAsia" w:hAnsiTheme="minorEastAsia" w:eastAsiaTheme="minorEastAsia" w:cstheme="minorEastAsia"/>
                <w:b/>
                <w:bCs/>
                <w:color w:val="auto"/>
                <w:sz w:val="21"/>
                <w:szCs w:val="21"/>
                <w:highlight w:val="none"/>
                <w:lang w:eastAsia="zh-CN"/>
              </w:rPr>
              <w:t>技术</w:t>
            </w:r>
            <w:r>
              <w:rPr>
                <w:rFonts w:hint="eastAsia" w:asciiTheme="minorEastAsia" w:hAnsiTheme="minorEastAsia" w:eastAsiaTheme="minorEastAsia" w:cstheme="minorEastAsia"/>
                <w:b/>
                <w:bCs/>
                <w:color w:val="auto"/>
                <w:sz w:val="21"/>
                <w:szCs w:val="21"/>
                <w:highlight w:val="none"/>
              </w:rPr>
              <w:t>方案</w:t>
            </w:r>
            <w:r>
              <w:rPr>
                <w:rFonts w:hint="eastAsia" w:asciiTheme="minorEastAsia" w:hAnsiTheme="minorEastAsia" w:eastAsiaTheme="minorEastAsia" w:cstheme="minorEastAsia"/>
                <w:b/>
                <w:color w:val="auto"/>
                <w:sz w:val="21"/>
                <w:szCs w:val="21"/>
                <w:highlight w:val="none"/>
              </w:rPr>
              <w:t>未达到①标准要求的，得0分。</w:t>
            </w:r>
          </w:p>
        </w:tc>
        <w:tc>
          <w:tcPr>
            <w:tcW w:w="781" w:type="dxa"/>
            <w:vAlign w:val="center"/>
          </w:tcPr>
          <w:p>
            <w:pPr>
              <w:pageBreakBefore w:val="0"/>
              <w:kinsoku/>
              <w:wordWrap/>
              <w:overflowPunct/>
              <w:topLinePunct w:val="0"/>
              <w:bidi w:val="0"/>
              <w:spacing w:line="40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Merge w:val="continue"/>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b/>
                <w:bCs/>
                <w:color w:val="auto"/>
                <w:kern w:val="0"/>
                <w:sz w:val="21"/>
                <w:szCs w:val="21"/>
                <w:highlight w:val="none"/>
              </w:rPr>
            </w:pPr>
          </w:p>
        </w:tc>
        <w:tc>
          <w:tcPr>
            <w:tcW w:w="1115" w:type="dxa"/>
            <w:vAlign w:val="center"/>
          </w:tcPr>
          <w:p>
            <w:pPr>
              <w:pageBreakBefore w:val="0"/>
              <w:kinsoku/>
              <w:wordWrap/>
              <w:overflowPunct/>
              <w:topLinePunct w:val="0"/>
              <w:bidi w:val="0"/>
              <w:spacing w:line="40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售后服务方案</w:t>
            </w:r>
          </w:p>
          <w:p>
            <w:pPr>
              <w:pStyle w:val="2"/>
              <w:pageBreakBefore w:val="0"/>
              <w:kinsoku/>
              <w:wordWrap/>
              <w:overflowPunct/>
              <w:topLinePunct w:val="0"/>
              <w:bidi w:val="0"/>
              <w:spacing w:after="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（满分</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6187" w:type="dxa"/>
          </w:tcPr>
          <w:p>
            <w:pPr>
              <w:pageBreakBefore w:val="0"/>
              <w:widowControl w:val="0"/>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主要考核</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的售后服务方案对项目采购需求中售后服务要求的响应程度及完整性、可操作性。依据项目采购需求及</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提供的售后服务方案（包括售后服务内容、质保期、服务方式、响应及解决时限、技术培训、备品备件等）进行评价，以下各项不重复计分，满分</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pPr>
              <w:pageBreakBefore w:val="0"/>
              <w:widowControl w:val="0"/>
              <w:kinsoku/>
              <w:wordWrap/>
              <w:overflowPunct/>
              <w:topLinePunct w:val="0"/>
              <w:bidi w:val="0"/>
              <w:spacing w:line="40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提供的售后服务方案较完整，有一定的可操作性，承诺的售后服务完全响应项目需求，即：售后服务内容、质保期、服务方式、响应及解决时限、备品备件满足项目采购需求提出的售后服务要求</w:t>
            </w:r>
            <w:r>
              <w:rPr>
                <w:rFonts w:hint="eastAsia" w:asciiTheme="minorEastAsia" w:hAnsiTheme="minorEastAsia" w:eastAsiaTheme="minorEastAsia" w:cstheme="minorEastAsia"/>
                <w:color w:val="auto"/>
                <w:sz w:val="21"/>
                <w:szCs w:val="21"/>
                <w:highlight w:val="none"/>
                <w:lang w:eastAsia="zh-CN"/>
              </w:rPr>
              <w:t>，得</w:t>
            </w:r>
            <w:r>
              <w:rPr>
                <w:rFonts w:hint="eastAsia" w:asciiTheme="minorEastAsia" w:hAnsiTheme="minorEastAsia" w:eastAsiaTheme="minorEastAsia" w:cstheme="minorEastAsia"/>
                <w:color w:val="auto"/>
                <w:sz w:val="21"/>
                <w:szCs w:val="21"/>
                <w:highlight w:val="none"/>
                <w:lang w:val="en-US" w:eastAsia="zh-CN"/>
              </w:rPr>
              <w:t>5分；</w:t>
            </w:r>
          </w:p>
          <w:p>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②</w:t>
            </w:r>
            <w:r>
              <w:rPr>
                <w:rFonts w:hint="eastAsia" w:asciiTheme="minorEastAsia" w:hAnsiTheme="minorEastAsia" w:eastAsiaTheme="minorEastAsia" w:cstheme="minorEastAsia"/>
                <w:color w:val="auto"/>
                <w:sz w:val="21"/>
                <w:szCs w:val="21"/>
                <w:highlight w:val="none"/>
                <w:lang w:val="en-US" w:eastAsia="zh-CN"/>
              </w:rPr>
              <w:t>在满足上述第①条内容的基础上，</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提供的售后服务方案完整，可操作性强，能够提供服务保障提醒、故障处理方案；承诺配套软件发生故障</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到达现场后排查故障时间</w:t>
            </w:r>
            <w:r>
              <w:rPr>
                <w:rFonts w:hint="eastAsia" w:asciiTheme="minorEastAsia" w:hAnsiTheme="minorEastAsia" w:eastAsiaTheme="minorEastAsia" w:cstheme="minorEastAsia"/>
                <w:color w:val="auto"/>
                <w:sz w:val="21"/>
                <w:szCs w:val="21"/>
                <w:highlight w:val="none"/>
                <w:lang w:eastAsia="zh-CN"/>
              </w:rPr>
              <w:t>不超过</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小时，处理故障修复</w:t>
            </w:r>
            <w:r>
              <w:rPr>
                <w:rFonts w:hint="eastAsia" w:asciiTheme="minorEastAsia" w:hAnsiTheme="minorEastAsia" w:eastAsiaTheme="minorEastAsia" w:cstheme="minorEastAsia"/>
                <w:color w:val="auto"/>
                <w:sz w:val="21"/>
                <w:szCs w:val="21"/>
                <w:highlight w:val="none"/>
                <w:lang w:eastAsia="zh-CN"/>
              </w:rPr>
              <w:t>时间</w:t>
            </w:r>
            <w:r>
              <w:rPr>
                <w:rFonts w:hint="eastAsia" w:asciiTheme="minorEastAsia" w:hAnsiTheme="minorEastAsia" w:eastAsiaTheme="minorEastAsia" w:cstheme="minorEastAsia"/>
                <w:color w:val="auto"/>
                <w:sz w:val="21"/>
                <w:szCs w:val="21"/>
                <w:highlight w:val="none"/>
              </w:rPr>
              <w:t>不超过</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小时，得</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pPr>
              <w:pStyle w:val="160"/>
              <w:pageBreakBefore w:val="0"/>
              <w:kinsoku/>
              <w:wordWrap/>
              <w:overflowPunct/>
              <w:topLinePunct w:val="0"/>
              <w:bidi w:val="0"/>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③在满足上述第②条内容的基础上，供应商提供的售后服务方案，有明确的服务团队组织架构、应急联系人员、服务流程、应急预案，配备专职服务经理对接采购人，有固定的联系电话；承诺合同期内提供不少于2次的技术培训服务，培训方案详细可行，有具体的培训内容展示；承诺在质保期1年的基础上，延长半年以上质保期，得15分。</w:t>
            </w:r>
          </w:p>
          <w:p>
            <w:pPr>
              <w:pStyle w:val="2"/>
              <w:pageBreakBefore w:val="0"/>
              <w:kinsoku/>
              <w:wordWrap/>
              <w:overflowPunct/>
              <w:topLinePunct w:val="0"/>
              <w:bidi w:val="0"/>
              <w:spacing w:after="0"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注：未提供售后服务方案或售后服务方案未达到①标准要求的，得0分。</w:t>
            </w:r>
          </w:p>
        </w:tc>
        <w:tc>
          <w:tcPr>
            <w:tcW w:w="781" w:type="dxa"/>
            <w:vAlign w:val="center"/>
          </w:tcPr>
          <w:p>
            <w:pPr>
              <w:pageBreakBefore w:val="0"/>
              <w:kinsoku/>
              <w:wordWrap/>
              <w:overflowPunct/>
              <w:topLinePunct w:val="0"/>
              <w:bidi w:val="0"/>
              <w:spacing w:line="40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Merge w:val="continue"/>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b/>
                <w:bCs/>
                <w:color w:val="auto"/>
                <w:kern w:val="0"/>
                <w:sz w:val="21"/>
                <w:szCs w:val="21"/>
                <w:highlight w:val="none"/>
              </w:rPr>
            </w:pPr>
          </w:p>
        </w:tc>
        <w:tc>
          <w:tcPr>
            <w:tcW w:w="1115" w:type="dxa"/>
            <w:vAlign w:val="center"/>
          </w:tcPr>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验收方案</w:t>
            </w:r>
          </w:p>
          <w:p>
            <w:pPr>
              <w:pageBreakBefore w:val="0"/>
              <w:widowControl/>
              <w:kinsoku/>
              <w:wordWrap/>
              <w:overflowPunct/>
              <w:topLinePunct w:val="0"/>
              <w:bidi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（满分</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w:t>
            </w:r>
          </w:p>
        </w:tc>
        <w:tc>
          <w:tcPr>
            <w:tcW w:w="6187" w:type="dxa"/>
          </w:tcPr>
          <w:p>
            <w:pPr>
              <w:pageBreakBefore w:val="0"/>
              <w:kinsoku/>
              <w:wordWrap/>
              <w:overflowPunct/>
              <w:topLinePunct w:val="0"/>
              <w:bidi w:val="0"/>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主要考核供应商提供的验收方案，从验收流程及标准、验收中出现问题的解决办法和补救措施等内容、验收交付物等描述进行评价，以下各项不得重复计分，满分9分：</w:t>
            </w:r>
          </w:p>
          <w:p>
            <w:pPr>
              <w:pageBreakBefore w:val="0"/>
              <w:kinsoku/>
              <w:wordWrap/>
              <w:overflowPunct/>
              <w:topLinePunct w:val="0"/>
              <w:bidi w:val="0"/>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①供应商提供有符合采购需求的验收方案，对验收流程及标准有描述，无验收应急保障措施，应急处置、保障手段差，能够基本满足采购需求，得3分；</w:t>
            </w:r>
          </w:p>
          <w:p>
            <w:pPr>
              <w:pageBreakBefore w:val="0"/>
              <w:kinsoku/>
              <w:wordWrap/>
              <w:overflowPunct/>
              <w:topLinePunct w:val="0"/>
              <w:bidi w:val="0"/>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②在满足上述第①条内容的基础上，供应商提供有完全符合采购需求要求的验收方案，且能根据项目采购需求制定并能优化项目验收流程，制订有较完善的验收标准，有验收应急保障措施，应急处置、保障手段较好，各流程的验收文档（如项目实施工作总结和技术报告、项目成果、重要数据和技术资料、测试报告等）输出时间有明确计划时限，能较好的实现采购需求，得6分；</w:t>
            </w:r>
          </w:p>
          <w:p>
            <w:pPr>
              <w:pageBreakBefore w:val="0"/>
              <w:kinsoku/>
              <w:wordWrap/>
              <w:overflowPunct/>
              <w:topLinePunct w:val="0"/>
              <w:bidi w:val="0"/>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③在满足上述第②条内容的基础上，供应商提出完整、详细、量化的验收标准，能够采用多种手段完成验收突发事件的应急处置，保障手段强，突出重点，有详细的验收考核管理制度的，完全满足采购需求，得9分。</w:t>
            </w:r>
          </w:p>
          <w:p>
            <w:pPr>
              <w:pStyle w:val="2"/>
              <w:pageBreakBefore w:val="0"/>
              <w:kinsoku/>
              <w:wordWrap/>
              <w:overflowPunct/>
              <w:topLinePunct w:val="0"/>
              <w:bidi w:val="0"/>
              <w:spacing w:after="0" w:line="40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注：未提供验收方案或验收方案未达到①标准要求的，得0分。</w:t>
            </w:r>
          </w:p>
        </w:tc>
        <w:tc>
          <w:tcPr>
            <w:tcW w:w="781" w:type="dxa"/>
            <w:vAlign w:val="center"/>
          </w:tcPr>
          <w:p>
            <w:pPr>
              <w:pageBreakBefore w:val="0"/>
              <w:kinsoku/>
              <w:wordWrap/>
              <w:overflowPunct/>
              <w:topLinePunct w:val="0"/>
              <w:bidi w:val="0"/>
              <w:spacing w:line="40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0" w:type="dxa"/>
            <w:gridSpan w:val="3"/>
            <w:vAlign w:val="center"/>
          </w:tcPr>
          <w:p>
            <w:pPr>
              <w:pageBreakBefore w:val="0"/>
              <w:widowControl/>
              <w:kinsoku/>
              <w:wordWrap/>
              <w:overflowPunct/>
              <w:topLinePunct w:val="0"/>
              <w:bidi w:val="0"/>
              <w:spacing w:line="400" w:lineRule="exact"/>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rPr>
              <w:t>总得分=价格分+履约能力分+技术或者服务水平分</w:t>
            </w:r>
            <w:r>
              <w:rPr>
                <w:rFonts w:hint="eastAsia" w:asciiTheme="minorEastAsia" w:hAnsiTheme="minorEastAsia" w:eastAsiaTheme="minorEastAsia" w:cstheme="minorEastAsia"/>
                <w:b/>
                <w:color w:val="auto"/>
                <w:sz w:val="21"/>
                <w:szCs w:val="21"/>
                <w:highlight w:val="none"/>
              </w:rPr>
              <w:t>（各项评分分值计算保留小数点后两位，小数点后第三位“四舍五入”）</w:t>
            </w:r>
          </w:p>
        </w:tc>
        <w:tc>
          <w:tcPr>
            <w:tcW w:w="781" w:type="dxa"/>
          </w:tcPr>
          <w:p>
            <w:pPr>
              <w:pageBreakBefore w:val="0"/>
              <w:widowControl/>
              <w:kinsoku/>
              <w:wordWrap/>
              <w:overflowPunct/>
              <w:topLinePunct w:val="0"/>
              <w:bidi w:val="0"/>
              <w:spacing w:line="400" w:lineRule="exac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100分</w:t>
            </w:r>
          </w:p>
        </w:tc>
      </w:tr>
    </w:tbl>
    <w:p>
      <w:pPr>
        <w:rPr>
          <w:rFonts w:hint="eastAsia" w:asciiTheme="minorEastAsia" w:hAnsiTheme="minorEastAsia" w:eastAsiaTheme="minorEastAsia" w:cstheme="minorEastAsia"/>
          <w:bCs/>
          <w:color w:val="auto"/>
          <w:sz w:val="21"/>
          <w:szCs w:val="21"/>
          <w:highlight w:val="none"/>
        </w:rPr>
      </w:pPr>
    </w:p>
    <w:p>
      <w:pPr>
        <w:pStyle w:val="20"/>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p>
    <w:p>
      <w:pPr>
        <w:pStyle w:val="20"/>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三、成交候选供应商推荐原则</w:t>
      </w:r>
    </w:p>
    <w:p>
      <w:pPr>
        <w:pStyle w:val="20"/>
        <w:spacing w:line="44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磋商小组将根据得分由高到低排列次序（得分相同时，以最后报价由低到高顺序排列；得分相同且最后报价相同的，按技术指标优劣顺序排列）并推荐3名成交候选供应商。采购人应当确定磋商小组推荐排名第一的成交候选供应商为成交供应商。排名第一的成交候选供应商放弃成交、因不可抗力提出不能履行合同，或者磋商文件规定应当提交履约保证金而在规定的期限内未能提交的，采购人可以确定排名第二的成交候选供应商为成家供应商。</w:t>
      </w:r>
      <w:r>
        <w:rPr>
          <w:rFonts w:hint="eastAsia" w:asciiTheme="minorEastAsia" w:hAnsiTheme="minorEastAsia" w:eastAsiaTheme="minorEastAsia" w:cstheme="minorEastAsia"/>
          <w:color w:val="auto"/>
          <w:sz w:val="21"/>
          <w:szCs w:val="21"/>
          <w:highlight w:val="none"/>
        </w:rPr>
        <w:t>其余以此类推。</w:t>
      </w:r>
      <w:r>
        <w:rPr>
          <w:rFonts w:hint="eastAsia" w:asciiTheme="minorEastAsia" w:hAnsiTheme="minorEastAsia" w:eastAsiaTheme="minorEastAsia" w:cstheme="minorEastAsia"/>
          <w:bCs/>
          <w:color w:val="auto"/>
          <w:sz w:val="21"/>
          <w:szCs w:val="21"/>
          <w:highlight w:val="none"/>
        </w:rPr>
        <w:t>采购人也可以决定重新开展采购活动。</w:t>
      </w:r>
    </w:p>
    <w:p>
      <w:pPr>
        <w:pStyle w:val="20"/>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p>
    <w:p>
      <w:pPr>
        <w:pStyle w:val="20"/>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四、特别说明</w:t>
      </w:r>
    </w:p>
    <w:p>
      <w:pPr>
        <w:pStyle w:val="20"/>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磋商小组认为供应商的最后响应报价明显低于其他通过符合性审查供应商的响应报价，有可能影响产品（或服务）质量或者不能诚信履约的，应当要求其在评审现场合理的时间内提供书面说明，必要时提交相关证明材料；供应商不能证明其响应报价合理性的，磋商小组应当将其作为无效响应处理。</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p>
    <w:p>
      <w:pPr>
        <w:spacing w:line="360" w:lineRule="auto"/>
        <w:jc w:val="center"/>
        <w:outlineLvl w:val="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64" w:name="_Toc26773"/>
      <w:r>
        <w:rPr>
          <w:rFonts w:hint="eastAsia" w:asciiTheme="minorEastAsia" w:hAnsiTheme="minorEastAsia" w:eastAsiaTheme="minorEastAsia" w:cstheme="minorEastAsia"/>
          <w:b/>
          <w:color w:val="auto"/>
          <w:sz w:val="28"/>
          <w:szCs w:val="28"/>
          <w:highlight w:val="none"/>
        </w:rPr>
        <w:t>第四章 合同草案条款</w:t>
      </w:r>
      <w:bookmarkEnd w:id="64"/>
    </w:p>
    <w:p>
      <w:pPr>
        <w:pStyle w:val="20"/>
        <w:rPr>
          <w:rFonts w:hAnsi="宋体"/>
          <w:color w:val="auto"/>
          <w:sz w:val="30"/>
          <w:szCs w:val="30"/>
          <w:highlight w:val="none"/>
        </w:rPr>
      </w:pPr>
      <w:r>
        <w:rPr>
          <w:rFonts w:hint="eastAsia" w:hAnsi="宋体"/>
          <w:color w:val="auto"/>
          <w:sz w:val="30"/>
          <w:szCs w:val="30"/>
          <w:highlight w:val="none"/>
        </w:rPr>
        <w:t>（合同封面）</w:t>
      </w:r>
      <w:r>
        <w:rPr>
          <w:rFonts w:hAnsi="宋体"/>
          <w:color w:val="auto"/>
          <w:sz w:val="30"/>
          <w:szCs w:val="30"/>
          <w:highlight w:val="none"/>
        </w:rPr>
        <w:t xml:space="preserve">  </w:t>
      </w:r>
      <w:r>
        <w:rPr>
          <w:rFonts w:hint="eastAsia" w:hAnsi="宋体"/>
          <w:color w:val="auto"/>
          <w:sz w:val="30"/>
          <w:szCs w:val="30"/>
          <w:highlight w:val="none"/>
        </w:rPr>
        <w:t xml:space="preserve">                </w:t>
      </w:r>
      <w:r>
        <w:rPr>
          <w:rFonts w:hAnsi="宋体"/>
          <w:color w:val="auto"/>
          <w:sz w:val="30"/>
          <w:szCs w:val="30"/>
          <w:highlight w:val="none"/>
        </w:rPr>
        <w:t xml:space="preserve"> </w:t>
      </w:r>
      <w:r>
        <w:rPr>
          <w:rFonts w:hint="eastAsia" w:hAnsi="宋体"/>
          <w:color w:val="auto"/>
          <w:sz w:val="30"/>
          <w:szCs w:val="30"/>
          <w:highlight w:val="none"/>
        </w:rPr>
        <w:t xml:space="preserve">    中小企业预留合同：□是 </w:t>
      </w:r>
      <w:r>
        <w:rPr>
          <w:rFonts w:hint="eastAsia" w:hAnsi="宋体"/>
          <w:color w:val="auto"/>
          <w:sz w:val="30"/>
          <w:szCs w:val="30"/>
          <w:highlight w:val="none"/>
        </w:rPr>
        <w:sym w:font="Wingdings 2" w:char="0052"/>
      </w:r>
      <w:r>
        <w:rPr>
          <w:rFonts w:hint="eastAsia" w:hAnsi="宋体"/>
          <w:color w:val="auto"/>
          <w:sz w:val="30"/>
          <w:szCs w:val="30"/>
          <w:highlight w:val="none"/>
        </w:rPr>
        <w:t>否</w:t>
      </w:r>
      <w:r>
        <w:rPr>
          <w:rFonts w:hAnsi="宋体"/>
          <w:color w:val="auto"/>
          <w:sz w:val="30"/>
          <w:szCs w:val="30"/>
          <w:highlight w:val="none"/>
        </w:rPr>
        <w:t xml:space="preserve">                    </w:t>
      </w:r>
    </w:p>
    <w:p>
      <w:pPr>
        <w:pStyle w:val="20"/>
        <w:jc w:val="center"/>
        <w:rPr>
          <w:rFonts w:ascii="Times New Roman"/>
          <w:color w:val="auto"/>
          <w:highlight w:val="none"/>
        </w:rPr>
      </w:pPr>
      <w:r>
        <w:rPr>
          <w:rFonts w:hint="eastAsia" w:hAnsi="宋体"/>
          <w:color w:val="auto"/>
          <w:sz w:val="30"/>
          <w:szCs w:val="30"/>
          <w:highlight w:val="none"/>
        </w:rPr>
        <w:t xml:space="preserve">                 </w:t>
      </w:r>
      <w:r>
        <w:rPr>
          <w:rFonts w:hAnsi="宋体"/>
          <w:color w:val="auto"/>
          <w:sz w:val="30"/>
          <w:szCs w:val="30"/>
          <w:highlight w:val="none"/>
        </w:rPr>
        <w:t xml:space="preserve"> </w:t>
      </w:r>
      <w:r>
        <w:rPr>
          <w:rFonts w:hint="eastAsia" w:hAnsi="宋体"/>
          <w:color w:val="auto"/>
          <w:sz w:val="30"/>
          <w:szCs w:val="30"/>
          <w:highlight w:val="none"/>
        </w:rPr>
        <w:t xml:space="preserve">                 合  同  类  别：货  物  类</w:t>
      </w:r>
    </w:p>
    <w:p>
      <w:pPr>
        <w:pStyle w:val="20"/>
        <w:jc w:val="center"/>
        <w:rPr>
          <w:rFonts w:ascii="黑体" w:hAnsi="宋体" w:eastAsia="黑体"/>
          <w:b/>
          <w:color w:val="auto"/>
          <w:sz w:val="44"/>
          <w:szCs w:val="44"/>
          <w:highlight w:val="none"/>
        </w:rPr>
      </w:pPr>
    </w:p>
    <w:p>
      <w:pPr>
        <w:pStyle w:val="20"/>
        <w:jc w:val="center"/>
        <w:rPr>
          <w:rFonts w:ascii="黑体" w:hAnsi="宋体" w:eastAsia="黑体"/>
          <w:b/>
          <w:color w:val="auto"/>
          <w:sz w:val="44"/>
          <w:szCs w:val="44"/>
          <w:highlight w:val="none"/>
        </w:rPr>
      </w:pPr>
    </w:p>
    <w:p>
      <w:pPr>
        <w:pStyle w:val="20"/>
        <w:jc w:val="center"/>
        <w:rPr>
          <w:rFonts w:ascii="黑体" w:hAnsi="宋体" w:eastAsia="黑体"/>
          <w:b/>
          <w:color w:val="auto"/>
          <w:sz w:val="44"/>
          <w:szCs w:val="44"/>
          <w:highlight w:val="none"/>
        </w:rPr>
      </w:pPr>
      <w:r>
        <w:rPr>
          <w:rFonts w:hint="eastAsia" w:ascii="黑体" w:hAnsi="宋体" w:eastAsia="黑体"/>
          <w:b/>
          <w:color w:val="auto"/>
          <w:sz w:val="44"/>
          <w:szCs w:val="44"/>
          <w:highlight w:val="none"/>
        </w:rPr>
        <w:t>采</w:t>
      </w:r>
      <w:r>
        <w:rPr>
          <w:rFonts w:ascii="黑体" w:hAnsi="宋体" w:eastAsia="黑体"/>
          <w:b/>
          <w:color w:val="auto"/>
          <w:sz w:val="44"/>
          <w:szCs w:val="44"/>
          <w:highlight w:val="none"/>
        </w:rPr>
        <w:t xml:space="preserve"> </w:t>
      </w:r>
      <w:r>
        <w:rPr>
          <w:rFonts w:hint="eastAsia" w:ascii="黑体" w:hAnsi="宋体" w:eastAsia="黑体"/>
          <w:b/>
          <w:color w:val="auto"/>
          <w:sz w:val="44"/>
          <w:szCs w:val="44"/>
          <w:highlight w:val="none"/>
        </w:rPr>
        <w:t>购</w:t>
      </w:r>
      <w:r>
        <w:rPr>
          <w:rFonts w:ascii="黑体" w:hAnsi="宋体" w:eastAsia="黑体"/>
          <w:b/>
          <w:color w:val="auto"/>
          <w:sz w:val="44"/>
          <w:szCs w:val="44"/>
          <w:highlight w:val="none"/>
        </w:rPr>
        <w:t xml:space="preserve"> </w:t>
      </w:r>
      <w:r>
        <w:rPr>
          <w:rFonts w:hint="eastAsia" w:ascii="黑体" w:hAnsi="宋体" w:eastAsia="黑体"/>
          <w:b/>
          <w:color w:val="auto"/>
          <w:sz w:val="44"/>
          <w:szCs w:val="44"/>
          <w:highlight w:val="none"/>
        </w:rPr>
        <w:t>合</w:t>
      </w:r>
      <w:r>
        <w:rPr>
          <w:rFonts w:ascii="黑体" w:hAnsi="宋体" w:eastAsia="黑体"/>
          <w:b/>
          <w:color w:val="auto"/>
          <w:sz w:val="44"/>
          <w:szCs w:val="44"/>
          <w:highlight w:val="none"/>
        </w:rPr>
        <w:t xml:space="preserve"> </w:t>
      </w:r>
      <w:r>
        <w:rPr>
          <w:rFonts w:hint="eastAsia" w:ascii="黑体" w:hAnsi="宋体" w:eastAsia="黑体"/>
          <w:b/>
          <w:color w:val="auto"/>
          <w:sz w:val="44"/>
          <w:szCs w:val="44"/>
          <w:highlight w:val="none"/>
        </w:rPr>
        <w:t>同</w:t>
      </w:r>
    </w:p>
    <w:p>
      <w:pPr>
        <w:pStyle w:val="20"/>
        <w:ind w:firstLine="560" w:firstLineChars="200"/>
        <w:jc w:val="center"/>
        <w:rPr>
          <w:rFonts w:hAnsi="宋体"/>
          <w:color w:val="auto"/>
          <w:sz w:val="28"/>
          <w:szCs w:val="28"/>
          <w:highlight w:val="none"/>
        </w:rPr>
      </w:pPr>
    </w:p>
    <w:p>
      <w:pPr>
        <w:pStyle w:val="20"/>
        <w:ind w:firstLine="560" w:firstLineChars="200"/>
        <w:jc w:val="center"/>
        <w:rPr>
          <w:rFonts w:hAnsi="宋体"/>
          <w:color w:val="auto"/>
          <w:sz w:val="28"/>
          <w:szCs w:val="28"/>
          <w:highlight w:val="none"/>
        </w:rPr>
      </w:pPr>
      <w:r>
        <w:rPr>
          <w:rFonts w:hint="eastAsia" w:hAnsi="宋体"/>
          <w:color w:val="auto"/>
          <w:sz w:val="28"/>
          <w:szCs w:val="28"/>
          <w:highlight w:val="none"/>
        </w:rPr>
        <w:t>（年度</w:t>
      </w:r>
      <w:r>
        <w:rPr>
          <w:rFonts w:hAnsi="宋体"/>
          <w:color w:val="auto"/>
          <w:sz w:val="28"/>
          <w:szCs w:val="28"/>
          <w:highlight w:val="none"/>
          <w:u w:val="single"/>
        </w:rPr>
        <w:t xml:space="preserve">         </w:t>
      </w:r>
      <w:r>
        <w:rPr>
          <w:rFonts w:hint="eastAsia" w:hAnsi="宋体"/>
          <w:color w:val="auto"/>
          <w:sz w:val="28"/>
          <w:szCs w:val="28"/>
          <w:highlight w:val="none"/>
        </w:rPr>
        <w:t>）</w:t>
      </w:r>
    </w:p>
    <w:p>
      <w:pPr>
        <w:pStyle w:val="20"/>
        <w:ind w:firstLine="600" w:firstLineChars="200"/>
        <w:jc w:val="center"/>
        <w:rPr>
          <w:rFonts w:hAnsi="宋体"/>
          <w:color w:val="auto"/>
          <w:sz w:val="30"/>
          <w:szCs w:val="30"/>
          <w:highlight w:val="none"/>
        </w:rPr>
      </w:pPr>
    </w:p>
    <w:p>
      <w:pPr>
        <w:pStyle w:val="20"/>
        <w:ind w:firstLine="600" w:firstLineChars="200"/>
        <w:jc w:val="center"/>
        <w:rPr>
          <w:rFonts w:hAnsi="宋体"/>
          <w:color w:val="auto"/>
          <w:sz w:val="30"/>
          <w:szCs w:val="30"/>
          <w:highlight w:val="none"/>
        </w:rPr>
      </w:pPr>
    </w:p>
    <w:p>
      <w:pPr>
        <w:pStyle w:val="20"/>
        <w:ind w:firstLine="1500" w:firstLineChars="500"/>
        <w:rPr>
          <w:rFonts w:hAnsi="宋体"/>
          <w:color w:val="auto"/>
          <w:sz w:val="30"/>
          <w:szCs w:val="30"/>
          <w:highlight w:val="none"/>
        </w:rPr>
      </w:pPr>
      <w:r>
        <w:rPr>
          <w:rFonts w:hint="eastAsia" w:hAnsi="宋体"/>
          <w:color w:val="auto"/>
          <w:sz w:val="30"/>
          <w:szCs w:val="30"/>
          <w:highlight w:val="none"/>
        </w:rPr>
        <w:t>项目名称：</w:t>
      </w:r>
      <w:r>
        <w:rPr>
          <w:rFonts w:hAnsi="宋体"/>
          <w:color w:val="auto"/>
          <w:sz w:val="30"/>
          <w:szCs w:val="30"/>
          <w:highlight w:val="none"/>
        </w:rPr>
        <w:t xml:space="preserve"> </w:t>
      </w:r>
    </w:p>
    <w:p>
      <w:pPr>
        <w:pStyle w:val="20"/>
        <w:ind w:firstLine="1350" w:firstLineChars="450"/>
        <w:rPr>
          <w:rFonts w:hAnsi="宋体"/>
          <w:color w:val="auto"/>
          <w:sz w:val="30"/>
          <w:szCs w:val="30"/>
          <w:highlight w:val="none"/>
        </w:rPr>
      </w:pPr>
    </w:p>
    <w:p>
      <w:pPr>
        <w:pStyle w:val="20"/>
        <w:ind w:firstLine="1350" w:firstLineChars="450"/>
        <w:rPr>
          <w:rFonts w:hAnsi="宋体"/>
          <w:color w:val="auto"/>
          <w:sz w:val="30"/>
          <w:szCs w:val="30"/>
          <w:highlight w:val="none"/>
        </w:rPr>
      </w:pPr>
    </w:p>
    <w:p>
      <w:pPr>
        <w:pStyle w:val="20"/>
        <w:ind w:firstLine="1350" w:firstLineChars="450"/>
        <w:rPr>
          <w:rFonts w:hAnsi="宋体"/>
          <w:color w:val="auto"/>
          <w:sz w:val="30"/>
          <w:szCs w:val="30"/>
          <w:highlight w:val="none"/>
          <w:u w:val="single"/>
        </w:rPr>
      </w:pPr>
      <w:r>
        <w:rPr>
          <w:rFonts w:hint="eastAsia" w:hAnsi="宋体"/>
          <w:color w:val="auto"/>
          <w:sz w:val="30"/>
          <w:szCs w:val="30"/>
          <w:highlight w:val="none"/>
        </w:rPr>
        <w:t>合同编号：</w:t>
      </w:r>
    </w:p>
    <w:p>
      <w:pPr>
        <w:pStyle w:val="20"/>
        <w:ind w:firstLine="1350" w:firstLineChars="450"/>
        <w:rPr>
          <w:rFonts w:hAnsi="宋体"/>
          <w:color w:val="auto"/>
          <w:sz w:val="30"/>
          <w:szCs w:val="30"/>
          <w:highlight w:val="none"/>
          <w:u w:val="single"/>
        </w:rPr>
      </w:pPr>
    </w:p>
    <w:p>
      <w:pPr>
        <w:pStyle w:val="20"/>
        <w:ind w:firstLine="600" w:firstLineChars="200"/>
        <w:jc w:val="center"/>
        <w:rPr>
          <w:rFonts w:hAnsi="宋体"/>
          <w:color w:val="auto"/>
          <w:sz w:val="30"/>
          <w:szCs w:val="30"/>
          <w:highlight w:val="none"/>
        </w:rPr>
      </w:pPr>
    </w:p>
    <w:p>
      <w:pPr>
        <w:pStyle w:val="20"/>
        <w:ind w:firstLine="444" w:firstLineChars="148"/>
        <w:rPr>
          <w:rFonts w:hAnsi="宋体"/>
          <w:color w:val="auto"/>
          <w:sz w:val="30"/>
          <w:szCs w:val="30"/>
          <w:highlight w:val="none"/>
        </w:rPr>
      </w:pPr>
      <w:r>
        <w:rPr>
          <w:rFonts w:hint="eastAsia" w:hAnsi="宋体"/>
          <w:color w:val="auto"/>
          <w:sz w:val="30"/>
          <w:szCs w:val="30"/>
          <w:highlight w:val="none"/>
        </w:rPr>
        <w:t>甲方</w:t>
      </w:r>
      <w:r>
        <w:rPr>
          <w:rFonts w:hAnsi="宋体"/>
          <w:color w:val="auto"/>
          <w:sz w:val="30"/>
          <w:szCs w:val="30"/>
          <w:highlight w:val="none"/>
        </w:rPr>
        <w:t>(</w:t>
      </w:r>
      <w:r>
        <w:rPr>
          <w:rFonts w:hint="eastAsia" w:hAnsi="宋体"/>
          <w:color w:val="auto"/>
          <w:sz w:val="30"/>
          <w:szCs w:val="30"/>
          <w:highlight w:val="none"/>
        </w:rPr>
        <w:t>采购人名称</w:t>
      </w:r>
      <w:r>
        <w:rPr>
          <w:rFonts w:hAnsi="宋体"/>
          <w:color w:val="auto"/>
          <w:sz w:val="30"/>
          <w:szCs w:val="30"/>
          <w:highlight w:val="none"/>
        </w:rPr>
        <w:t>)</w:t>
      </w:r>
      <w:r>
        <w:rPr>
          <w:rFonts w:hint="eastAsia" w:hAnsi="宋体"/>
          <w:color w:val="auto"/>
          <w:sz w:val="30"/>
          <w:szCs w:val="30"/>
          <w:highlight w:val="none"/>
        </w:rPr>
        <w:t>：</w:t>
      </w:r>
      <w:r>
        <w:rPr>
          <w:rFonts w:hAnsi="宋体" w:cs="Times New Roman"/>
          <w:color w:val="auto"/>
          <w:sz w:val="30"/>
          <w:szCs w:val="30"/>
          <w:highlight w:val="none"/>
          <w:u w:val="single"/>
        </w:rPr>
        <w:t xml:space="preserve"> </w:t>
      </w:r>
      <w:r>
        <w:rPr>
          <w:rFonts w:hint="eastAsia" w:hAnsi="宋体" w:cs="Times New Roman"/>
          <w:color w:val="auto"/>
          <w:sz w:val="30"/>
          <w:szCs w:val="30"/>
          <w:highlight w:val="none"/>
          <w:u w:val="single"/>
        </w:rPr>
        <w:t>国家税务总局广西壮族自治区税务局</w:t>
      </w:r>
      <w:r>
        <w:rPr>
          <w:rFonts w:hAnsi="宋体"/>
          <w:color w:val="auto"/>
          <w:sz w:val="30"/>
          <w:szCs w:val="30"/>
          <w:highlight w:val="none"/>
          <w:u w:val="single"/>
        </w:rPr>
        <w:t xml:space="preserve"> </w:t>
      </w:r>
    </w:p>
    <w:p>
      <w:pPr>
        <w:pStyle w:val="20"/>
        <w:rPr>
          <w:rFonts w:hAnsi="宋体"/>
          <w:color w:val="auto"/>
          <w:sz w:val="30"/>
          <w:szCs w:val="30"/>
          <w:highlight w:val="none"/>
        </w:rPr>
      </w:pPr>
    </w:p>
    <w:p>
      <w:pPr>
        <w:pStyle w:val="20"/>
        <w:ind w:firstLine="444" w:firstLineChars="148"/>
        <w:rPr>
          <w:rFonts w:hAnsi="宋体"/>
          <w:color w:val="auto"/>
          <w:sz w:val="30"/>
          <w:szCs w:val="30"/>
          <w:highlight w:val="none"/>
          <w:u w:val="single"/>
        </w:rPr>
      </w:pPr>
      <w:r>
        <w:rPr>
          <w:rFonts w:hint="eastAsia" w:hAnsi="宋体"/>
          <w:color w:val="auto"/>
          <w:sz w:val="30"/>
          <w:szCs w:val="30"/>
          <w:highlight w:val="none"/>
        </w:rPr>
        <w:t>乙方</w:t>
      </w:r>
      <w:r>
        <w:rPr>
          <w:rFonts w:hAnsi="宋体"/>
          <w:color w:val="auto"/>
          <w:sz w:val="30"/>
          <w:szCs w:val="30"/>
          <w:highlight w:val="none"/>
        </w:rPr>
        <w:t>(</w:t>
      </w:r>
      <w:r>
        <w:rPr>
          <w:rFonts w:hint="eastAsia" w:hAnsi="宋体"/>
          <w:color w:val="auto"/>
          <w:sz w:val="30"/>
          <w:szCs w:val="30"/>
          <w:highlight w:val="none"/>
        </w:rPr>
        <w:t>供应商名称</w:t>
      </w:r>
      <w:r>
        <w:rPr>
          <w:rFonts w:hAnsi="宋体"/>
          <w:color w:val="auto"/>
          <w:sz w:val="30"/>
          <w:szCs w:val="30"/>
          <w:highlight w:val="none"/>
        </w:rPr>
        <w:t>)</w:t>
      </w:r>
      <w:r>
        <w:rPr>
          <w:rFonts w:hint="eastAsia" w:hAnsi="宋体"/>
          <w:color w:val="auto"/>
          <w:sz w:val="30"/>
          <w:szCs w:val="30"/>
          <w:highlight w:val="none"/>
        </w:rPr>
        <w:t>：</w:t>
      </w:r>
      <w:r>
        <w:rPr>
          <w:rFonts w:hAnsi="宋体"/>
          <w:color w:val="auto"/>
          <w:sz w:val="30"/>
          <w:szCs w:val="30"/>
          <w:highlight w:val="none"/>
          <w:u w:val="single"/>
        </w:rPr>
        <w:t xml:space="preserve">                             </w:t>
      </w:r>
    </w:p>
    <w:p>
      <w:pPr>
        <w:pStyle w:val="20"/>
        <w:rPr>
          <w:rFonts w:hAnsi="宋体"/>
          <w:color w:val="auto"/>
          <w:sz w:val="30"/>
          <w:szCs w:val="30"/>
          <w:highlight w:val="none"/>
        </w:rPr>
      </w:pPr>
    </w:p>
    <w:p>
      <w:pPr>
        <w:pStyle w:val="20"/>
        <w:jc w:val="center"/>
        <w:rPr>
          <w:rFonts w:hAnsi="宋体"/>
          <w:color w:val="auto"/>
          <w:sz w:val="30"/>
          <w:szCs w:val="30"/>
          <w:highlight w:val="none"/>
        </w:rPr>
      </w:pPr>
      <w:r>
        <w:rPr>
          <w:rFonts w:hint="eastAsia" w:hAnsi="宋体"/>
          <w:color w:val="auto"/>
          <w:sz w:val="30"/>
          <w:szCs w:val="30"/>
          <w:highlight w:val="none"/>
        </w:rPr>
        <w:t>签</w:t>
      </w:r>
      <w:r>
        <w:rPr>
          <w:rFonts w:hAnsi="宋体"/>
          <w:color w:val="auto"/>
          <w:sz w:val="30"/>
          <w:szCs w:val="30"/>
          <w:highlight w:val="none"/>
        </w:rPr>
        <w:t xml:space="preserve"> </w:t>
      </w:r>
      <w:r>
        <w:rPr>
          <w:rFonts w:hint="eastAsia" w:hAnsi="宋体"/>
          <w:color w:val="auto"/>
          <w:sz w:val="30"/>
          <w:szCs w:val="30"/>
          <w:highlight w:val="none"/>
        </w:rPr>
        <w:t>订</w:t>
      </w:r>
      <w:r>
        <w:rPr>
          <w:rFonts w:hAnsi="宋体"/>
          <w:color w:val="auto"/>
          <w:sz w:val="30"/>
          <w:szCs w:val="30"/>
          <w:highlight w:val="none"/>
        </w:rPr>
        <w:t xml:space="preserve"> </w:t>
      </w:r>
      <w:r>
        <w:rPr>
          <w:rFonts w:hint="eastAsia" w:hAnsi="宋体"/>
          <w:color w:val="auto"/>
          <w:sz w:val="30"/>
          <w:szCs w:val="30"/>
          <w:highlight w:val="none"/>
        </w:rPr>
        <w:t>日</w:t>
      </w:r>
      <w:r>
        <w:rPr>
          <w:rFonts w:hAnsi="宋体"/>
          <w:color w:val="auto"/>
          <w:sz w:val="30"/>
          <w:szCs w:val="30"/>
          <w:highlight w:val="none"/>
        </w:rPr>
        <w:t xml:space="preserve"> </w:t>
      </w:r>
      <w:r>
        <w:rPr>
          <w:rFonts w:hint="eastAsia" w:hAnsi="宋体"/>
          <w:color w:val="auto"/>
          <w:sz w:val="30"/>
          <w:szCs w:val="30"/>
          <w:highlight w:val="none"/>
        </w:rPr>
        <w:t>期：</w:t>
      </w:r>
      <w:r>
        <w:rPr>
          <w:rFonts w:hAnsi="宋体"/>
          <w:color w:val="auto"/>
          <w:sz w:val="30"/>
          <w:szCs w:val="30"/>
          <w:highlight w:val="none"/>
        </w:rPr>
        <w:t xml:space="preserve">       </w:t>
      </w:r>
      <w:r>
        <w:rPr>
          <w:rFonts w:hint="eastAsia" w:hAnsi="宋体"/>
          <w:color w:val="auto"/>
          <w:sz w:val="30"/>
          <w:szCs w:val="30"/>
          <w:highlight w:val="none"/>
        </w:rPr>
        <w:t>年</w:t>
      </w:r>
      <w:r>
        <w:rPr>
          <w:rFonts w:hAnsi="宋体"/>
          <w:color w:val="auto"/>
          <w:sz w:val="30"/>
          <w:szCs w:val="30"/>
          <w:highlight w:val="none"/>
        </w:rPr>
        <w:t xml:space="preserve">    </w:t>
      </w:r>
      <w:r>
        <w:rPr>
          <w:rFonts w:hint="eastAsia" w:hAnsi="宋体"/>
          <w:color w:val="auto"/>
          <w:sz w:val="30"/>
          <w:szCs w:val="30"/>
          <w:highlight w:val="none"/>
        </w:rPr>
        <w:t xml:space="preserve">  月</w:t>
      </w:r>
      <w:r>
        <w:rPr>
          <w:rFonts w:hAnsi="宋体"/>
          <w:color w:val="auto"/>
          <w:sz w:val="30"/>
          <w:szCs w:val="30"/>
          <w:highlight w:val="none"/>
        </w:rPr>
        <w:t xml:space="preserve">     </w:t>
      </w:r>
      <w:r>
        <w:rPr>
          <w:rFonts w:hint="eastAsia" w:hAnsi="宋体"/>
          <w:color w:val="auto"/>
          <w:sz w:val="30"/>
          <w:szCs w:val="30"/>
          <w:highlight w:val="none"/>
        </w:rPr>
        <w:t>日</w:t>
      </w:r>
    </w:p>
    <w:p>
      <w:pPr>
        <w:jc w:val="center"/>
        <w:rPr>
          <w:rFonts w:hint="eastAsia" w:eastAsia="黑体"/>
          <w:b/>
          <w:color w:val="auto"/>
          <w:sz w:val="30"/>
          <w:szCs w:val="30"/>
          <w:highlight w:val="none"/>
        </w:rPr>
      </w:pPr>
    </w:p>
    <w:p>
      <w:pPr>
        <w:jc w:val="center"/>
        <w:rPr>
          <w:rFonts w:eastAsia="黑体"/>
          <w:b/>
          <w:color w:val="auto"/>
          <w:sz w:val="30"/>
          <w:szCs w:val="30"/>
          <w:highlight w:val="none"/>
        </w:rPr>
      </w:pPr>
      <w:r>
        <w:rPr>
          <w:rFonts w:hint="eastAsia" w:eastAsia="黑体"/>
          <w:b/>
          <w:color w:val="auto"/>
          <w:sz w:val="30"/>
          <w:szCs w:val="30"/>
          <w:highlight w:val="none"/>
        </w:rPr>
        <w:t>一、合同前文</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根据《中华人民共和国民法典》等法律、法规规定，按照采购文件规定采购方式、条款和成交供应商的承诺，甲乙双方经协商一致同意签订本合同。</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1.合同文件</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下列文件是构成本合同不可分割的部分：</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(1)采购（项目）需求、招标（采购）文件规定的合同条款；</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(2)报价表；</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(3)磋商文件技术部分和商务部分；</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(4)甲、乙双方商定确认后的补充协议</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(5)其他(根据实际情况需要增加的内容)。</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2.合同标的(根据实际情况填写)</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乙方应按照合同的规定，提供本项目采购文件中要求的货物及与货物有关的相关服务（详见附件：供货一览表）。</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3.合同金额</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本合同总金额为人民币______元(¥______)。本合同项下所有货物的全部税费均已包含于合同价中，甲方不再另行支付。</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4.合同签订地</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广西壮族自治区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市</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5.合同生效</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本合同一式六份，具有同等法律效力，甲方三份，乙方二份，采购代理机构一份。经甲乙双方法定代表人或其授权代表签字盖章，并在甲方收到乙方提交的履约保证金（如有）后生效。</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甲方（盖章）：                          法定代表人或其授权代表签字(或签章)：</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乙方（盖章）：                          法定代表人或其授权代表签字(或签章)：</w:t>
      </w:r>
    </w:p>
    <w:p>
      <w:pPr>
        <w:snapToGrid w:val="0"/>
        <w:spacing w:line="440" w:lineRule="exact"/>
        <w:ind w:firstLine="450"/>
        <w:jc w:val="left"/>
        <w:rPr>
          <w:rFonts w:hint="eastAsia" w:asciiTheme="minorEastAsia" w:hAnsiTheme="minorEastAsia" w:eastAsiaTheme="minorEastAsia" w:cstheme="minorEastAsia"/>
          <w:color w:val="auto"/>
          <w:sz w:val="21"/>
          <w:szCs w:val="21"/>
          <w:highlight w:val="none"/>
        </w:rPr>
      </w:pPr>
    </w:p>
    <w:p>
      <w:pPr>
        <w:snapToGrid w:val="0"/>
        <w:spacing w:line="440" w:lineRule="exact"/>
        <w:ind w:firstLine="450"/>
        <w:jc w:val="left"/>
        <w:rPr>
          <w:rFonts w:hint="eastAsia"/>
          <w:color w:val="auto"/>
          <w:highlight w:val="none"/>
        </w:rPr>
      </w:pPr>
    </w:p>
    <w:p>
      <w:pPr>
        <w:pStyle w:val="20"/>
        <w:jc w:val="center"/>
        <w:rPr>
          <w:rFonts w:ascii="MingLiU_HKSCS" w:eastAsia="MingLiU_HKSCS" w:cs="MingLiU_HKSCS"/>
          <w:b/>
          <w:color w:val="auto"/>
          <w:sz w:val="30"/>
          <w:szCs w:val="30"/>
          <w:highlight w:val="none"/>
        </w:rPr>
      </w:pPr>
      <w:r>
        <w:rPr>
          <w:rFonts w:hint="eastAsia" w:ascii="Times New Roman" w:eastAsia="黑体"/>
          <w:b/>
          <w:color w:val="auto"/>
          <w:sz w:val="30"/>
          <w:szCs w:val="30"/>
          <w:highlight w:val="none"/>
        </w:rPr>
        <w:t>二、合同前附表</w:t>
      </w: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合同名称：国家税务总局广西壮族自治区税务局购买预算管理一体化配套软件</w:t>
            </w:r>
          </w:p>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合同编号：ZB2022-584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甲方名称：国家税务总局广西壮族自治区税务局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甲方地址：南宁市青秀区民族大道105号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甲方开户银行名称：交通银行股份有限公司南宁金源支行</w:t>
            </w:r>
          </w:p>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账号：451060305010470003212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乙方联系人：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乙方开户银行名称：</w:t>
            </w:r>
          </w:p>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合同金额：人民币（大写）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交货时间：</w:t>
            </w:r>
          </w:p>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交货地点：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验收方式及标准：按照采购需求、投标(响应)文件及国家、行业规定的技术标准及规范，双方到场共同验收。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付款方式：</w:t>
            </w:r>
          </w:p>
          <w:p>
            <w:pPr>
              <w:pStyle w:val="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配套软件交付</w:t>
            </w:r>
            <w:r>
              <w:rPr>
                <w:rFonts w:hint="eastAsia" w:asciiTheme="minorEastAsia" w:hAnsiTheme="minorEastAsia" w:eastAsiaTheme="minorEastAsia" w:cstheme="minorEastAsia"/>
                <w:color w:val="auto"/>
                <w:kern w:val="0"/>
                <w:sz w:val="21"/>
                <w:szCs w:val="21"/>
                <w:highlight w:val="none"/>
                <w:lang w:eastAsia="zh-CN"/>
              </w:rPr>
              <w:t>后</w:t>
            </w:r>
            <w:r>
              <w:rPr>
                <w:rFonts w:hint="eastAsia" w:asciiTheme="minorEastAsia" w:hAnsiTheme="minorEastAsia" w:eastAsiaTheme="minorEastAsia" w:cstheme="minorEastAsia"/>
                <w:color w:val="auto"/>
                <w:kern w:val="0"/>
                <w:sz w:val="21"/>
                <w:szCs w:val="21"/>
                <w:highlight w:val="none"/>
                <w:lang w:val="en-US" w:eastAsia="zh-CN"/>
              </w:rPr>
              <w:t>30日内，甲方支付合同金额的80%；2023年9月30日前经</w:t>
            </w:r>
            <w:r>
              <w:rPr>
                <w:rFonts w:hint="eastAsia" w:asciiTheme="minorEastAsia" w:hAnsiTheme="minorEastAsia" w:eastAsiaTheme="minorEastAsia" w:cstheme="minorEastAsia"/>
                <w:color w:val="auto"/>
                <w:kern w:val="0"/>
                <w:sz w:val="21"/>
                <w:szCs w:val="21"/>
                <w:highlight w:val="none"/>
              </w:rPr>
              <w:t>验收合格</w:t>
            </w:r>
            <w:r>
              <w:rPr>
                <w:rFonts w:hint="eastAsia" w:asciiTheme="minorEastAsia" w:hAnsiTheme="minorEastAsia" w:eastAsiaTheme="minorEastAsia" w:cstheme="minorEastAsia"/>
                <w:color w:val="auto"/>
                <w:kern w:val="0"/>
                <w:sz w:val="21"/>
                <w:szCs w:val="21"/>
                <w:highlight w:val="none"/>
                <w:lang w:eastAsia="zh-CN"/>
              </w:rPr>
              <w:t>，甲方</w:t>
            </w:r>
            <w:r>
              <w:rPr>
                <w:rFonts w:hint="eastAsia" w:asciiTheme="minorEastAsia" w:hAnsiTheme="minorEastAsia" w:eastAsiaTheme="minorEastAsia" w:cstheme="minorEastAsia"/>
                <w:color w:val="auto"/>
                <w:kern w:val="0"/>
                <w:sz w:val="21"/>
                <w:szCs w:val="21"/>
                <w:highlight w:val="none"/>
              </w:rPr>
              <w:t>支付</w:t>
            </w:r>
            <w:r>
              <w:rPr>
                <w:rFonts w:hint="eastAsia" w:asciiTheme="minorEastAsia" w:hAnsiTheme="minorEastAsia" w:eastAsiaTheme="minorEastAsia" w:cstheme="minorEastAsia"/>
                <w:color w:val="auto"/>
                <w:kern w:val="0"/>
                <w:sz w:val="21"/>
                <w:szCs w:val="21"/>
                <w:highlight w:val="none"/>
                <w:lang w:eastAsia="zh-CN"/>
              </w:rPr>
              <w:t>剩余</w:t>
            </w:r>
            <w:r>
              <w:rPr>
                <w:rFonts w:hint="eastAsia" w:asciiTheme="minorEastAsia" w:hAnsiTheme="minorEastAsia" w:eastAsiaTheme="minorEastAsia" w:cstheme="minorEastAsia"/>
                <w:color w:val="auto"/>
                <w:kern w:val="0"/>
                <w:sz w:val="21"/>
                <w:szCs w:val="21"/>
                <w:highlight w:val="none"/>
              </w:rPr>
              <w:t>合同</w:t>
            </w:r>
            <w:r>
              <w:rPr>
                <w:rFonts w:hint="eastAsia" w:asciiTheme="minorEastAsia" w:hAnsiTheme="minorEastAsia" w:eastAsiaTheme="minorEastAsia" w:cstheme="minorEastAsia"/>
                <w:color w:val="auto"/>
                <w:kern w:val="0"/>
                <w:sz w:val="21"/>
                <w:szCs w:val="21"/>
                <w:highlight w:val="none"/>
                <w:lang w:eastAsia="zh-CN"/>
              </w:rPr>
              <w:t>款项</w:t>
            </w:r>
            <w:r>
              <w:rPr>
                <w:rFonts w:hint="eastAsia" w:asciiTheme="minorEastAsia" w:hAnsiTheme="minorEastAsia" w:eastAsiaTheme="minorEastAsia" w:cstheme="minorEastAsia"/>
                <w:color w:val="auto"/>
                <w:kern w:val="0"/>
                <w:sz w:val="21"/>
                <w:szCs w:val="21"/>
                <w:highlight w:val="none"/>
              </w:rPr>
              <w:t>。</w:t>
            </w:r>
          </w:p>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甲方付款前，乙方应向甲方开具等额有效的增值税发票。甲方未收到发票的，有权不予支付相应款项直至乙方提供合格发票，并不承担延迟付款责任。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履约保证金及其返还：本项目不要求乙方提供。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2" w:char="0052"/>
            </w:r>
            <w:r>
              <w:rPr>
                <w:rFonts w:hint="eastAsia" w:asciiTheme="minorEastAsia" w:hAnsiTheme="minorEastAsia" w:eastAsiaTheme="minorEastAsia" w:cstheme="minorEastAsia"/>
                <w:color w:val="auto"/>
                <w:sz w:val="21"/>
                <w:szCs w:val="21"/>
                <w:highlight w:val="none"/>
              </w:rPr>
              <w:t>违约金约定：1.乙方违约或无正当理由造成解除合同的，甲方按合同价款的10%收取违约金。合同解除后，乙方逾期退回款项及支付违约金的，每逾期一天，按应退款项及违约金总额的0.5%计算违约金。</w:t>
            </w:r>
          </w:p>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2.乙方存在其它违约行为的，甲方按按违约服务款额的5%收取违约金。</w:t>
            </w:r>
          </w:p>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2" w:char="0052"/>
            </w:r>
            <w:r>
              <w:rPr>
                <w:rFonts w:hint="eastAsia" w:asciiTheme="minorEastAsia" w:hAnsiTheme="minorEastAsia" w:eastAsiaTheme="minorEastAsia" w:cstheme="minorEastAsia"/>
                <w:color w:val="auto"/>
                <w:sz w:val="21"/>
                <w:szCs w:val="21"/>
                <w:highlight w:val="none"/>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误期赔偿费约定：如果乙方没有按照合同规定的时间交货和提供服务，甲方有权从应付价款中扣除误期赔偿费而不影响合同项下的其他补救方法。赔偿费按每日加收合同金额的0.5%计收，直至交货或提供服务为止。但误期赔偿费的最高限额不超过合同价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77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合同纠纷的解决方式：</w:t>
            </w:r>
          </w:p>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首先通过双方协商解决，协商解决不成，则通过以下途径之一解决纠纷(请在方框内画“√”选择)：</w:t>
            </w:r>
          </w:p>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提请______仲裁委员会按照仲裁程序在______(仲裁地)仲裁</w:t>
            </w:r>
          </w:p>
          <w:p>
            <w:pPr>
              <w:pStyle w:val="20"/>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sym w:font="Wingdings 2" w:char="0052"/>
            </w:r>
            <w:r>
              <w:rPr>
                <w:rFonts w:hint="eastAsia" w:asciiTheme="minorEastAsia" w:hAnsiTheme="minorEastAsia" w:eastAsiaTheme="minorEastAsia" w:cstheme="minorEastAsia"/>
                <w:color w:val="auto"/>
                <w:sz w:val="21"/>
                <w:szCs w:val="21"/>
                <w:highlight w:val="none"/>
              </w:rPr>
              <w:t>向项目所在地有管辖权的人民法院提起诉讼</w:t>
            </w:r>
          </w:p>
        </w:tc>
      </w:tr>
    </w:tbl>
    <w:p>
      <w:pPr>
        <w:pStyle w:val="20"/>
        <w:spacing w:line="360" w:lineRule="exact"/>
        <w:jc w:val="left"/>
        <w:rPr>
          <w:rFonts w:hint="eastAsia" w:asciiTheme="minorEastAsia" w:hAnsiTheme="minorEastAsia" w:eastAsiaTheme="minorEastAsia" w:cstheme="minorEastAsia"/>
          <w:color w:val="auto"/>
          <w:sz w:val="21"/>
          <w:szCs w:val="21"/>
          <w:highlight w:val="none"/>
        </w:rPr>
      </w:pPr>
    </w:p>
    <w:p>
      <w:pPr>
        <w:pStyle w:val="20"/>
        <w:spacing w:line="360" w:lineRule="exact"/>
        <w:jc w:val="left"/>
        <w:rPr>
          <w:rFonts w:hint="eastAsia" w:hAnsi="宋体"/>
          <w:color w:val="auto"/>
          <w:highlight w:val="none"/>
        </w:rPr>
      </w:pPr>
    </w:p>
    <w:p>
      <w:pPr>
        <w:pStyle w:val="20"/>
        <w:ind w:firstLine="602" w:firstLineChars="200"/>
        <w:jc w:val="center"/>
        <w:rPr>
          <w:rFonts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hint="eastAsia" w:ascii="Times New Roman" w:eastAsia="黑体"/>
          <w:b/>
          <w:color w:val="auto"/>
          <w:sz w:val="30"/>
          <w:szCs w:val="30"/>
          <w:highlight w:val="none"/>
        </w:rPr>
      </w:pPr>
    </w:p>
    <w:p>
      <w:pPr>
        <w:pStyle w:val="20"/>
        <w:ind w:firstLine="602" w:firstLineChars="200"/>
        <w:jc w:val="center"/>
        <w:rPr>
          <w:rFonts w:ascii="Times New Roman" w:eastAsia="黑体"/>
          <w:b/>
          <w:color w:val="auto"/>
          <w:sz w:val="30"/>
          <w:szCs w:val="30"/>
          <w:highlight w:val="none"/>
        </w:rPr>
      </w:pPr>
      <w:r>
        <w:rPr>
          <w:rFonts w:hint="eastAsia" w:ascii="Times New Roman" w:eastAsia="黑体"/>
          <w:b/>
          <w:color w:val="auto"/>
          <w:sz w:val="30"/>
          <w:szCs w:val="30"/>
          <w:highlight w:val="none"/>
        </w:rPr>
        <w:t>三、合同通用条款</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1.定义</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本合同下列术语应解释为：</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　“甲方”是指采购人。</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　“乙方”是指</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供应商。</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　“合同”系指甲乙双方签署的、合同中载明的甲乙双方所达成的协议，包括所有的附件、附录和上述文件所提到的构成合同的所有文件。</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　“货物”是指根据本合同规定，乙方按照招标(采购)、投标(响应)文件，向甲方提供符合要求的全部产品，包括一切设备、机械、仪器仪表、备品备件、工具及与信息处理和交流有关的硬件、软件以及所有有关的文件等。</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　“服务”是指根据本合同规定，乙方承担与货物有关的相关服务，包括但不限于运输、保险、安装、调试、技术支持、质量保障、售后服务、培训和合同中规定乙方应承担的其他义务。</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　除非特别指出，“天”均为自然天。</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合同标的标准</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乙方为甲方交付的货物及服务应符合招标</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文件所述的内容，如果没有提及适用标准，则应符合相应的国家标准。这些标准必须是有关机构发布的最新版本的标准。</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除非技术要求中另有规定，计量单位均采用中华人民共和国法定计量单位。</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货物还应符合国家有关安全、环保、卫生的相关规定。</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质量保证</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　乙方应保证所供货物是全新的、未使用过的，并完全符合或高于合同要求的质量、规格和技术性能的要求。</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乙方应保证其货物在正确安装、正常使用和保养条件下，在其使用寿命期内具有满意的性能，或者没有因乙方的行为或疏忽而产生的缺陷。在货物最终交付验收后不少于合同规定或乙方承诺(两者以较长的为准)的质量保证期内，本保证保持有效。</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　如果服务和交付物与合同不符或不符合甲方要求，或证实交付物是有缺陷的，包括潜在的缺陷或使用不符合要求的材料等，由此引起的全部费用由乙方承担。若以上原因导致或引起甲方损失及导致或引起第三方受到损害的，全部赔偿责任均应由乙方承担。</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　在质量保证期内所发现的缺陷，甲方应尽快以书面形式通知乙方。</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　乙方收到通知后应在本合同规定的响应时间内以合理的速度免费维修或更换有缺陷的货物或部件。</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　在质量保证期内，如果货物的质量或规格与合同不符，或证实货物是有缺陷的，包括潜在的缺陷或使用不符合要求的材料等，甲方可以根据本合同第10.1条规定以书面形式向乙方提出补救措施或索赔。</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　乙方在约定的时间内未能弥补缺陷，甲方可采取必要的补救措施，但其风险和费用将由乙方承担，甲方根据合同规定对乙方行使的其他权利不受影响。</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　本合同的质量保证期见合同条款前附表。</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4.包装要求</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　除合同另有规定外，乙方提供的全部货物均应按标准保护措施进行包装，这类包装应适应于远距离运输、防潮、防震、防锈和防野蛮装卸，以确保货物安全无损运抵指定现场。</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　乙方应承担由于其包装或防护措施不当而引起的货物损坏和丢失的任何损失责任和费用。</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　每一个包装箱内应附一份详细装箱单和质量证书。</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5.知识产权</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　乙方应保证所提供的货物及服务免受第三方提出侵犯其知识产权(专利权、商标权、版权等)的起诉。如果甲方在使用乙方货物或货物的任何一部分过程中，第三方提出货物侵犯其专利权、工业设计权、使用权等知识产权，乙方应当修正以避免侵权。</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　如果甲方在使用乙方货物或货物的任何一部分过程中，第三方指控侵犯其专利权、工业设计权、使用权等知识产权，乙方将自费为甲方、各采购人答辩，并支付法院最终判决的甲方应支付第三方的一切费用。</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　有关本项目的所有设计、施工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6.权利瑕疵担保</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　乙方保证对其出售的货物享有合法的权利。</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　乙方保证在其出售的货物上不存在任何未曾向甲方透露的担保物权，如抵押权、质押权、留置权等。</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　如甲方使用该货物构成上述侵权的，则由乙方承担全部责任。</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7.保密义务</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　甲乙双方在采购和履行合同过程中所获悉的对方属于保密的内容，双方均有保密义务。</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8.履约保证金</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　乙方应在签署合同前，以支票、汇票、本票或者金融机构、担保机构出具的保函等非现金形式向甲方提供。</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　履约保证金具体金额及返还要求见合同条款前附表。</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8.3　如乙方未能履行合同规定的义务，甲方有权按照本合同的约定从履约保证金中进行相应扣除。乙方应在甲方扣除履约保证金后15天内，及时补充扣除部分金额。</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8.4　乙方不履行合同，或者履行合同义务不符合约定使得合同目的不能实现，履约保证金不予退还，给甲方造成的损失超过履约保证金数额的，还应当对超过部分予以赔偿。</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9.交货与验收</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　交货地点：合同条款前附表指定地点。</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　交货时间：合同条款前附表指定时间。</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9.3　甲方在收到乙方交付的货物后应当及时组织验收。</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9.4　货物的表面瑕疵，甲方应在验收时当面提出；对质量问题有异议的应在安装调试时进行记录。</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　在验收过程中发现数量不足或有质量、技术等问题，乙方应按照合同要求采取补足、更换或退货等处理措施，并承担由此发生的一切费用和损失。</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9.6  甲方对货物进行检查验收合格后，应当及时履行验收手续。</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9.7　大型或者复杂的货物采购项目，甲方可以邀请国家认可的质量检测机构参加验收工作，并由其出具验收报告。</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10.违约责任</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　质量缺陷的补救措施和索赔</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10.1.1  如果乙方提供的产品不符合质量标准或存在产品质量缺陷，而甲方在合同条款规定的检验、安装、调试、验收和质量保证期内，根据法定质量检测部门出具的检验证书向乙方提出了索赔，乙方应按照甲方同意的下列一种或几种方式结合起来解决索赔事宜：</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10.1.1.1  乙方同意退货并将货款退还给甲方，由此发生的一切费用和损失由乙方承担。如甲方以适当的条件和方法购买与未履约标的相类似的货物，乙方应负担新购买类似货物所超出的费用。</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10.1.1.2  根据货物的质量状况以及甲方所遭受的损失，经过甲乙双方商定降低货物的价格。</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10.1.1.3  乙方应在接到甲方通知后7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10.1.1.4  依照《合同前附表》第10条的约定收取乙方违约金、要求乙方赔偿损失。</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10.1.2  如果在甲方发出索赔通知后10日内乙方未作答复，上述索赔应视为已被乙方接受。如果乙方未能在甲方发出索赔通知后10日内或甲方同意延长的期限内，按照上述规定的任何一种方法采取补救措施，甲方有权从应付货款中扣除索赔金额或者没收履约保证金，如不足以弥补甲方损失的，甲方有权进一步要求乙方赔偿。</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  乙方迟延交货或逾期履行其他合同义务的违约责任</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10.2.1  乙方应按照本合同规定的时间、地点交货和提供服务。</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10.2.2  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10.2.3  除甲乙双方另有约定外，如果乙方没有按照合同规定的时间交货和提供服务，甲方有权从货款、履约保证金中扣除或要求乙方另行支付误期违约金而不影响合同项下的其他补救方法。违约金按每日合同金额的0.5%(各单位可根据实际情况重新设定)计收，直至交货或提供服务为止。但误期赔偿费的最高限额不超过合同价的15%(各单位可根据实际情况重新设定)。</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10.2.4  如果乙方迟延交货或逾期履行其他合同义务超过30日，甲方有权解除全部或部分合同，并依其认为适当的条件和方法购买与未交货物类似的货物，乙方应负担购买类似货物所超出的费用。但是，乙方应继续执行合同中未解除的部分。</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10.3　未履行合同义务的违约责任</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10.3.1  守约方有权解除全部或部分合同。</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10.3.2  没收全额履约保证金。</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10.3.3  由违约一方支付违约金，违约金标准见合同条款前附表(各单位可根据实际情况自行约定)。</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10.3.4  违约金不足以弥补守约方实际损失、可预见或者应当预见的损失，由违约方全额予以赔偿。</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10.4  任一方违约，守约方因此支付的争议处理费用，包括但不限于诉讼费、律师费、鉴定费、调查费、公证费、诉讼财产保全责任保险费等均由违约方承担。</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11.税务系统信息化项目失信管理</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  禁止乙方另行开发本项目业务需求范围内、供纳税人缴费人使用的软件，对违反合约条款的，纳入税务系统信息化服务商失信行为记录名单。</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  乙方在本项目实施过程中发生违反网络安全规定行为，造成数据失窃或丢失、敏感信息泄露、主要业务系统瘫痪等不良后果的，自甲方或甲方主管机关做出认定之日起三年，税务系统各单位可以拒绝乙方参加税务系统政府采购活动。</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  乙方应建立防止违法违规聘用离职税务人员风险防控制度，对乙方违法违规聘用离职税务人员行为的，视情节严重程度采取必要的处理措施（包括限期改正、支付违约金、解除合同、三年内限制参加所聘人员原单位及下属单位信息化项目政府采购活动等）。</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  失信行为的认定、结果应用、信用修复等，按照公开文件《国家税务总局办公厅关于修订&lt;税务系统信息化服务商失信行为记录名单制度（试行）&gt;的通知》（税总办征科发〔2022〕1号）执行。税务总局认定存在失信行为的服务商，3年内限制参加税收信息化项目政府采购活动。</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12.不可抗力</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　如果合同双方因不可抗力而导致合同实施延误或合同无法实施，不应该承担误期赔偿或不能履行合同义务的责任。</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　本条所述的“不可抗力”系指那些双方不可预见、不可避免、不可克服的客观情况，但不包括双方的违约或疏忽。这些事件包括但不限于：战争、严重火灾、洪水、台风、地震、疫情等。</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13.合同纠纷的解决方式</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　合同各方应通过友好协商，解决在执行合同过程中所发生的或与合同有关的一切争端。如协商30日内(根据实际情况设定)不能解决，可以《按合同前附表》规定的方式提起仲裁或诉讼。</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　仲裁裁决应为最终裁决，对双方均具有约束力。</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13.3　仲裁费除仲裁机关另有裁决外应由败诉方负担。</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13.4　诉讼应由项目所在地人民法院管辖。诉讼费除人民法院另有判决外应由败诉方负担。</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13.5　如仲裁或诉讼事项不影响合同其他部分的履行，则在仲裁或诉讼期间，除正在进行仲裁或诉讼的部分外，合同的其他部分应继续执行。</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14.合同修改或变更</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14.1　如无合同约定或法定事由，甲方双方不得擅自变更合同。</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14.2　如确需变更合同，甲乙双方应签署书面变更协议。变更协议为本合同不可分割的一部分。</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14.3　在不改变合同其他条款的前提下，甲方有权在合同价款10%的范围内追加与合同标的相同的货物或服务，并就此与乙方签订补充合同，乙方不得拒绝。</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15.合同中止</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15.1　合同在履行过程中，因采购计划调整，甲方可以要求中止履行，待计划确定后继续履行，若中止时间超过6个月的，甲方可视情况终止合同，双方互不承担责任；合同履行过程中因乙方就采购过程或结果提起投诉的，甲方认为有必要或财政部责令中止的，应当中止合同的履行。  </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16.违约解除合同</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　若出现如下情形，甲方有权向乙方发出书面通知书，解除部分或全部合同并要求乙方支付合同金额的20%作为解约违约金：</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16.1.1 如果乙方未能在合同规定的期限或甲方同意延长的期限内提供货物或服务，逾期10天以上；</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16.1.2 如果乙方未能履行合同规定的其他任何义务，出现两次达不到合同要求情况；</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16.1.3 如果甲方认为乙方在本合同的竞争或实施中有腐败和欺诈行为；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16.1.4 乙方擅自以任何形式将合同转包，或部分或全部转让其应履行的合同义务的。</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　如果甲方根据上述第15.1条的规定，解除了全部或部分合同，甲方可以适当的条件和方法购买乙方未能提供的货物或服务，乙方应对甲方购买类似货物或服务所超出的费用负责。同时，乙方应继续执行合同中未解除的部分。</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17.破产终止合同</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　如果乙方破产或无清偿能力，甲方可在任何时候以书面形式通知乙方终止合同而不给乙方补偿。</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　该终止协议将不损害或影响甲方已经采取或将要采取的任何行动或补救措施的权利。</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18.其他终止合同情况</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18.1　若合同继续履行将给甲方造成重大损失的，甲方可以终止合同而不给予乙方任何补偿。</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18.2　乙方在执行合同的过程中发生重大事故，对履行合同有直接影响的，甲方可以终止合同而不给予乙方任何补偿。</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18.3　甲方因重大变故取消或部分取消原来的采购任务，导致合同全部或部分内容无须继续履行的，可以终止合同而不给予乙方任何补偿。</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19.合同转让和分包</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　乙方不得以任何形式将合同转包，或部分或全部转让其应履行的合同义务。</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　除经甲方事先书面同意外，乙方不得以任何形式将合同分包。</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20.适用法律</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　本合同适用中华人民共和国现行法律、行政法规和规章，如合同条款与法律、行政法规和规章不一致的，按照法律、行政法规和规章修改本合同。</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21.合同语言</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　本合同语言为中文。</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　双方交换的与合同有关的信件和其他文件应用合同语言书写。</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22.合同生效</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　本合同应在甲方收到乙方提供的履约保证金，双方负责人、法定代表人或授权代表签字并加盖单位公章后生效。</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23.合同效力</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　除本合同和甲乙双方书面签署的补充协议外，其他任何形式的双方约定和往来函件均不具有合同效力，对本项目无约束。</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24.检查和审计</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24.1在本合同的履行过程中，甲方有权对乙方的合同履约情况进行阶段性检查，并对乙方投标</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时提供的相关资料进行复核。</w:t>
      </w:r>
    </w:p>
    <w:p>
      <w:pPr>
        <w:pStyle w:val="20"/>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24.2　在本合同的履行过程中，如果甲乙双方发生争议或者乙方没有按照合同约定履行义务，乙方应允许甲方检查乙方与实施本合同有关的账户和记录，并由甲方指定的审计人员对其进行审计。</w:t>
      </w:r>
    </w:p>
    <w:p>
      <w:pPr>
        <w:pStyle w:val="20"/>
        <w:ind w:firstLine="400" w:firstLineChars="200"/>
        <w:jc w:val="center"/>
        <w:rPr>
          <w:rFonts w:ascii="Times New Roman" w:eastAsia="黑体"/>
          <w:b/>
          <w:color w:val="auto"/>
          <w:sz w:val="30"/>
          <w:szCs w:val="30"/>
          <w:highlight w:val="none"/>
        </w:rPr>
      </w:pPr>
      <w:r>
        <w:rPr>
          <w:color w:val="auto"/>
          <w:highlight w:val="none"/>
        </w:rPr>
        <w:br w:type="page"/>
      </w:r>
      <w:r>
        <w:rPr>
          <w:rFonts w:hint="eastAsia" w:ascii="Times New Roman" w:eastAsia="黑体"/>
          <w:b/>
          <w:color w:val="auto"/>
          <w:sz w:val="30"/>
          <w:szCs w:val="30"/>
          <w:highlight w:val="none"/>
        </w:rPr>
        <w:t>四、合同补充条款（双方据实商定）</w:t>
      </w:r>
    </w:p>
    <w:p>
      <w:pPr>
        <w:pStyle w:val="20"/>
        <w:spacing w:line="460" w:lineRule="exact"/>
        <w:rPr>
          <w:rFonts w:ascii="仿宋" w:hAnsi="仿宋" w:eastAsia="仿宋" w:cs="仿宋"/>
          <w:bCs/>
          <w:color w:val="auto"/>
          <w:sz w:val="28"/>
          <w:szCs w:val="28"/>
          <w:highlight w:val="none"/>
        </w:rPr>
      </w:pPr>
    </w:p>
    <w:p>
      <w:pPr>
        <w:pStyle w:val="20"/>
        <w:spacing w:line="460" w:lineRule="exact"/>
        <w:jc w:val="center"/>
        <w:rPr>
          <w:rFonts w:ascii="Times New Roman" w:eastAsia="黑体"/>
          <w:b/>
          <w:color w:val="auto"/>
          <w:sz w:val="30"/>
          <w:szCs w:val="30"/>
          <w:highlight w:val="none"/>
        </w:rPr>
      </w:pPr>
    </w:p>
    <w:p>
      <w:pPr>
        <w:pStyle w:val="20"/>
        <w:spacing w:line="460" w:lineRule="exact"/>
        <w:jc w:val="center"/>
        <w:rPr>
          <w:rFonts w:ascii="仿宋" w:hAnsi="仿宋" w:eastAsia="仿宋" w:cs="仿宋"/>
          <w:bCs/>
          <w:color w:val="auto"/>
          <w:sz w:val="28"/>
          <w:szCs w:val="28"/>
          <w:highlight w:val="none"/>
        </w:rPr>
      </w:pPr>
      <w:r>
        <w:rPr>
          <w:rFonts w:hint="eastAsia" w:ascii="Times New Roman" w:eastAsia="黑体"/>
          <w:b/>
          <w:color w:val="auto"/>
          <w:sz w:val="30"/>
          <w:szCs w:val="30"/>
          <w:highlight w:val="none"/>
        </w:rPr>
        <w:t>五、合同附件（与正件装订成册）</w:t>
      </w:r>
    </w:p>
    <w:p>
      <w:pPr>
        <w:pStyle w:val="20"/>
        <w:ind w:firstLine="560" w:firstLineChars="200"/>
        <w:rPr>
          <w:rFonts w:ascii="Times New Roman" w:cs="Courier New"/>
          <w:color w:val="auto"/>
          <w:sz w:val="28"/>
          <w:highlight w:val="none"/>
        </w:rPr>
      </w:pPr>
      <w:r>
        <w:rPr>
          <w:rFonts w:hint="eastAsia" w:ascii="Times New Roman" w:cs="Courier New"/>
          <w:bCs/>
          <w:color w:val="auto"/>
          <w:sz w:val="28"/>
          <w:highlight w:val="none"/>
        </w:rPr>
        <w:t>（一）</w:t>
      </w:r>
      <w:r>
        <w:rPr>
          <w:rFonts w:hint="eastAsia" w:ascii="Times New Roman" w:cs="Courier New"/>
          <w:color w:val="auto"/>
          <w:sz w:val="28"/>
          <w:highlight w:val="none"/>
        </w:rPr>
        <w:t>供货一览表（乙方填制）；</w:t>
      </w:r>
    </w:p>
    <w:p>
      <w:pPr>
        <w:pStyle w:val="20"/>
        <w:ind w:firstLine="560" w:firstLineChars="200"/>
        <w:rPr>
          <w:rFonts w:ascii="Times New Roman" w:cs="Courier New"/>
          <w:color w:val="auto"/>
          <w:sz w:val="28"/>
          <w:highlight w:val="none"/>
        </w:rPr>
      </w:pPr>
      <w:r>
        <w:rPr>
          <w:rFonts w:hint="eastAsia" w:ascii="Times New Roman" w:cs="Courier New"/>
          <w:color w:val="auto"/>
          <w:sz w:val="28"/>
          <w:highlight w:val="none"/>
        </w:rPr>
        <w:t>（二）投标（响应）文件报价表部分（乙方提供）；</w:t>
      </w:r>
    </w:p>
    <w:p>
      <w:pPr>
        <w:pStyle w:val="20"/>
        <w:ind w:firstLine="560" w:firstLineChars="200"/>
        <w:rPr>
          <w:rFonts w:ascii="Times New Roman" w:cs="Courier New"/>
          <w:color w:val="auto"/>
          <w:sz w:val="28"/>
          <w:highlight w:val="none"/>
        </w:rPr>
      </w:pPr>
      <w:r>
        <w:rPr>
          <w:rFonts w:hint="eastAsia" w:ascii="Times New Roman" w:cs="Courier New"/>
          <w:color w:val="auto"/>
          <w:sz w:val="28"/>
          <w:highlight w:val="none"/>
        </w:rPr>
        <w:t>（三）投标（响应）文件技术部分和商务部分（乙方提供）；</w:t>
      </w:r>
    </w:p>
    <w:p>
      <w:pPr>
        <w:pStyle w:val="20"/>
        <w:ind w:firstLine="560" w:firstLineChars="200"/>
        <w:rPr>
          <w:rFonts w:ascii="Times New Roman" w:cs="Courier New"/>
          <w:color w:val="auto"/>
          <w:sz w:val="28"/>
          <w:highlight w:val="none"/>
        </w:rPr>
      </w:pPr>
      <w:r>
        <w:rPr>
          <w:rFonts w:hint="eastAsia" w:ascii="Times New Roman" w:cs="Courier New"/>
          <w:color w:val="auto"/>
          <w:sz w:val="28"/>
          <w:highlight w:val="none"/>
        </w:rPr>
        <w:t>（四）采购需求（与采购文件一致）；</w:t>
      </w:r>
    </w:p>
    <w:p>
      <w:pPr>
        <w:ind w:firstLine="560" w:firstLineChars="200"/>
        <w:rPr>
          <w:color w:val="auto"/>
          <w:sz w:val="28"/>
          <w:highlight w:val="none"/>
        </w:rPr>
      </w:pPr>
      <w:r>
        <w:rPr>
          <w:rFonts w:hint="eastAsia"/>
          <w:color w:val="auto"/>
          <w:sz w:val="28"/>
          <w:highlight w:val="none"/>
        </w:rPr>
        <w:t>（五）合同验收书格式（验收时填制，供参考）；</w:t>
      </w:r>
    </w:p>
    <w:p>
      <w:pPr>
        <w:ind w:firstLine="560" w:firstLineChars="200"/>
        <w:rPr>
          <w:color w:val="auto"/>
          <w:sz w:val="28"/>
          <w:highlight w:val="none"/>
        </w:rPr>
      </w:pPr>
      <w:r>
        <w:rPr>
          <w:rFonts w:hint="eastAsia"/>
          <w:color w:val="auto"/>
          <w:sz w:val="28"/>
          <w:highlight w:val="none"/>
        </w:rPr>
        <w:t>（六）采购项目履约保证金退付意见书（供参考）。</w:t>
      </w: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pStyle w:val="20"/>
        <w:numPr>
          <w:ilvl w:val="0"/>
          <w:numId w:val="2"/>
        </w:numPr>
        <w:spacing w:line="460" w:lineRule="exact"/>
        <w:rPr>
          <w:rFonts w:ascii="黑体" w:eastAsia="黑体"/>
          <w:color w:val="auto"/>
          <w:sz w:val="32"/>
          <w:szCs w:val="32"/>
          <w:highlight w:val="none"/>
        </w:rPr>
      </w:pPr>
      <w:r>
        <w:rPr>
          <w:rFonts w:hint="eastAsia" w:ascii="黑体" w:eastAsia="黑体"/>
          <w:color w:val="auto"/>
          <w:sz w:val="32"/>
          <w:szCs w:val="32"/>
          <w:highlight w:val="none"/>
        </w:rPr>
        <w:t>供货一览表（乙方填制）</w:t>
      </w:r>
    </w:p>
    <w:p>
      <w:pPr>
        <w:rPr>
          <w:color w:val="auto"/>
          <w:highlight w:val="none"/>
        </w:rPr>
      </w:pPr>
    </w:p>
    <w:tbl>
      <w:tblPr>
        <w:tblStyle w:val="44"/>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2199"/>
        <w:gridCol w:w="1740"/>
        <w:gridCol w:w="197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93" w:type="dxa"/>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2199" w:type="dxa"/>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货物名称</w:t>
            </w:r>
          </w:p>
        </w:tc>
        <w:tc>
          <w:tcPr>
            <w:tcW w:w="1740" w:type="dxa"/>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单位及数量</w:t>
            </w:r>
          </w:p>
        </w:tc>
        <w:tc>
          <w:tcPr>
            <w:tcW w:w="1970" w:type="dxa"/>
            <w:vAlign w:val="center"/>
          </w:tcPr>
          <w:p>
            <w:pPr>
              <w:snapToGrid w:val="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单价</w:t>
            </w:r>
          </w:p>
        </w:tc>
        <w:tc>
          <w:tcPr>
            <w:tcW w:w="1970" w:type="dxa"/>
            <w:vAlign w:val="center"/>
          </w:tcPr>
          <w:p>
            <w:pPr>
              <w:snapToGrid w:val="0"/>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合计</w:t>
            </w:r>
            <w:r>
              <w:rPr>
                <w:rFonts w:hint="eastAsia" w:ascii="宋体" w:hAnsi="宋体" w:cs="宋体"/>
                <w:color w:val="auto"/>
                <w:sz w:val="28"/>
                <w:szCs w:val="28"/>
                <w:highlight w:val="none"/>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93" w:type="dxa"/>
            <w:vAlign w:val="center"/>
          </w:tcPr>
          <w:p>
            <w:pPr>
              <w:snapToGrid w:val="0"/>
              <w:jc w:val="center"/>
              <w:rPr>
                <w:rFonts w:ascii="宋体" w:hAnsi="宋体" w:cs="宋体"/>
                <w:color w:val="auto"/>
                <w:sz w:val="28"/>
                <w:szCs w:val="28"/>
                <w:highlight w:val="none"/>
              </w:rPr>
            </w:pPr>
            <w:r>
              <w:rPr>
                <w:rFonts w:ascii="宋体" w:hAnsi="宋体" w:cs="宋体"/>
                <w:color w:val="auto"/>
                <w:sz w:val="28"/>
                <w:szCs w:val="28"/>
                <w:highlight w:val="none"/>
              </w:rPr>
              <w:t>1</w:t>
            </w:r>
          </w:p>
        </w:tc>
        <w:tc>
          <w:tcPr>
            <w:tcW w:w="2199" w:type="dxa"/>
            <w:vAlign w:val="center"/>
          </w:tcPr>
          <w:p>
            <w:pPr>
              <w:jc w:val="center"/>
              <w:rPr>
                <w:rFonts w:ascii="宋体" w:cs="宋体"/>
                <w:color w:val="auto"/>
                <w:sz w:val="28"/>
                <w:szCs w:val="28"/>
                <w:highlight w:val="none"/>
              </w:rPr>
            </w:pPr>
          </w:p>
        </w:tc>
        <w:tc>
          <w:tcPr>
            <w:tcW w:w="1740" w:type="dxa"/>
            <w:vAlign w:val="center"/>
          </w:tcPr>
          <w:p>
            <w:pPr>
              <w:snapToGrid w:val="0"/>
              <w:jc w:val="center"/>
              <w:rPr>
                <w:rFonts w:ascii="宋体" w:cs="宋体"/>
                <w:color w:val="auto"/>
                <w:sz w:val="28"/>
                <w:szCs w:val="28"/>
                <w:highlight w:val="none"/>
              </w:rPr>
            </w:pPr>
          </w:p>
        </w:tc>
        <w:tc>
          <w:tcPr>
            <w:tcW w:w="1970" w:type="dxa"/>
            <w:vAlign w:val="center"/>
          </w:tcPr>
          <w:p>
            <w:pPr>
              <w:pStyle w:val="20"/>
              <w:jc w:val="center"/>
              <w:rPr>
                <w:rFonts w:hAnsi="宋体"/>
                <w:color w:val="auto"/>
                <w:sz w:val="28"/>
                <w:szCs w:val="28"/>
                <w:highlight w:val="none"/>
              </w:rPr>
            </w:pPr>
          </w:p>
        </w:tc>
        <w:tc>
          <w:tcPr>
            <w:tcW w:w="1970" w:type="dxa"/>
            <w:vAlign w:val="center"/>
          </w:tcPr>
          <w:p>
            <w:pPr>
              <w:pStyle w:val="20"/>
              <w:jc w:val="center"/>
              <w:rPr>
                <w:rFonts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93" w:type="dxa"/>
            <w:vAlign w:val="center"/>
          </w:tcPr>
          <w:p>
            <w:pPr>
              <w:snapToGrid w:val="0"/>
              <w:jc w:val="center"/>
              <w:rPr>
                <w:rFonts w:ascii="宋体" w:cs="宋体"/>
                <w:color w:val="auto"/>
                <w:sz w:val="28"/>
                <w:szCs w:val="28"/>
                <w:highlight w:val="none"/>
              </w:rPr>
            </w:pPr>
            <w:r>
              <w:rPr>
                <w:rFonts w:ascii="宋体" w:hAnsi="宋体" w:cs="宋体"/>
                <w:color w:val="auto"/>
                <w:sz w:val="28"/>
                <w:szCs w:val="28"/>
                <w:highlight w:val="none"/>
              </w:rPr>
              <w:t>2</w:t>
            </w:r>
          </w:p>
        </w:tc>
        <w:tc>
          <w:tcPr>
            <w:tcW w:w="2199" w:type="dxa"/>
            <w:vAlign w:val="center"/>
          </w:tcPr>
          <w:p>
            <w:pPr>
              <w:jc w:val="center"/>
              <w:rPr>
                <w:rFonts w:ascii="宋体" w:cs="宋体"/>
                <w:color w:val="auto"/>
                <w:sz w:val="28"/>
                <w:szCs w:val="28"/>
                <w:highlight w:val="none"/>
              </w:rPr>
            </w:pPr>
          </w:p>
        </w:tc>
        <w:tc>
          <w:tcPr>
            <w:tcW w:w="1740" w:type="dxa"/>
            <w:vAlign w:val="center"/>
          </w:tcPr>
          <w:p>
            <w:pPr>
              <w:snapToGrid w:val="0"/>
              <w:jc w:val="center"/>
              <w:rPr>
                <w:rFonts w:ascii="宋体" w:cs="宋体"/>
                <w:color w:val="auto"/>
                <w:sz w:val="28"/>
                <w:szCs w:val="28"/>
                <w:highlight w:val="none"/>
              </w:rPr>
            </w:pPr>
          </w:p>
        </w:tc>
        <w:tc>
          <w:tcPr>
            <w:tcW w:w="1970" w:type="dxa"/>
            <w:vAlign w:val="center"/>
          </w:tcPr>
          <w:p>
            <w:pPr>
              <w:pStyle w:val="20"/>
              <w:jc w:val="center"/>
              <w:rPr>
                <w:rFonts w:hAnsi="宋体"/>
                <w:color w:val="auto"/>
                <w:sz w:val="28"/>
                <w:szCs w:val="28"/>
                <w:highlight w:val="none"/>
              </w:rPr>
            </w:pPr>
          </w:p>
        </w:tc>
        <w:tc>
          <w:tcPr>
            <w:tcW w:w="1970" w:type="dxa"/>
            <w:vAlign w:val="center"/>
          </w:tcPr>
          <w:p>
            <w:pPr>
              <w:pStyle w:val="20"/>
              <w:jc w:val="center"/>
              <w:rPr>
                <w:rFonts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93" w:type="dxa"/>
            <w:vAlign w:val="center"/>
          </w:tcPr>
          <w:p>
            <w:pPr>
              <w:snapToGrid w:val="0"/>
              <w:jc w:val="center"/>
              <w:rPr>
                <w:rFonts w:ascii="宋体" w:cs="宋体"/>
                <w:color w:val="auto"/>
                <w:sz w:val="28"/>
                <w:szCs w:val="28"/>
                <w:highlight w:val="none"/>
              </w:rPr>
            </w:pPr>
            <w:r>
              <w:rPr>
                <w:rFonts w:ascii="宋体" w:hAnsi="宋体" w:cs="宋体"/>
                <w:color w:val="auto"/>
                <w:sz w:val="28"/>
                <w:szCs w:val="28"/>
                <w:highlight w:val="none"/>
              </w:rPr>
              <w:t>3</w:t>
            </w:r>
          </w:p>
        </w:tc>
        <w:tc>
          <w:tcPr>
            <w:tcW w:w="2199" w:type="dxa"/>
            <w:vAlign w:val="center"/>
          </w:tcPr>
          <w:p>
            <w:pPr>
              <w:jc w:val="center"/>
              <w:rPr>
                <w:rFonts w:ascii="宋体" w:cs="宋体"/>
                <w:color w:val="auto"/>
                <w:sz w:val="28"/>
                <w:szCs w:val="28"/>
                <w:highlight w:val="none"/>
              </w:rPr>
            </w:pPr>
          </w:p>
        </w:tc>
        <w:tc>
          <w:tcPr>
            <w:tcW w:w="1740" w:type="dxa"/>
            <w:vAlign w:val="center"/>
          </w:tcPr>
          <w:p>
            <w:pPr>
              <w:snapToGrid w:val="0"/>
              <w:jc w:val="center"/>
              <w:rPr>
                <w:rFonts w:ascii="宋体" w:cs="宋体"/>
                <w:color w:val="auto"/>
                <w:sz w:val="28"/>
                <w:szCs w:val="28"/>
                <w:highlight w:val="none"/>
              </w:rPr>
            </w:pPr>
          </w:p>
        </w:tc>
        <w:tc>
          <w:tcPr>
            <w:tcW w:w="1970" w:type="dxa"/>
            <w:vAlign w:val="center"/>
          </w:tcPr>
          <w:p>
            <w:pPr>
              <w:pStyle w:val="20"/>
              <w:jc w:val="center"/>
              <w:rPr>
                <w:rFonts w:hAnsi="宋体"/>
                <w:color w:val="auto"/>
                <w:sz w:val="28"/>
                <w:szCs w:val="28"/>
                <w:highlight w:val="none"/>
              </w:rPr>
            </w:pPr>
          </w:p>
        </w:tc>
        <w:tc>
          <w:tcPr>
            <w:tcW w:w="1970" w:type="dxa"/>
            <w:vAlign w:val="center"/>
          </w:tcPr>
          <w:p>
            <w:pPr>
              <w:pStyle w:val="20"/>
              <w:jc w:val="center"/>
              <w:rPr>
                <w:rFonts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93" w:type="dxa"/>
            <w:vAlign w:val="center"/>
          </w:tcPr>
          <w:p>
            <w:pPr>
              <w:snapToGrid w:val="0"/>
              <w:jc w:val="center"/>
              <w:rPr>
                <w:rFonts w:ascii="宋体" w:cs="宋体"/>
                <w:color w:val="auto"/>
                <w:sz w:val="28"/>
                <w:szCs w:val="28"/>
                <w:highlight w:val="none"/>
              </w:rPr>
            </w:pPr>
            <w:r>
              <w:rPr>
                <w:rFonts w:ascii="宋体" w:hAnsi="宋体" w:cs="宋体"/>
                <w:color w:val="auto"/>
                <w:sz w:val="28"/>
                <w:szCs w:val="28"/>
                <w:highlight w:val="none"/>
              </w:rPr>
              <w:t>4</w:t>
            </w:r>
          </w:p>
        </w:tc>
        <w:tc>
          <w:tcPr>
            <w:tcW w:w="2199" w:type="dxa"/>
            <w:vAlign w:val="center"/>
          </w:tcPr>
          <w:p>
            <w:pPr>
              <w:jc w:val="center"/>
              <w:rPr>
                <w:rFonts w:ascii="宋体" w:cs="宋体"/>
                <w:color w:val="auto"/>
                <w:sz w:val="28"/>
                <w:szCs w:val="28"/>
                <w:highlight w:val="none"/>
              </w:rPr>
            </w:pPr>
          </w:p>
        </w:tc>
        <w:tc>
          <w:tcPr>
            <w:tcW w:w="1740" w:type="dxa"/>
            <w:vAlign w:val="center"/>
          </w:tcPr>
          <w:p>
            <w:pPr>
              <w:snapToGrid w:val="0"/>
              <w:jc w:val="center"/>
              <w:rPr>
                <w:rFonts w:ascii="宋体" w:cs="宋体"/>
                <w:color w:val="auto"/>
                <w:sz w:val="28"/>
                <w:szCs w:val="28"/>
                <w:highlight w:val="none"/>
              </w:rPr>
            </w:pPr>
          </w:p>
        </w:tc>
        <w:tc>
          <w:tcPr>
            <w:tcW w:w="1970" w:type="dxa"/>
            <w:vAlign w:val="center"/>
          </w:tcPr>
          <w:p>
            <w:pPr>
              <w:pStyle w:val="20"/>
              <w:jc w:val="center"/>
              <w:rPr>
                <w:rFonts w:hAnsi="宋体"/>
                <w:color w:val="auto"/>
                <w:sz w:val="28"/>
                <w:szCs w:val="28"/>
                <w:highlight w:val="none"/>
              </w:rPr>
            </w:pPr>
          </w:p>
        </w:tc>
        <w:tc>
          <w:tcPr>
            <w:tcW w:w="1970" w:type="dxa"/>
            <w:vAlign w:val="center"/>
          </w:tcPr>
          <w:p>
            <w:pPr>
              <w:pStyle w:val="20"/>
              <w:jc w:val="center"/>
              <w:rPr>
                <w:rFonts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93" w:type="dxa"/>
            <w:vAlign w:val="center"/>
          </w:tcPr>
          <w:p>
            <w:pPr>
              <w:snapToGrid w:val="0"/>
              <w:jc w:val="center"/>
              <w:rPr>
                <w:rFonts w:ascii="宋体" w:cs="宋体"/>
                <w:color w:val="auto"/>
                <w:sz w:val="28"/>
                <w:szCs w:val="28"/>
                <w:highlight w:val="none"/>
              </w:rPr>
            </w:pPr>
            <w:r>
              <w:rPr>
                <w:rFonts w:ascii="宋体" w:hAnsi="宋体" w:cs="宋体"/>
                <w:color w:val="auto"/>
                <w:sz w:val="28"/>
                <w:szCs w:val="28"/>
                <w:highlight w:val="none"/>
              </w:rPr>
              <w:t>5</w:t>
            </w:r>
          </w:p>
        </w:tc>
        <w:tc>
          <w:tcPr>
            <w:tcW w:w="2199" w:type="dxa"/>
            <w:vAlign w:val="center"/>
          </w:tcPr>
          <w:p>
            <w:pPr>
              <w:jc w:val="center"/>
              <w:rPr>
                <w:rFonts w:ascii="宋体" w:cs="宋体"/>
                <w:color w:val="auto"/>
                <w:sz w:val="28"/>
                <w:szCs w:val="28"/>
                <w:highlight w:val="none"/>
              </w:rPr>
            </w:pPr>
          </w:p>
        </w:tc>
        <w:tc>
          <w:tcPr>
            <w:tcW w:w="1740" w:type="dxa"/>
            <w:vAlign w:val="center"/>
          </w:tcPr>
          <w:p>
            <w:pPr>
              <w:snapToGrid w:val="0"/>
              <w:jc w:val="center"/>
              <w:rPr>
                <w:rFonts w:ascii="宋体" w:cs="宋体"/>
                <w:color w:val="auto"/>
                <w:sz w:val="28"/>
                <w:szCs w:val="28"/>
                <w:highlight w:val="none"/>
              </w:rPr>
            </w:pPr>
          </w:p>
        </w:tc>
        <w:tc>
          <w:tcPr>
            <w:tcW w:w="1970" w:type="dxa"/>
            <w:vAlign w:val="center"/>
          </w:tcPr>
          <w:p>
            <w:pPr>
              <w:pStyle w:val="20"/>
              <w:jc w:val="center"/>
              <w:rPr>
                <w:rFonts w:hAnsi="宋体"/>
                <w:color w:val="auto"/>
                <w:sz w:val="28"/>
                <w:szCs w:val="28"/>
                <w:highlight w:val="none"/>
              </w:rPr>
            </w:pPr>
          </w:p>
        </w:tc>
        <w:tc>
          <w:tcPr>
            <w:tcW w:w="1970" w:type="dxa"/>
            <w:vAlign w:val="center"/>
          </w:tcPr>
          <w:p>
            <w:pPr>
              <w:pStyle w:val="20"/>
              <w:jc w:val="center"/>
              <w:rPr>
                <w:rFonts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93" w:type="dxa"/>
            <w:vAlign w:val="center"/>
          </w:tcPr>
          <w:p>
            <w:pPr>
              <w:snapToGrid w:val="0"/>
              <w:jc w:val="center"/>
              <w:rPr>
                <w:rFonts w:ascii="宋体" w:cs="宋体"/>
                <w:color w:val="auto"/>
                <w:sz w:val="28"/>
                <w:szCs w:val="28"/>
                <w:highlight w:val="none"/>
              </w:rPr>
            </w:pPr>
            <w:r>
              <w:rPr>
                <w:rFonts w:ascii="宋体" w:hAnsi="宋体" w:cs="宋体"/>
                <w:color w:val="auto"/>
                <w:sz w:val="28"/>
                <w:szCs w:val="28"/>
                <w:highlight w:val="none"/>
              </w:rPr>
              <w:t>6</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宋体"/>
                <w:color w:val="auto"/>
                <w:sz w:val="28"/>
                <w:szCs w:val="28"/>
                <w:highlight w:val="none"/>
              </w:rPr>
            </w:pPr>
          </w:p>
        </w:tc>
        <w:tc>
          <w:tcPr>
            <w:tcW w:w="1740" w:type="dxa"/>
            <w:vAlign w:val="center"/>
          </w:tcPr>
          <w:p>
            <w:pPr>
              <w:snapToGrid w:val="0"/>
              <w:jc w:val="center"/>
              <w:rPr>
                <w:rFonts w:ascii="宋体" w:cs="宋体"/>
                <w:color w:val="auto"/>
                <w:sz w:val="28"/>
                <w:szCs w:val="28"/>
                <w:highlight w:val="none"/>
              </w:rPr>
            </w:pPr>
          </w:p>
        </w:tc>
        <w:tc>
          <w:tcPr>
            <w:tcW w:w="1970" w:type="dxa"/>
            <w:vAlign w:val="center"/>
          </w:tcPr>
          <w:p>
            <w:pPr>
              <w:pStyle w:val="20"/>
              <w:jc w:val="center"/>
              <w:rPr>
                <w:rFonts w:hAnsi="宋体"/>
                <w:color w:val="auto"/>
                <w:sz w:val="28"/>
                <w:szCs w:val="28"/>
                <w:highlight w:val="none"/>
              </w:rPr>
            </w:pPr>
          </w:p>
          <w:p>
            <w:pPr>
              <w:rPr>
                <w:color w:val="auto"/>
                <w:highlight w:val="none"/>
              </w:rPr>
            </w:pPr>
          </w:p>
        </w:tc>
        <w:tc>
          <w:tcPr>
            <w:tcW w:w="1970" w:type="dxa"/>
            <w:vAlign w:val="center"/>
          </w:tcPr>
          <w:p>
            <w:pPr>
              <w:pStyle w:val="20"/>
              <w:jc w:val="center"/>
              <w:rPr>
                <w:rFonts w:hAnsi="宋体"/>
                <w:color w:val="auto"/>
                <w:sz w:val="28"/>
                <w:szCs w:val="28"/>
                <w:highlight w:val="none"/>
              </w:rPr>
            </w:pPr>
          </w:p>
        </w:tc>
      </w:tr>
    </w:tbl>
    <w:p>
      <w:pPr>
        <w:pStyle w:val="20"/>
        <w:ind w:firstLine="400" w:firstLineChars="200"/>
        <w:rPr>
          <w:rFonts w:ascii="Times New Roman"/>
          <w:color w:val="auto"/>
          <w:highlight w:val="none"/>
        </w:rPr>
      </w:pPr>
    </w:p>
    <w:p>
      <w:pPr>
        <w:pStyle w:val="20"/>
        <w:spacing w:line="460" w:lineRule="exact"/>
        <w:rPr>
          <w:rFonts w:ascii="Times New Roman"/>
          <w:color w:val="auto"/>
          <w:highlight w:val="none"/>
        </w:rPr>
      </w:pPr>
    </w:p>
    <w:p>
      <w:pPr>
        <w:rPr>
          <w:color w:val="auto"/>
          <w:highlight w:val="none"/>
        </w:rPr>
      </w:pPr>
    </w:p>
    <w:p>
      <w:pPr>
        <w:rPr>
          <w:color w:val="auto"/>
          <w:highlight w:val="none"/>
        </w:rPr>
      </w:pPr>
    </w:p>
    <w:p>
      <w:pPr>
        <w:pStyle w:val="20"/>
        <w:spacing w:line="460" w:lineRule="exact"/>
        <w:rPr>
          <w:rFonts w:ascii="黑体" w:eastAsia="黑体"/>
          <w:color w:val="auto"/>
          <w:sz w:val="32"/>
          <w:szCs w:val="32"/>
          <w:highlight w:val="none"/>
        </w:rPr>
      </w:pPr>
      <w:r>
        <w:rPr>
          <w:rFonts w:hint="eastAsia" w:ascii="黑体" w:eastAsia="黑体"/>
          <w:color w:val="auto"/>
          <w:sz w:val="32"/>
          <w:szCs w:val="32"/>
          <w:highlight w:val="none"/>
        </w:rPr>
        <w:t>(二)投标（响应）文件报价表部分（乙方提供）</w:t>
      </w:r>
    </w:p>
    <w:p>
      <w:pPr>
        <w:pStyle w:val="20"/>
        <w:spacing w:line="460" w:lineRule="exact"/>
        <w:rPr>
          <w:rFonts w:ascii="Times New Roman"/>
          <w:color w:val="auto"/>
          <w:highlight w:val="none"/>
        </w:rPr>
      </w:pPr>
      <w:r>
        <w:rPr>
          <w:rFonts w:hint="eastAsia" w:asciiTheme="minorEastAsia" w:hAnsiTheme="minorEastAsia" w:eastAsiaTheme="minorEastAsia" w:cstheme="minorEastAsia"/>
          <w:color w:val="auto"/>
          <w:sz w:val="21"/>
          <w:szCs w:val="21"/>
          <w:highlight w:val="none"/>
        </w:rPr>
        <w:t>由乙方按照投标（响应）文件提供，并保持与投标（响应）文件一致。</w:t>
      </w:r>
    </w:p>
    <w:p>
      <w:pPr>
        <w:pStyle w:val="20"/>
        <w:spacing w:line="460" w:lineRule="exact"/>
        <w:rPr>
          <w:rFonts w:ascii="黑体" w:eastAsia="黑体"/>
          <w:color w:val="auto"/>
          <w:sz w:val="32"/>
          <w:szCs w:val="32"/>
          <w:highlight w:val="none"/>
        </w:rPr>
      </w:pPr>
    </w:p>
    <w:p>
      <w:pPr>
        <w:pStyle w:val="20"/>
        <w:spacing w:line="460" w:lineRule="exact"/>
        <w:rPr>
          <w:rFonts w:ascii="黑体" w:eastAsia="黑体"/>
          <w:color w:val="auto"/>
          <w:sz w:val="32"/>
          <w:szCs w:val="32"/>
          <w:highlight w:val="none"/>
        </w:rPr>
      </w:pPr>
    </w:p>
    <w:p>
      <w:pPr>
        <w:rPr>
          <w:color w:val="auto"/>
          <w:highlight w:val="none"/>
        </w:rPr>
      </w:pPr>
    </w:p>
    <w:p>
      <w:pPr>
        <w:rPr>
          <w:color w:val="auto"/>
          <w:highlight w:val="none"/>
        </w:rPr>
      </w:pPr>
    </w:p>
    <w:p>
      <w:pPr>
        <w:pStyle w:val="20"/>
        <w:spacing w:line="460" w:lineRule="exact"/>
        <w:rPr>
          <w:rFonts w:ascii="黑体" w:eastAsia="黑体"/>
          <w:color w:val="auto"/>
          <w:sz w:val="32"/>
          <w:szCs w:val="32"/>
          <w:highlight w:val="none"/>
        </w:rPr>
      </w:pPr>
      <w:r>
        <w:rPr>
          <w:rFonts w:hint="eastAsia" w:ascii="黑体" w:eastAsia="黑体"/>
          <w:color w:val="auto"/>
          <w:sz w:val="32"/>
          <w:szCs w:val="32"/>
          <w:highlight w:val="none"/>
        </w:rPr>
        <w:t>(三)投标（响应）文件技术部分和商务部分（乙方提供）</w:t>
      </w:r>
    </w:p>
    <w:p>
      <w:pPr>
        <w:pStyle w:val="20"/>
        <w:spacing w:line="4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由乙方按照响应文件提供，并保持与磋商文件一致。</w:t>
      </w:r>
    </w:p>
    <w:p>
      <w:pPr>
        <w:pStyle w:val="20"/>
        <w:spacing w:line="460" w:lineRule="exact"/>
        <w:rPr>
          <w:rFonts w:ascii="Times New Roman"/>
          <w:color w:val="auto"/>
          <w:highlight w:val="none"/>
        </w:rPr>
      </w:pPr>
    </w:p>
    <w:p>
      <w:pPr>
        <w:rPr>
          <w:color w:val="auto"/>
          <w:highlight w:val="none"/>
        </w:rPr>
      </w:pPr>
    </w:p>
    <w:p>
      <w:pPr>
        <w:rPr>
          <w:color w:val="auto"/>
          <w:highlight w:val="none"/>
        </w:rPr>
      </w:pPr>
    </w:p>
    <w:p>
      <w:pPr>
        <w:rPr>
          <w:color w:val="auto"/>
          <w:highlight w:val="none"/>
        </w:rPr>
      </w:pPr>
    </w:p>
    <w:p>
      <w:pPr>
        <w:pStyle w:val="20"/>
        <w:spacing w:line="460" w:lineRule="exact"/>
        <w:rPr>
          <w:rFonts w:ascii="黑体" w:eastAsia="黑体"/>
          <w:color w:val="auto"/>
          <w:sz w:val="32"/>
          <w:szCs w:val="32"/>
          <w:highlight w:val="none"/>
        </w:rPr>
      </w:pPr>
      <w:r>
        <w:rPr>
          <w:rFonts w:hint="eastAsia" w:ascii="黑体" w:eastAsia="黑体"/>
          <w:color w:val="auto"/>
          <w:sz w:val="32"/>
          <w:szCs w:val="32"/>
          <w:highlight w:val="none"/>
        </w:rPr>
        <w:t>(四)采购需求（与采购文件一致）</w:t>
      </w:r>
    </w:p>
    <w:p>
      <w:pPr>
        <w:rPr>
          <w:rFonts w:ascii="宋体" w:hAnsi="宋体"/>
          <w:b/>
          <w:color w:val="auto"/>
          <w:sz w:val="30"/>
          <w:szCs w:val="30"/>
          <w:highlight w:val="none"/>
        </w:rPr>
      </w:pPr>
    </w:p>
    <w:p>
      <w:pPr>
        <w:rPr>
          <w:rFonts w:ascii="宋体" w:hAnsi="宋体"/>
          <w:b/>
          <w:color w:val="auto"/>
          <w:sz w:val="30"/>
          <w:szCs w:val="30"/>
          <w:highlight w:val="none"/>
        </w:rPr>
      </w:pPr>
    </w:p>
    <w:p>
      <w:pPr>
        <w:rPr>
          <w:rFonts w:ascii="宋体" w:hAnsi="宋体"/>
          <w:b/>
          <w:color w:val="auto"/>
          <w:sz w:val="30"/>
          <w:szCs w:val="30"/>
          <w:highlight w:val="none"/>
        </w:rPr>
      </w:pPr>
    </w:p>
    <w:p>
      <w:pPr>
        <w:pStyle w:val="2"/>
        <w:rPr>
          <w:color w:val="auto"/>
          <w:highlight w:val="none"/>
        </w:rPr>
      </w:pPr>
    </w:p>
    <w:p>
      <w:pPr>
        <w:rPr>
          <w:rFonts w:ascii="宋体" w:hAnsi="宋体"/>
          <w:color w:val="auto"/>
          <w:sz w:val="30"/>
          <w:szCs w:val="30"/>
          <w:highlight w:val="none"/>
        </w:rPr>
      </w:pPr>
      <w:r>
        <w:rPr>
          <w:rFonts w:hint="eastAsia" w:ascii="宋体" w:hAnsi="宋体"/>
          <w:b/>
          <w:color w:val="auto"/>
          <w:sz w:val="30"/>
          <w:szCs w:val="30"/>
          <w:highlight w:val="none"/>
        </w:rPr>
        <w:t>(五)合同验收书格式</w:t>
      </w:r>
      <w:r>
        <w:rPr>
          <w:rFonts w:hint="eastAsia" w:ascii="宋体" w:hAnsi="宋体"/>
          <w:color w:val="auto"/>
          <w:sz w:val="30"/>
          <w:szCs w:val="30"/>
          <w:highlight w:val="none"/>
        </w:rPr>
        <w:t>（验收时填制，供参考）</w:t>
      </w:r>
    </w:p>
    <w:p>
      <w:pPr>
        <w:pStyle w:val="199"/>
        <w:adjustRightInd w:val="0"/>
        <w:spacing w:line="560" w:lineRule="exact"/>
        <w:ind w:firstLineChars="0"/>
        <w:jc w:val="center"/>
        <w:rPr>
          <w:rFonts w:ascii="方正小标宋简体" w:hAnsi="方正小标宋简体" w:eastAsia="方正小标宋简体" w:cs="方正小标宋简体"/>
          <w:bCs/>
          <w:color w:val="auto"/>
          <w:sz w:val="36"/>
          <w:szCs w:val="36"/>
          <w:highlight w:val="none"/>
        </w:rPr>
      </w:pPr>
      <w:r>
        <w:rPr>
          <w:rFonts w:hint="eastAsia" w:ascii="方正小标宋简体" w:hAnsi="方正小标宋简体" w:eastAsia="方正小标宋简体" w:cs="方正小标宋简体"/>
          <w:bCs/>
          <w:color w:val="auto"/>
          <w:sz w:val="36"/>
          <w:szCs w:val="36"/>
          <w:highlight w:val="none"/>
        </w:rPr>
        <w:t>项目验收书（付款时提供）</w:t>
      </w:r>
    </w:p>
    <w:p>
      <w:pPr>
        <w:pStyle w:val="199"/>
        <w:adjustRightInd w:val="0"/>
        <w:spacing w:line="560" w:lineRule="exact"/>
        <w:ind w:firstLineChars="0"/>
        <w:jc w:val="center"/>
        <w:rPr>
          <w:rFonts w:ascii="仿宋_GB2312" w:hAnsi="仿宋_GB2312" w:eastAsia="仿宋_GB2312" w:cs="仿宋_GB2312"/>
          <w:b/>
          <w:color w:val="auto"/>
          <w:sz w:val="28"/>
          <w:szCs w:val="28"/>
          <w:highlight w:val="none"/>
        </w:rPr>
      </w:pP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一、项目基本情况</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（一）项目名称及编号</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（二）合同名称及编号</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（三）乙方名称、乙方联系人及联系方式</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（四）合同金额</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（五）历次验收及已付款情况等</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二、项目基本内容</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（一）合同约定的主要内容</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（二）本次付款对应的合同内容和所属阶段</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三、组织验收情况</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（一）验收情况，包括验收内容、验收期限等</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（二）验收评价及结论，包括项目执行情况、是否通过验收等</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四、其他需要说明的情况</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五、应支付合同款情况</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依据验收结论，本次验收后应支付合同第几次付款及付款金额等</w:t>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w:t>
      </w:r>
    </w:p>
    <w:p>
      <w:pPr>
        <w:spacing w:line="56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w:t>
      </w:r>
      <w:r>
        <w:rPr>
          <w:rFonts w:hint="eastAsia" w:ascii="仿宋_GB2312" w:hAnsi="仿宋_GB2312" w:eastAsia="仿宋_GB2312" w:cs="仿宋_GB2312"/>
          <w:color w:val="auto"/>
          <w:sz w:val="32"/>
          <w:szCs w:val="32"/>
          <w:highlight w:val="none"/>
        </w:rPr>
        <w:t>项目负责人签字：</w:t>
      </w:r>
    </w:p>
    <w:p>
      <w:pPr>
        <w:spacing w:line="560" w:lineRule="exact"/>
        <w:rPr>
          <w:rStyle w:val="47"/>
          <w:rFonts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kern w:val="0"/>
          <w:sz w:val="32"/>
          <w:szCs w:val="32"/>
          <w:highlight w:val="none"/>
        </w:rPr>
        <w:t>　　验收牵头部门</w:t>
      </w:r>
      <w:r>
        <w:rPr>
          <w:rFonts w:hint="eastAsia" w:ascii="仿宋_GB2312" w:hAnsi="仿宋_GB2312" w:eastAsia="仿宋_GB2312" w:cs="仿宋_GB2312"/>
          <w:color w:val="auto"/>
          <w:sz w:val="32"/>
          <w:szCs w:val="32"/>
          <w:highlight w:val="none"/>
        </w:rPr>
        <w:t>领导签字：</w:t>
      </w:r>
      <w:r>
        <w:rPr>
          <w:rStyle w:val="47"/>
          <w:rFonts w:hint="eastAsia" w:ascii="仿宋_GB2312" w:hAnsi="仿宋_GB2312" w:eastAsia="仿宋_GB2312" w:cs="仿宋_GB2312"/>
          <w:b w:val="0"/>
          <w:color w:val="auto"/>
          <w:sz w:val="32"/>
          <w:szCs w:val="32"/>
          <w:highlight w:val="none"/>
        </w:rPr>
        <w:t xml:space="preserve">                                       </w:t>
      </w:r>
    </w:p>
    <w:p>
      <w:pPr>
        <w:spacing w:line="560" w:lineRule="exact"/>
        <w:ind w:left="3839" w:leftChars="1828" w:firstLine="1600" w:firstLineChars="500"/>
        <w:rPr>
          <w:rStyle w:val="47"/>
          <w:rFonts w:ascii="仿宋_GB2312" w:hAnsi="仿宋_GB2312" w:eastAsia="仿宋_GB2312" w:cs="仿宋_GB2312"/>
          <w:b w:val="0"/>
          <w:color w:val="auto"/>
          <w:sz w:val="32"/>
          <w:szCs w:val="32"/>
          <w:highlight w:val="none"/>
        </w:rPr>
      </w:pPr>
      <w:r>
        <w:rPr>
          <w:rStyle w:val="47"/>
          <w:rFonts w:hint="eastAsia" w:ascii="仿宋_GB2312" w:hAnsi="仿宋_GB2312" w:eastAsia="仿宋_GB2312" w:cs="仿宋_GB2312"/>
          <w:b w:val="0"/>
          <w:color w:val="auto"/>
          <w:sz w:val="32"/>
          <w:szCs w:val="32"/>
          <w:highlight w:val="none"/>
        </w:rPr>
        <w:t xml:space="preserve">验收部门 (章) </w:t>
      </w:r>
    </w:p>
    <w:p>
      <w:pPr>
        <w:spacing w:line="360" w:lineRule="auto"/>
        <w:ind w:firstLine="4160" w:firstLineChars="1300"/>
        <w:jc w:val="center"/>
        <w:rPr>
          <w:rStyle w:val="47"/>
          <w:rFonts w:ascii="仿宋_GB2312" w:hAnsi="仿宋_GB2312" w:eastAsia="仿宋_GB2312" w:cs="仿宋_GB2312"/>
          <w:b w:val="0"/>
          <w:color w:val="auto"/>
          <w:sz w:val="32"/>
          <w:szCs w:val="32"/>
          <w:highlight w:val="none"/>
        </w:rPr>
      </w:pPr>
      <w:r>
        <w:rPr>
          <w:rStyle w:val="47"/>
          <w:rFonts w:hint="eastAsia" w:ascii="仿宋_GB2312" w:hAnsi="仿宋_GB2312" w:eastAsia="仿宋_GB2312" w:cs="仿宋_GB2312"/>
          <w:b w:val="0"/>
          <w:color w:val="auto"/>
          <w:sz w:val="32"/>
          <w:szCs w:val="32"/>
          <w:highlight w:val="none"/>
        </w:rPr>
        <w:t>年   月   日</w:t>
      </w:r>
    </w:p>
    <w:p>
      <w:pPr>
        <w:pStyle w:val="2"/>
        <w:rPr>
          <w:color w:val="auto"/>
          <w:highlight w:val="none"/>
        </w:rPr>
      </w:pPr>
    </w:p>
    <w:p>
      <w:pPr>
        <w:rPr>
          <w:color w:val="auto"/>
          <w:highlight w:val="none"/>
        </w:rPr>
      </w:pPr>
    </w:p>
    <w:p>
      <w:pPr>
        <w:pStyle w:val="2"/>
        <w:rPr>
          <w:color w:val="auto"/>
          <w:highlight w:val="none"/>
        </w:rPr>
      </w:pPr>
    </w:p>
    <w:p>
      <w:pPr>
        <w:spacing w:line="400" w:lineRule="exact"/>
        <w:jc w:val="center"/>
        <w:outlineLvl w:val="0"/>
        <w:rPr>
          <w:rFonts w:asciiTheme="minorEastAsia" w:hAnsiTheme="minorEastAsia" w:eastAsiaTheme="minorEastAsia" w:cstheme="minorEastAsia"/>
          <w:b/>
          <w:color w:val="auto"/>
          <w:sz w:val="28"/>
          <w:szCs w:val="28"/>
          <w:highlight w:val="none"/>
        </w:rPr>
      </w:pPr>
      <w:bookmarkStart w:id="65" w:name="_Toc3075"/>
      <w:r>
        <w:rPr>
          <w:rFonts w:hint="eastAsia" w:asciiTheme="minorEastAsia" w:hAnsiTheme="minorEastAsia" w:eastAsiaTheme="minorEastAsia" w:cstheme="minorEastAsia"/>
          <w:b/>
          <w:color w:val="auto"/>
          <w:sz w:val="28"/>
          <w:szCs w:val="28"/>
          <w:highlight w:val="none"/>
        </w:rPr>
        <w:t>第五章 响应文件组成</w:t>
      </w:r>
      <w:bookmarkEnd w:id="65"/>
    </w:p>
    <w:p>
      <w:pPr>
        <w:pStyle w:val="20"/>
        <w:spacing w:line="380" w:lineRule="exact"/>
        <w:jc w:val="center"/>
        <w:rPr>
          <w:rFonts w:asciiTheme="minorEastAsia" w:hAnsiTheme="minorEastAsia" w:eastAsiaTheme="minorEastAsia" w:cstheme="minorEastAsia"/>
          <w:b/>
          <w:color w:val="auto"/>
          <w:sz w:val="32"/>
          <w:szCs w:val="32"/>
          <w:highlight w:val="none"/>
        </w:rPr>
      </w:pPr>
    </w:p>
    <w:p>
      <w:pPr>
        <w:pStyle w:val="20"/>
        <w:spacing w:line="380" w:lineRule="exact"/>
        <w:jc w:val="center"/>
        <w:rPr>
          <w:rFonts w:asciiTheme="minorEastAsia" w:hAnsiTheme="minorEastAsia" w:eastAsiaTheme="minorEastAsia" w:cstheme="minorEastAsia"/>
          <w:b/>
          <w:color w:val="auto"/>
          <w:sz w:val="32"/>
          <w:szCs w:val="32"/>
          <w:highlight w:val="none"/>
        </w:rPr>
      </w:pPr>
    </w:p>
    <w:p>
      <w:pPr>
        <w:pStyle w:val="20"/>
        <w:spacing w:line="380" w:lineRule="exact"/>
        <w:jc w:val="center"/>
        <w:rPr>
          <w:rFonts w:asciiTheme="minorEastAsia" w:hAnsiTheme="minorEastAsia" w:eastAsiaTheme="minorEastAsia" w:cstheme="minorEastAsia"/>
          <w:b/>
          <w:color w:val="auto"/>
          <w:sz w:val="32"/>
          <w:szCs w:val="32"/>
          <w:highlight w:val="none"/>
        </w:rPr>
      </w:pPr>
    </w:p>
    <w:p>
      <w:pPr>
        <w:spacing w:line="400" w:lineRule="exact"/>
        <w:ind w:left="421" w:leftChars="172" w:hanging="60" w:hangingChars="25"/>
        <w:rPr>
          <w:rFonts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响应文件的</w:t>
      </w:r>
      <w:r>
        <w:rPr>
          <w:rFonts w:hint="eastAsia" w:asciiTheme="minorEastAsia" w:hAnsiTheme="minorEastAsia" w:eastAsiaTheme="minorEastAsia" w:cstheme="minorEastAsia"/>
          <w:b/>
          <w:color w:val="auto"/>
          <w:sz w:val="32"/>
          <w:szCs w:val="28"/>
          <w:highlight w:val="none"/>
        </w:rPr>
        <w:t>外层包装封套</w:t>
      </w:r>
      <w:r>
        <w:rPr>
          <w:rFonts w:hint="eastAsia" w:asciiTheme="minorEastAsia" w:hAnsiTheme="minorEastAsia" w:eastAsiaTheme="minorEastAsia" w:cstheme="minorEastAsia"/>
          <w:b/>
          <w:color w:val="auto"/>
          <w:sz w:val="24"/>
          <w:szCs w:val="28"/>
          <w:highlight w:val="none"/>
        </w:rPr>
        <w:t>格式：</w:t>
      </w:r>
    </w:p>
    <w:p>
      <w:pPr>
        <w:spacing w:line="400" w:lineRule="exact"/>
        <w:ind w:left="441" w:leftChars="172" w:hanging="80" w:hangingChars="25"/>
        <w:rPr>
          <w:rFonts w:asciiTheme="minorEastAsia" w:hAnsiTheme="minorEastAsia" w:eastAsiaTheme="minorEastAsia" w:cstheme="minorEastAsia"/>
          <w:b/>
          <w:color w:val="auto"/>
          <w:sz w:val="32"/>
          <w:szCs w:val="28"/>
          <w:highlight w:val="none"/>
        </w:rPr>
      </w:pPr>
    </w:p>
    <w:p>
      <w:pPr>
        <w:spacing w:line="400" w:lineRule="exact"/>
        <w:ind w:left="441" w:leftChars="172" w:hanging="80" w:hangingChars="25"/>
        <w:rPr>
          <w:rFonts w:asciiTheme="minorEastAsia" w:hAnsiTheme="minorEastAsia" w:eastAsiaTheme="minorEastAsia" w:cstheme="minorEastAsia"/>
          <w:b/>
          <w:color w:val="auto"/>
          <w:sz w:val="32"/>
          <w:szCs w:val="28"/>
          <w:highlight w:val="none"/>
        </w:rPr>
      </w:pPr>
    </w:p>
    <w:p>
      <w:pPr>
        <w:spacing w:line="400" w:lineRule="exact"/>
        <w:ind w:left="441" w:leftChars="172" w:hanging="80" w:hangingChars="25"/>
        <w:rPr>
          <w:rFonts w:asciiTheme="minorEastAsia" w:hAnsiTheme="minorEastAsia" w:eastAsiaTheme="minorEastAsia" w:cstheme="minorEastAsia"/>
          <w:b/>
          <w:color w:val="auto"/>
          <w:sz w:val="32"/>
          <w:szCs w:val="28"/>
          <w:highlight w:val="none"/>
        </w:rPr>
      </w:pPr>
    </w:p>
    <w:p>
      <w:pPr>
        <w:spacing w:line="360" w:lineRule="auto"/>
        <w:ind w:left="413" w:leftChars="172" w:hanging="52" w:hangingChars="25"/>
        <w:jc w:val="left"/>
        <w:rPr>
          <w:rFonts w:asciiTheme="minorEastAsia" w:hAnsiTheme="minorEastAsia" w:eastAsiaTheme="minorEastAsia" w:cstheme="minorEastAsia"/>
          <w:color w:val="auto"/>
          <w:szCs w:val="21"/>
          <w:highlight w:val="none"/>
        </w:rPr>
      </w:pPr>
    </w:p>
    <w:p>
      <w:pPr>
        <w:spacing w:line="720" w:lineRule="auto"/>
        <w:jc w:val="center"/>
        <w:rPr>
          <w:rFonts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___________________(项目名称)响应文件</w:t>
      </w:r>
    </w:p>
    <w:p>
      <w:pPr>
        <w:spacing w:line="720" w:lineRule="auto"/>
        <w:jc w:val="center"/>
        <w:rPr>
          <w:rFonts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项目编号：____________________</w:t>
      </w:r>
    </w:p>
    <w:p>
      <w:pPr>
        <w:spacing w:line="720" w:lineRule="auto"/>
        <w:jc w:val="center"/>
        <w:rPr>
          <w:rFonts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在______年____月____日____时____分之前不得启封</w:t>
      </w:r>
    </w:p>
    <w:p>
      <w:pPr>
        <w:spacing w:line="720" w:lineRule="auto"/>
        <w:jc w:val="center"/>
        <w:rPr>
          <w:rFonts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供应商名称：____________________</w:t>
      </w:r>
    </w:p>
    <w:p>
      <w:pPr>
        <w:spacing w:line="720" w:lineRule="auto"/>
        <w:ind w:left="461" w:leftChars="172" w:hanging="100" w:hangingChars="25"/>
        <w:jc w:val="center"/>
        <w:rPr>
          <w:rFonts w:asciiTheme="minorEastAsia" w:hAnsiTheme="minorEastAsia" w:eastAsiaTheme="minorEastAsia" w:cstheme="minorEastAsia"/>
          <w:b/>
          <w:color w:val="auto"/>
          <w:sz w:val="40"/>
          <w:szCs w:val="21"/>
          <w:highlight w:val="none"/>
        </w:rPr>
      </w:pPr>
      <w:r>
        <w:rPr>
          <w:rFonts w:hint="eastAsia" w:asciiTheme="minorEastAsia" w:hAnsiTheme="minorEastAsia" w:eastAsiaTheme="minorEastAsia" w:cstheme="minorEastAsia"/>
          <w:b/>
          <w:color w:val="auto"/>
          <w:sz w:val="40"/>
          <w:szCs w:val="21"/>
          <w:highlight w:val="none"/>
        </w:rPr>
        <w:t>（加盖公章）</w:t>
      </w:r>
    </w:p>
    <w:p>
      <w:pPr>
        <w:pStyle w:val="20"/>
        <w:spacing w:line="480" w:lineRule="auto"/>
        <w:jc w:val="center"/>
        <w:rPr>
          <w:rFonts w:asciiTheme="minorEastAsia" w:hAnsiTheme="minorEastAsia" w:eastAsiaTheme="minorEastAsia" w:cstheme="minorEastAsia"/>
          <w:color w:val="auto"/>
          <w:sz w:val="24"/>
          <w:szCs w:val="21"/>
          <w:highlight w:val="none"/>
        </w:rPr>
      </w:pPr>
    </w:p>
    <w:p>
      <w:pPr>
        <w:pStyle w:val="20"/>
        <w:spacing w:line="380" w:lineRule="exact"/>
        <w:jc w:val="center"/>
        <w:rPr>
          <w:rFonts w:asciiTheme="minorEastAsia" w:hAnsiTheme="minorEastAsia" w:eastAsiaTheme="minorEastAsia" w:cstheme="minorEastAsia"/>
          <w:b/>
          <w:color w:val="auto"/>
          <w:sz w:val="32"/>
          <w:szCs w:val="32"/>
          <w:highlight w:val="none"/>
        </w:rPr>
      </w:pPr>
    </w:p>
    <w:p>
      <w:pPr>
        <w:pStyle w:val="20"/>
        <w:spacing w:line="380" w:lineRule="exact"/>
        <w:jc w:val="center"/>
        <w:rPr>
          <w:rFonts w:asciiTheme="minorEastAsia" w:hAnsiTheme="minorEastAsia" w:eastAsiaTheme="minorEastAsia" w:cstheme="minorEastAsia"/>
          <w:b/>
          <w:color w:val="auto"/>
          <w:sz w:val="32"/>
          <w:szCs w:val="32"/>
          <w:highlight w:val="none"/>
        </w:rPr>
      </w:pPr>
    </w:p>
    <w:p>
      <w:pPr>
        <w:spacing w:line="400" w:lineRule="exact"/>
        <w:ind w:left="441" w:leftChars="172" w:hanging="80" w:hangingChars="25"/>
        <w:jc w:val="center"/>
        <w:rPr>
          <w:rFonts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br w:type="page"/>
      </w:r>
    </w:p>
    <w:p>
      <w:pPr>
        <w:spacing w:line="400" w:lineRule="exact"/>
        <w:ind w:left="421" w:leftChars="172" w:hanging="60" w:hangingChars="25"/>
        <w:rPr>
          <w:rFonts w:asciiTheme="minorEastAsia" w:hAnsiTheme="minorEastAsia" w:eastAsiaTheme="minorEastAsia" w:cstheme="minorEastAsia"/>
          <w:b/>
          <w:color w:val="auto"/>
          <w:sz w:val="24"/>
          <w:szCs w:val="28"/>
          <w:highlight w:val="none"/>
        </w:rPr>
      </w:pPr>
    </w:p>
    <w:p>
      <w:pPr>
        <w:spacing w:line="400" w:lineRule="exact"/>
        <w:ind w:left="421" w:leftChars="172" w:hanging="60" w:hangingChars="25"/>
        <w:rPr>
          <w:rFonts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响应文件的封面格式：</w:t>
      </w:r>
    </w:p>
    <w:p>
      <w:pPr>
        <w:spacing w:line="400" w:lineRule="exact"/>
        <w:ind w:left="441" w:leftChars="172" w:hanging="80" w:hangingChars="25"/>
        <w:jc w:val="center"/>
        <w:rPr>
          <w:rFonts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t xml:space="preserve">                                     正本/副本</w:t>
      </w:r>
    </w:p>
    <w:p>
      <w:pPr>
        <w:spacing w:line="400" w:lineRule="exact"/>
        <w:ind w:left="441" w:leftChars="172" w:hanging="80" w:hangingChars="25"/>
        <w:jc w:val="center"/>
        <w:rPr>
          <w:rFonts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asciiTheme="minorEastAsia" w:hAnsiTheme="minorEastAsia" w:eastAsiaTheme="minorEastAsia" w:cstheme="minorEastAsia"/>
          <w:b/>
          <w:color w:val="auto"/>
          <w:sz w:val="32"/>
          <w:szCs w:val="28"/>
          <w:highlight w:val="none"/>
        </w:rPr>
      </w:pPr>
    </w:p>
    <w:p>
      <w:pPr>
        <w:spacing w:line="400" w:lineRule="exact"/>
        <w:ind w:left="451" w:leftChars="172" w:hanging="90" w:hangingChars="25"/>
        <w:jc w:val="center"/>
        <w:rPr>
          <w:rFonts w:asciiTheme="minorEastAsia" w:hAnsiTheme="minorEastAsia" w:eastAsiaTheme="minorEastAsia" w:cstheme="minorEastAsia"/>
          <w:b/>
          <w:color w:val="auto"/>
          <w:sz w:val="36"/>
          <w:szCs w:val="28"/>
          <w:highlight w:val="none"/>
        </w:rPr>
      </w:pPr>
      <w:r>
        <w:rPr>
          <w:rFonts w:hint="eastAsia" w:asciiTheme="minorEastAsia" w:hAnsiTheme="minorEastAsia" w:eastAsiaTheme="minorEastAsia" w:cstheme="minorEastAsia"/>
          <w:b/>
          <w:color w:val="auto"/>
          <w:sz w:val="36"/>
          <w:szCs w:val="28"/>
          <w:highlight w:val="none"/>
        </w:rPr>
        <w:t>响应文件</w:t>
      </w:r>
    </w:p>
    <w:p>
      <w:pPr>
        <w:spacing w:line="360" w:lineRule="auto"/>
        <w:ind w:left="413" w:leftChars="172" w:hanging="52" w:hangingChars="25"/>
        <w:jc w:val="left"/>
        <w:rPr>
          <w:rFonts w:asciiTheme="minorEastAsia" w:hAnsiTheme="minorEastAsia" w:eastAsiaTheme="minorEastAsia" w:cstheme="minorEastAsia"/>
          <w:color w:val="auto"/>
          <w:szCs w:val="21"/>
          <w:highlight w:val="none"/>
        </w:rPr>
      </w:pPr>
    </w:p>
    <w:p>
      <w:pPr>
        <w:spacing w:line="360" w:lineRule="auto"/>
        <w:ind w:left="413" w:leftChars="172" w:hanging="52" w:hangingChars="25"/>
        <w:jc w:val="left"/>
        <w:rPr>
          <w:rFonts w:asciiTheme="minorEastAsia" w:hAnsiTheme="minorEastAsia" w:eastAsiaTheme="minorEastAsia" w:cstheme="minorEastAsia"/>
          <w:color w:val="auto"/>
          <w:szCs w:val="21"/>
          <w:highlight w:val="none"/>
        </w:rPr>
      </w:pPr>
    </w:p>
    <w:p>
      <w:pPr>
        <w:spacing w:line="360" w:lineRule="auto"/>
        <w:ind w:left="413" w:leftChars="172" w:hanging="52" w:hangingChars="25"/>
        <w:jc w:val="left"/>
        <w:rPr>
          <w:rFonts w:asciiTheme="minorEastAsia" w:hAnsiTheme="minorEastAsia" w:eastAsiaTheme="minorEastAsia" w:cstheme="minorEastAsia"/>
          <w:color w:val="auto"/>
          <w:szCs w:val="21"/>
          <w:highlight w:val="none"/>
        </w:rPr>
      </w:pPr>
    </w:p>
    <w:p>
      <w:pPr>
        <w:spacing w:line="480" w:lineRule="auto"/>
        <w:ind w:left="421" w:leftChars="172" w:hanging="60" w:hangingChars="25"/>
        <w:jc w:val="lef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项目编号：</w:t>
      </w:r>
    </w:p>
    <w:p>
      <w:pPr>
        <w:spacing w:line="480" w:lineRule="auto"/>
        <w:ind w:left="421" w:leftChars="172" w:hanging="60" w:hangingChars="25"/>
        <w:jc w:val="lef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项目名称：</w:t>
      </w:r>
    </w:p>
    <w:p>
      <w:pPr>
        <w:spacing w:line="480" w:lineRule="auto"/>
        <w:ind w:left="421" w:leftChars="172" w:hanging="60" w:hangingChars="25"/>
        <w:jc w:val="lef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供应商名称：</w:t>
      </w:r>
    </w:p>
    <w:p>
      <w:pPr>
        <w:spacing w:line="480" w:lineRule="auto"/>
        <w:ind w:left="421" w:leftChars="172" w:hanging="60" w:hangingChars="25"/>
        <w:jc w:val="lef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供应商地址：</w:t>
      </w:r>
    </w:p>
    <w:p>
      <w:pPr>
        <w:spacing w:line="480" w:lineRule="auto"/>
        <w:ind w:left="421" w:leftChars="172" w:hanging="60" w:hangingChars="25"/>
        <w:jc w:val="left"/>
        <w:rPr>
          <w:rFonts w:asciiTheme="minorEastAsia" w:hAnsiTheme="minorEastAsia" w:eastAsiaTheme="minorEastAsia" w:cstheme="minorEastAsia"/>
          <w:color w:val="auto"/>
          <w:sz w:val="24"/>
          <w:szCs w:val="21"/>
          <w:highlight w:val="none"/>
        </w:rPr>
      </w:pPr>
    </w:p>
    <w:p>
      <w:pPr>
        <w:spacing w:line="480" w:lineRule="auto"/>
        <w:ind w:left="421" w:leftChars="172" w:hanging="60" w:hangingChars="25"/>
        <w:jc w:val="center"/>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rPr>
        <w:t>（加盖公章）</w:t>
      </w:r>
    </w:p>
    <w:p>
      <w:pPr>
        <w:pStyle w:val="20"/>
        <w:spacing w:line="480" w:lineRule="auto"/>
        <w:ind w:firstLine="4320" w:firstLineChars="1800"/>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年   月    日</w:t>
      </w:r>
    </w:p>
    <w:p>
      <w:pPr>
        <w:pStyle w:val="20"/>
        <w:spacing w:line="480" w:lineRule="auto"/>
        <w:jc w:val="center"/>
        <w:rPr>
          <w:rFonts w:asciiTheme="minorEastAsia" w:hAnsiTheme="minorEastAsia" w:eastAsiaTheme="minorEastAsia" w:cstheme="minorEastAsia"/>
          <w:color w:val="auto"/>
          <w:sz w:val="24"/>
          <w:szCs w:val="21"/>
          <w:highlight w:val="none"/>
        </w:rPr>
      </w:pPr>
    </w:p>
    <w:p>
      <w:pPr>
        <w:pStyle w:val="20"/>
        <w:spacing w:line="380" w:lineRule="exact"/>
        <w:jc w:val="center"/>
        <w:rPr>
          <w:rFonts w:asciiTheme="minorEastAsia" w:hAnsiTheme="minorEastAsia" w:eastAsiaTheme="minorEastAsia" w:cstheme="minorEastAsia"/>
          <w:color w:val="auto"/>
          <w:szCs w:val="21"/>
          <w:highlight w:val="none"/>
        </w:rPr>
      </w:pPr>
    </w:p>
    <w:p>
      <w:pPr>
        <w:pStyle w:val="20"/>
        <w:ind w:firstLine="562" w:firstLineChars="200"/>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r>
        <w:rPr>
          <w:rFonts w:hint="eastAsia" w:asciiTheme="minorEastAsia" w:hAnsiTheme="minorEastAsia" w:eastAsiaTheme="minorEastAsia" w:cstheme="minorEastAsia"/>
          <w:b/>
          <w:color w:val="auto"/>
          <w:sz w:val="28"/>
          <w:szCs w:val="28"/>
          <w:highlight w:val="none"/>
        </w:rPr>
        <w:t>第一部分　商务部分</w:t>
      </w:r>
    </w:p>
    <w:p>
      <w:pPr>
        <w:pStyle w:val="20"/>
        <w:spacing w:line="360" w:lineRule="auto"/>
        <w:ind w:firstLine="482" w:firstLineChars="200"/>
        <w:jc w:val="center"/>
        <w:rPr>
          <w:rFonts w:asciiTheme="minorEastAsia" w:hAnsiTheme="minorEastAsia" w:eastAsiaTheme="minorEastAsia" w:cstheme="minorEastAsia"/>
          <w:b/>
          <w:color w:val="auto"/>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磋商响应声明函（供应商代表是法定代表人的，应提供法定代表人身份证复印件；供应商代表不是法定代表人的，除提供供应商代表身份证复印件外，还应当提供法定代表人身份证复印件和授权委托书）（格式见本章附件）</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二、报价一览表及分项价格表（格式见本章附件）。</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三、商务条款偏离表（供应商</w:t>
      </w:r>
      <w:r>
        <w:rPr>
          <w:rFonts w:hint="eastAsia" w:asciiTheme="minorEastAsia" w:hAnsiTheme="minorEastAsia" w:eastAsiaTheme="minorEastAsia" w:cstheme="minorEastAsia"/>
          <w:color w:val="auto"/>
          <w:sz w:val="24"/>
          <w:highlight w:val="none"/>
        </w:rPr>
        <w:t>填报该表时，应按项目采购需求中的商务条款要求，结合自身参加磋商情况对商务条款逐条响应，未逐条响应的视为响应无效）</w:t>
      </w:r>
      <w:r>
        <w:rPr>
          <w:rFonts w:hint="eastAsia" w:asciiTheme="minorEastAsia" w:hAnsiTheme="minorEastAsia" w:eastAsiaTheme="minorEastAsia" w:cstheme="minorEastAsia"/>
          <w:color w:val="auto"/>
          <w:kern w:val="0"/>
          <w:sz w:val="24"/>
          <w:highlight w:val="none"/>
        </w:rPr>
        <w:t>（格式见本章附件）</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四、磋商保证金缴纳证明（格式见本章附件）。</w:t>
      </w:r>
    </w:p>
    <w:p>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五、供应商符合资格条件的证明文件</w:t>
      </w:r>
      <w:r>
        <w:rPr>
          <w:rFonts w:hint="eastAsia" w:asciiTheme="minorEastAsia" w:hAnsiTheme="minorEastAsia" w:eastAsiaTheme="minorEastAsia" w:cstheme="minorEastAsia"/>
          <w:b/>
          <w:color w:val="auto"/>
          <w:kern w:val="0"/>
          <w:sz w:val="24"/>
          <w:highlight w:val="none"/>
        </w:rPr>
        <w:t>：</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 xml:space="preserve">①供应商基本情况表（格式见本章附件）； </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②供应商有效的新版“营业执照”或《事业单位法人证书》或其他依法成立组织的证明文件（必须具有，如能够在线查询的材料，请提供国家有关部门规定查询的网址链接，</w:t>
      </w:r>
      <w:r>
        <w:rPr>
          <w:rFonts w:hint="eastAsia" w:asciiTheme="minorEastAsia" w:hAnsiTheme="minorEastAsia" w:eastAsiaTheme="minorEastAsia" w:cstheme="minorEastAsia"/>
          <w:b/>
          <w:color w:val="auto"/>
          <w:kern w:val="0"/>
          <w:sz w:val="24"/>
          <w:highlight w:val="none"/>
        </w:rPr>
        <w:t>原件备查</w:t>
      </w:r>
      <w:r>
        <w:rPr>
          <w:rFonts w:hint="eastAsia" w:asciiTheme="minorEastAsia" w:hAnsiTheme="minorEastAsia" w:eastAsiaTheme="minorEastAsia" w:cstheme="minorEastAsia"/>
          <w:color w:val="auto"/>
          <w:kern w:val="0"/>
          <w:sz w:val="24"/>
          <w:highlight w:val="none"/>
        </w:rPr>
        <w:t xml:space="preserve">）； </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③供应商有效的税务登记证（必须具有，如能够在线查询的材料，请提供国家有关部门规定查询的网址链接，</w:t>
      </w:r>
      <w:r>
        <w:rPr>
          <w:rFonts w:hint="eastAsia" w:asciiTheme="minorEastAsia" w:hAnsiTheme="minorEastAsia" w:eastAsiaTheme="minorEastAsia" w:cstheme="minorEastAsia"/>
          <w:b/>
          <w:color w:val="auto"/>
          <w:kern w:val="0"/>
          <w:sz w:val="24"/>
          <w:highlight w:val="none"/>
        </w:rPr>
        <w:t>原件备查</w:t>
      </w:r>
      <w:r>
        <w:rPr>
          <w:rFonts w:hint="eastAsia" w:asciiTheme="minorEastAsia" w:hAnsiTheme="minorEastAsia" w:eastAsiaTheme="minorEastAsia" w:cstheme="minorEastAsia"/>
          <w:color w:val="auto"/>
          <w:kern w:val="0"/>
          <w:sz w:val="24"/>
          <w:highlight w:val="none"/>
        </w:rPr>
        <w:t xml:space="preserve">）；（若已经取得“三证合一”的可不提供）； </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④供应商参加本项目时上一年度的年度财务报告复印件（如供应商为参加本项目时当年新成立公司的，应提供于公司成立之日后的财务报表），</w:t>
      </w:r>
      <w:r>
        <w:rPr>
          <w:rFonts w:hint="eastAsia" w:asciiTheme="minorEastAsia" w:hAnsiTheme="minorEastAsia" w:eastAsiaTheme="minorEastAsia" w:cstheme="minorEastAsia"/>
          <w:b/>
          <w:color w:val="auto"/>
          <w:kern w:val="0"/>
          <w:sz w:val="24"/>
          <w:highlight w:val="none"/>
        </w:rPr>
        <w:t>原件备查</w:t>
      </w:r>
      <w:r>
        <w:rPr>
          <w:rFonts w:hint="eastAsia" w:asciiTheme="minorEastAsia" w:hAnsiTheme="minorEastAsia" w:eastAsiaTheme="minorEastAsia" w:cstheme="minorEastAsia"/>
          <w:color w:val="auto"/>
          <w:kern w:val="0"/>
          <w:sz w:val="24"/>
          <w:highlight w:val="none"/>
        </w:rPr>
        <w:t xml:space="preserve">； </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⑤响应文件递交截止之日前半年内供应商连续三个月的依法纳税的依法缴纳税费或依法免缴税费的证明（复印件，</w:t>
      </w:r>
      <w:r>
        <w:rPr>
          <w:rFonts w:hint="eastAsia" w:asciiTheme="minorEastAsia" w:hAnsiTheme="minorEastAsia" w:eastAsiaTheme="minorEastAsia" w:cstheme="minorEastAsia"/>
          <w:b/>
          <w:color w:val="auto"/>
          <w:kern w:val="0"/>
          <w:sz w:val="24"/>
          <w:highlight w:val="none"/>
        </w:rPr>
        <w:t>原件备查</w:t>
      </w:r>
      <w:r>
        <w:rPr>
          <w:rFonts w:hint="eastAsia" w:asciiTheme="minorEastAsia" w:hAnsiTheme="minorEastAsia" w:eastAsiaTheme="minorEastAsia" w:cstheme="minorEastAsia"/>
          <w:color w:val="auto"/>
          <w:kern w:val="0"/>
          <w:sz w:val="24"/>
          <w:highlight w:val="none"/>
        </w:rPr>
        <w:t>）；供应商无纳税记录或为新成立公司，应提供由供应商所在地主管税务部门出具的《依法纳税或依法免税证明》（复印件，</w:t>
      </w:r>
      <w:r>
        <w:rPr>
          <w:rFonts w:hint="eastAsia" w:asciiTheme="minorEastAsia" w:hAnsiTheme="minorEastAsia" w:eastAsiaTheme="minorEastAsia" w:cstheme="minorEastAsia"/>
          <w:b/>
          <w:color w:val="auto"/>
          <w:kern w:val="0"/>
          <w:sz w:val="24"/>
          <w:highlight w:val="none"/>
        </w:rPr>
        <w:t>原件备查</w:t>
      </w:r>
      <w:r>
        <w:rPr>
          <w:rFonts w:hint="eastAsia" w:asciiTheme="minorEastAsia" w:hAnsiTheme="minorEastAsia" w:eastAsiaTheme="minorEastAsia" w:cstheme="minorEastAsia"/>
          <w:color w:val="auto"/>
          <w:kern w:val="0"/>
          <w:sz w:val="24"/>
          <w:highlight w:val="none"/>
        </w:rPr>
        <w:t xml:space="preserve">）； </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⑥响应文件递交截止之日前半年内供应商连续三个月的依法缴纳社保费的缴费凭证（复印件，</w:t>
      </w:r>
      <w:r>
        <w:rPr>
          <w:rFonts w:hint="eastAsia" w:asciiTheme="minorEastAsia" w:hAnsiTheme="minorEastAsia" w:eastAsiaTheme="minorEastAsia" w:cstheme="minorEastAsia"/>
          <w:b/>
          <w:color w:val="auto"/>
          <w:kern w:val="0"/>
          <w:sz w:val="24"/>
          <w:highlight w:val="none"/>
        </w:rPr>
        <w:t>原件备查</w:t>
      </w:r>
      <w:r>
        <w:rPr>
          <w:rFonts w:hint="eastAsia" w:asciiTheme="minorEastAsia" w:hAnsiTheme="minorEastAsia" w:eastAsiaTheme="minorEastAsia" w:cstheme="minorEastAsia"/>
          <w:color w:val="auto"/>
          <w:kern w:val="0"/>
          <w:sz w:val="24"/>
          <w:highlight w:val="none"/>
        </w:rPr>
        <w:t>）；供应商无缴费记录或为新成立公司，应提供由供应商所在地社保部门或税务部门出具的《依法缴纳或依法免缴社保费证明》（复印件，</w:t>
      </w:r>
      <w:r>
        <w:rPr>
          <w:rFonts w:hint="eastAsia" w:asciiTheme="minorEastAsia" w:hAnsiTheme="minorEastAsia" w:eastAsiaTheme="minorEastAsia" w:cstheme="minorEastAsia"/>
          <w:b/>
          <w:color w:val="auto"/>
          <w:kern w:val="0"/>
          <w:sz w:val="24"/>
          <w:highlight w:val="none"/>
        </w:rPr>
        <w:t>原件备查</w:t>
      </w:r>
      <w:r>
        <w:rPr>
          <w:rFonts w:hint="eastAsia" w:asciiTheme="minorEastAsia" w:hAnsiTheme="minorEastAsia" w:eastAsiaTheme="minorEastAsia" w:cstheme="minorEastAsia"/>
          <w:color w:val="auto"/>
          <w:kern w:val="0"/>
          <w:sz w:val="24"/>
          <w:highlight w:val="none"/>
        </w:rPr>
        <w:t xml:space="preserve">）； </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 xml:space="preserve">⑦供应商参加采购活动前三年内在经营活动中没有重大违法记录的书面声明（格式见本章附件）； </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⑧特定资格条件：详见磋商须知前附表； </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六、磋商须知前附表要求供应商须提供的其他资料。</w:t>
      </w:r>
    </w:p>
    <w:p>
      <w:pPr>
        <w:spacing w:line="360" w:lineRule="auto"/>
        <w:ind w:left="3479" w:leftChars="228" w:hanging="3000" w:hangingChars="125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七、供应商认为需提供的其他资料。     </w:t>
      </w: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b/>
          <w:color w:val="auto"/>
          <w:kern w:val="0"/>
          <w:sz w:val="28"/>
          <w:szCs w:val="28"/>
          <w:highlight w:val="none"/>
        </w:rPr>
        <w:t>第二部分　技术部分</w:t>
      </w:r>
    </w:p>
    <w:p>
      <w:pPr>
        <w:ind w:firstLine="482" w:firstLineChars="200"/>
        <w:jc w:val="center"/>
        <w:rPr>
          <w:rFonts w:asciiTheme="minorEastAsia" w:hAnsiTheme="minorEastAsia" w:eastAsiaTheme="minorEastAsia" w:cstheme="minorEastAsia"/>
          <w:b/>
          <w:color w:val="auto"/>
          <w:kern w:val="0"/>
          <w:sz w:val="24"/>
          <w:szCs w:val="28"/>
          <w:highlight w:val="none"/>
        </w:rPr>
      </w:pP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一、服务方案、实施方案及技术方案（格式自拟）。</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二、技术响应与偏离表（供应商</w:t>
      </w:r>
      <w:r>
        <w:rPr>
          <w:rFonts w:hint="eastAsia" w:asciiTheme="minorEastAsia" w:hAnsiTheme="minorEastAsia" w:eastAsiaTheme="minorEastAsia" w:cstheme="minorEastAsia"/>
          <w:color w:val="auto"/>
          <w:sz w:val="24"/>
          <w:szCs w:val="24"/>
          <w:highlight w:val="none"/>
        </w:rPr>
        <w:t>填报该表时，应按项目采购需求中的技术条款要求，结合自身参加磋商情况对技术条款逐条响应，未逐条响应的视为响应无效）</w:t>
      </w:r>
      <w:r>
        <w:rPr>
          <w:rFonts w:hint="eastAsia" w:asciiTheme="minorEastAsia" w:hAnsiTheme="minorEastAsia" w:eastAsiaTheme="minorEastAsia" w:cstheme="minorEastAsia"/>
          <w:color w:val="auto"/>
          <w:kern w:val="0"/>
          <w:sz w:val="24"/>
          <w:szCs w:val="24"/>
          <w:highlight w:val="none"/>
        </w:rPr>
        <w:t>（格式见本章附件）</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三、售后服务承诺。</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四、用于本项目人员简历表。</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五、磋商标的物符合磋商文件要求的相关证明文件。</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六、其他资料。</w:t>
      </w:r>
    </w:p>
    <w:p>
      <w:pPr>
        <w:spacing w:line="360" w:lineRule="auto"/>
        <w:ind w:firstLine="480" w:firstLineChars="20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b/>
          <w:color w:val="auto"/>
          <w:kern w:val="0"/>
          <w:sz w:val="32"/>
          <w:szCs w:val="32"/>
          <w:highlight w:val="none"/>
        </w:rPr>
        <w:t>第一部分　商务部分</w:t>
      </w:r>
    </w:p>
    <w:p>
      <w:pPr>
        <w:ind w:firstLine="482" w:firstLineChars="200"/>
        <w:rPr>
          <w:rFonts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一、磋商响应声明函</w:t>
      </w:r>
    </w:p>
    <w:p>
      <w:pPr>
        <w:keepNext/>
        <w:keepLines/>
        <w:spacing w:before="240" w:after="64" w:line="319" w:lineRule="auto"/>
        <w:jc w:val="center"/>
        <w:outlineLvl w:val="5"/>
        <w:rPr>
          <w:rFonts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磋商响应声明函</w:t>
      </w:r>
    </w:p>
    <w:p>
      <w:pPr>
        <w:spacing w:line="360" w:lineRule="auto"/>
        <w:rPr>
          <w:rFonts w:asciiTheme="minorEastAsia" w:hAnsiTheme="minorEastAsia" w:eastAsiaTheme="minorEastAsia" w:cstheme="minorEastAsia"/>
          <w:color w:val="auto"/>
          <w:kern w:val="0"/>
          <w:sz w:val="24"/>
          <w:szCs w:val="28"/>
          <w:highlight w:val="none"/>
        </w:rPr>
      </w:pPr>
    </w:p>
    <w:p>
      <w:pPr>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致____________(采购人或采购代理机构)：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我方已仔细研究了____________(项目名称)的磋商文件(项目编号：____________)的全部内容，知悉参加磋商的风险，我方承诺接受磋商文件的全部条款且无任何异议。</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一、我方同意在磋商响应有效期内遵守本响应文件中的承诺，且在此期限期满之前均具有法律约束力。</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二、我方提交纸质响应文件正本______份和副本______份，电子响应文件______份，并保证响应文件提供的数据和材料是真实、准确的。</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三、我方愿意向贵方提供任何与本项采购有关的数据、情况和技术资料。若贵方需要，我方愿意提供我方作出的一切承诺的证明材料。</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四、我方愿意按磋商文件规定和磋商小组要求重新提交响应文件和最后报价。</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五、我方保证在获得成交资格后，按照磋商文件确定的事项签订采购合同，履行双方所签订的合同，并承担合同规定的责任和义务。</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附件1－1：法定代表人（负责人）身份证明复印件(法定代表人参加磋商)</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附件1－2：法定代表人（负责人）授权书(授权代表参加磋商)</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附件1－3：授权委托书(自然人提供)</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法定代表人或授权代表(签字或盖章)：____________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日期：______年____月____日</w:t>
      </w:r>
    </w:p>
    <w:p>
      <w:pPr>
        <w:ind w:firstLine="480" w:firstLineChars="200"/>
        <w:rPr>
          <w:rFonts w:hint="eastAsia" w:asciiTheme="minorEastAsia" w:hAnsiTheme="minorEastAsia" w:eastAsiaTheme="minorEastAsia" w:cstheme="minorEastAsia"/>
          <w:color w:val="auto"/>
          <w:kern w:val="0"/>
          <w:sz w:val="24"/>
          <w:szCs w:val="24"/>
          <w:highlight w:val="none"/>
        </w:rPr>
      </w:pPr>
    </w:p>
    <w:p>
      <w:pPr>
        <w:ind w:firstLine="480" w:firstLineChars="200"/>
        <w:rPr>
          <w:rFonts w:hint="eastAsia" w:asciiTheme="minorEastAsia" w:hAnsiTheme="minorEastAsia" w:eastAsiaTheme="minorEastAsia" w:cstheme="minorEastAsia"/>
          <w:color w:val="auto"/>
          <w:kern w:val="0"/>
          <w:sz w:val="24"/>
          <w:szCs w:val="24"/>
          <w:highlight w:val="none"/>
        </w:rPr>
      </w:pPr>
    </w:p>
    <w:p>
      <w:pPr>
        <w:spacing w:line="400" w:lineRule="exact"/>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4"/>
          <w:highlight w:val="none"/>
        </w:rPr>
        <w:t>注：供应商代表是法定代表人的，应提供法定代表人身份证复印件；供应商代表不是法定代表人的，除提供供应商代表身份证复印件外，还应当提供法定代表人身份证复印件和授权委托书。</w:t>
      </w:r>
      <w:r>
        <w:rPr>
          <w:rFonts w:hint="eastAsia" w:asciiTheme="minorEastAsia" w:hAnsiTheme="minorEastAsia" w:eastAsiaTheme="minorEastAsia" w:cstheme="minorEastAsia"/>
          <w:color w:val="auto"/>
          <w:kern w:val="0"/>
          <w:sz w:val="24"/>
          <w:szCs w:val="24"/>
          <w:highlight w:val="none"/>
        </w:rPr>
        <w:br w:type="page"/>
      </w:r>
      <w:r>
        <w:rPr>
          <w:rFonts w:hint="eastAsia" w:asciiTheme="minorEastAsia" w:hAnsiTheme="minorEastAsia" w:eastAsiaTheme="minorEastAsia" w:cstheme="minorEastAsia"/>
          <w:color w:val="auto"/>
          <w:kern w:val="0"/>
          <w:sz w:val="24"/>
          <w:szCs w:val="28"/>
          <w:highlight w:val="none"/>
        </w:rPr>
        <w:t>　附件1－1　法定代表人（负责人）身份证明复印件(法定代表人参加磋商)</w:t>
      </w:r>
    </w:p>
    <w:p>
      <w:pPr>
        <w:ind w:firstLine="480" w:firstLineChars="200"/>
        <w:rPr>
          <w:rFonts w:asciiTheme="minorEastAsia" w:hAnsiTheme="minorEastAsia" w:eastAsiaTheme="minorEastAsia" w:cstheme="minorEastAsia"/>
          <w:color w:val="auto"/>
          <w:kern w:val="0"/>
          <w:sz w:val="24"/>
          <w:szCs w:val="28"/>
          <w:highlight w:val="none"/>
        </w:rPr>
      </w:pPr>
    </w:p>
    <w:tbl>
      <w:tblPr>
        <w:tblStyle w:val="44"/>
        <w:tblW w:w="55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3" w:hRule="atLeast"/>
          <w:jc w:val="center"/>
        </w:trPr>
        <w:tc>
          <w:tcPr>
            <w:tcW w:w="5574" w:type="dxa"/>
            <w:tcBorders>
              <w:top w:val="single" w:color="auto" w:sz="4" w:space="0"/>
              <w:bottom w:val="single" w:color="auto" w:sz="4" w:space="0"/>
            </w:tcBorders>
            <w:vAlign w:val="center"/>
          </w:tcPr>
          <w:p>
            <w:pPr>
              <w:jc w:val="center"/>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法定代表人（负责人）</w:t>
            </w:r>
            <w:r>
              <w:rPr>
                <w:rFonts w:hint="eastAsia" w:asciiTheme="minorEastAsia" w:hAnsiTheme="minorEastAsia" w:eastAsiaTheme="minorEastAsia" w:cstheme="minorEastAsia"/>
                <w:color w:val="auto"/>
                <w:sz w:val="24"/>
                <w:szCs w:val="28"/>
                <w:highlight w:val="none"/>
              </w:rPr>
              <w:t>有效的身份证正反面复印件</w:t>
            </w:r>
          </w:p>
          <w:p>
            <w:pPr>
              <w:jc w:val="center"/>
              <w:rPr>
                <w:rFonts w:asciiTheme="minorEastAsia" w:hAnsiTheme="minorEastAsia" w:eastAsiaTheme="minorEastAsia" w:cstheme="minorEastAsia"/>
                <w:color w:val="auto"/>
                <w:kern w:val="0"/>
                <w:sz w:val="24"/>
                <w:szCs w:val="28"/>
                <w:highlight w:val="none"/>
              </w:rPr>
            </w:pPr>
          </w:p>
        </w:tc>
      </w:tr>
    </w:tbl>
    <w:p>
      <w:pPr>
        <w:ind w:firstLine="480" w:firstLineChars="200"/>
        <w:rPr>
          <w:rFonts w:asciiTheme="minorEastAsia" w:hAnsiTheme="minorEastAsia" w:eastAsiaTheme="minorEastAsia" w:cstheme="minorEastAsia"/>
          <w:color w:val="auto"/>
          <w:kern w:val="0"/>
          <w:sz w:val="24"/>
          <w:szCs w:val="28"/>
          <w:highlight w:val="none"/>
        </w:rPr>
      </w:pPr>
    </w:p>
    <w:p>
      <w:pPr>
        <w:spacing w:line="520" w:lineRule="exact"/>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附件1－2    法定代表人（负责人）授权书(授权代表参加磋商)</w:t>
      </w:r>
    </w:p>
    <w:p>
      <w:pPr>
        <w:pStyle w:val="6"/>
        <w:spacing w:before="0" w:after="0" w:line="520" w:lineRule="exact"/>
        <w:rPr>
          <w:color w:val="auto"/>
          <w:highlight w:val="none"/>
        </w:rPr>
      </w:pPr>
    </w:p>
    <w:p>
      <w:pPr>
        <w:ind w:firstLine="482" w:firstLineChars="200"/>
        <w:rPr>
          <w:rFonts w:asciiTheme="minorEastAsia" w:hAnsiTheme="minorEastAsia" w:eastAsiaTheme="minorEastAsia" w:cstheme="minorEastAsia"/>
          <w:b/>
          <w:bCs/>
          <w:color w:val="auto"/>
          <w:kern w:val="0"/>
          <w:sz w:val="24"/>
          <w:szCs w:val="28"/>
          <w:highlight w:val="none"/>
        </w:rPr>
      </w:pPr>
      <w:r>
        <w:rPr>
          <w:rFonts w:hint="eastAsia" w:asciiTheme="minorEastAsia" w:hAnsiTheme="minorEastAsia" w:eastAsiaTheme="minorEastAsia" w:cstheme="minorEastAsia"/>
          <w:b/>
          <w:bCs/>
          <w:color w:val="auto"/>
          <w:kern w:val="0"/>
          <w:sz w:val="24"/>
          <w:szCs w:val="28"/>
          <w:highlight w:val="none"/>
        </w:rPr>
        <w:t>法定代表人（负责人）授权委托书(格式一)(适用于授权代表参加磋商）</w:t>
      </w: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致：____________(采购人或采购代理机构)</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____________(供应商名称)的法定代表人（负责人）(姓名、职务)授权____________(磋商代表姓名、职务)为本公司的磋商代表，就____________(项目名称)磋商及相关事务代表本公司处理与之有关的一切事务。</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委托期限：____________________。</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代理人无转委托权。</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本授权书于______年____月____日签字生效，特此声明。</w:t>
      </w:r>
    </w:p>
    <w:p>
      <w:pPr>
        <w:ind w:firstLine="480" w:firstLineChars="200"/>
        <w:rPr>
          <w:rFonts w:asciiTheme="minorEastAsia" w:hAnsiTheme="minorEastAsia" w:eastAsiaTheme="minorEastAsia" w:cstheme="minorEastAsia"/>
          <w:color w:val="auto"/>
          <w:kern w:val="0"/>
          <w:sz w:val="24"/>
          <w:szCs w:val="24"/>
          <w:highlight w:val="none"/>
        </w:rPr>
      </w:pPr>
    </w:p>
    <w:tbl>
      <w:tblPr>
        <w:tblStyle w:val="44"/>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3" w:hRule="atLeast"/>
          <w:jc w:val="center"/>
        </w:trPr>
        <w:tc>
          <w:tcPr>
            <w:tcW w:w="5296" w:type="dxa"/>
            <w:tcBorders>
              <w:top w:val="single" w:color="auto" w:sz="4" w:space="0"/>
              <w:bottom w:val="single" w:color="auto"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授权代表有效的身份证正反面复印件</w:t>
            </w:r>
          </w:p>
        </w:tc>
      </w:tr>
    </w:tbl>
    <w:p>
      <w:pPr>
        <w:ind w:firstLine="480" w:firstLineChars="200"/>
        <w:rPr>
          <w:rFonts w:asciiTheme="minorEastAsia" w:hAnsiTheme="minorEastAsia" w:eastAsiaTheme="minorEastAsia" w:cstheme="minorEastAsia"/>
          <w:color w:val="auto"/>
          <w:kern w:val="0"/>
          <w:sz w:val="24"/>
          <w:szCs w:val="24"/>
          <w:highlight w:val="none"/>
        </w:rPr>
      </w:pP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供应商名称(公章)：____________</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法定代表人(签字或盖章)：____________</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授权代表(签字或签章)：____________</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p>
    <w:p>
      <w:pPr>
        <w:spacing w:line="360" w:lineRule="auto"/>
        <w:ind w:firstLine="480" w:firstLineChars="200"/>
        <w:jc w:val="right"/>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______年____月____日</w:t>
      </w:r>
    </w:p>
    <w:p>
      <w:pPr>
        <w:pStyle w:val="20"/>
        <w:ind w:firstLine="480" w:firstLineChars="200"/>
        <w:rPr>
          <w:rFonts w:hAnsi="宋体" w:cs="宋体"/>
          <w:color w:val="auto"/>
          <w:sz w:val="24"/>
          <w:szCs w:val="24"/>
          <w:highlight w:val="none"/>
        </w:rPr>
      </w:pPr>
      <w:r>
        <w:rPr>
          <w:rFonts w:hint="eastAsia" w:asciiTheme="minorEastAsia" w:hAnsiTheme="minorEastAsia" w:eastAsiaTheme="minorEastAsia" w:cstheme="minorEastAsia"/>
          <w:color w:val="auto"/>
          <w:sz w:val="24"/>
          <w:szCs w:val="28"/>
          <w:highlight w:val="none"/>
        </w:rPr>
        <w:br w:type="page"/>
      </w:r>
      <w:r>
        <w:rPr>
          <w:rFonts w:hint="eastAsia" w:hAnsi="宋体" w:cs="宋体"/>
          <w:color w:val="auto"/>
          <w:sz w:val="24"/>
          <w:szCs w:val="24"/>
          <w:highlight w:val="none"/>
        </w:rPr>
        <w:t>附件1－3</w:t>
      </w:r>
    </w:p>
    <w:p>
      <w:pPr>
        <w:pStyle w:val="20"/>
        <w:jc w:val="center"/>
        <w:rPr>
          <w:rFonts w:hAnsi="宋体" w:cs="宋体"/>
          <w:color w:val="auto"/>
          <w:sz w:val="24"/>
          <w:szCs w:val="24"/>
          <w:highlight w:val="none"/>
        </w:rPr>
      </w:pPr>
      <w:r>
        <w:rPr>
          <w:rFonts w:hint="eastAsia" w:hAnsi="宋体" w:cs="宋体"/>
          <w:b/>
          <w:bCs/>
          <w:color w:val="auto"/>
          <w:sz w:val="24"/>
          <w:szCs w:val="24"/>
          <w:highlight w:val="none"/>
        </w:rPr>
        <w:t>授权委托书(格式二)(适用于供应商为自然人参加磋商)</w:t>
      </w:r>
    </w:p>
    <w:p>
      <w:pPr>
        <w:pStyle w:val="20"/>
        <w:rPr>
          <w:rFonts w:hAnsi="宋体" w:cs="宋体"/>
          <w:color w:val="auto"/>
          <w:sz w:val="24"/>
          <w:szCs w:val="24"/>
          <w:highlight w:val="none"/>
        </w:rPr>
      </w:pPr>
    </w:p>
    <w:p>
      <w:pPr>
        <w:pStyle w:val="20"/>
        <w:spacing w:line="360" w:lineRule="auto"/>
        <w:rPr>
          <w:rFonts w:hAnsi="宋体" w:cs="宋体"/>
          <w:color w:val="auto"/>
          <w:sz w:val="24"/>
          <w:szCs w:val="24"/>
          <w:highlight w:val="none"/>
        </w:rPr>
      </w:pPr>
      <w:r>
        <w:rPr>
          <w:rFonts w:hint="eastAsia" w:hAnsi="宋体" w:cs="宋体"/>
          <w:color w:val="auto"/>
          <w:sz w:val="24"/>
          <w:szCs w:val="24"/>
          <w:highlight w:val="none"/>
        </w:rPr>
        <w:t>致：____________(采购人或采购代理机构)</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我________(姓名)系自然人，现授权委托____________(姓名)以本人名义参加____________(项目名称)的磋商活动，并代表本人全权办理针对上述项目的磋商、签约等具体事务和签署相关文件。</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本人对被授权人的签字事项负全部责任。</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授权委托代理期限：从　　年　月　日起至　 年　 月　日止。</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代理人无转委托权，特此委托。</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我已在下面签字，以资证明。</w:t>
      </w:r>
    </w:p>
    <w:p>
      <w:pPr>
        <w:rPr>
          <w:color w:val="auto"/>
          <w:sz w:val="24"/>
          <w:szCs w:val="24"/>
          <w:highlight w:val="none"/>
        </w:rPr>
      </w:pPr>
    </w:p>
    <w:p>
      <w:pPr>
        <w:rPr>
          <w:rFonts w:ascii="宋体" w:hAnsi="宋体" w:cs="宋体"/>
          <w:color w:val="auto"/>
          <w:sz w:val="24"/>
          <w:szCs w:val="24"/>
          <w:highlight w:val="none"/>
        </w:rPr>
      </w:pPr>
    </w:p>
    <w:tbl>
      <w:tblPr>
        <w:tblStyle w:val="44"/>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33" w:hRule="atLeast"/>
          <w:jc w:val="center"/>
        </w:trPr>
        <w:tc>
          <w:tcPr>
            <w:tcW w:w="5223"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color w:val="auto"/>
                <w:sz w:val="24"/>
                <w:szCs w:val="24"/>
                <w:highlight w:val="none"/>
              </w:rPr>
            </w:pPr>
            <w:r>
              <w:rPr>
                <w:rFonts w:hint="eastAsia" w:hAnsi="宋体"/>
                <w:color w:val="auto"/>
                <w:sz w:val="24"/>
                <w:szCs w:val="24"/>
                <w:highlight w:val="none"/>
              </w:rPr>
              <w:t>自然人有效的身份证正反面复印件</w:t>
            </w:r>
          </w:p>
        </w:tc>
      </w:tr>
    </w:tbl>
    <w:p>
      <w:pPr>
        <w:pStyle w:val="6"/>
        <w:rPr>
          <w:color w:val="auto"/>
          <w:highlight w:val="none"/>
        </w:rPr>
      </w:pPr>
    </w:p>
    <w:p>
      <w:pPr>
        <w:pStyle w:val="20"/>
        <w:ind w:firstLine="480" w:firstLineChars="200"/>
        <w:rPr>
          <w:rFonts w:hAnsi="宋体" w:cs="宋体"/>
          <w:color w:val="auto"/>
          <w:sz w:val="24"/>
          <w:szCs w:val="24"/>
          <w:highlight w:val="none"/>
        </w:rPr>
      </w:pPr>
    </w:p>
    <w:p>
      <w:pPr>
        <w:pStyle w:val="20"/>
        <w:ind w:firstLine="480" w:firstLineChars="200"/>
        <w:rPr>
          <w:rFonts w:hAnsi="宋体" w:cs="宋体"/>
          <w:color w:val="auto"/>
          <w:sz w:val="24"/>
          <w:szCs w:val="24"/>
          <w:highlight w:val="none"/>
        </w:rPr>
      </w:pPr>
      <w:r>
        <w:rPr>
          <w:rFonts w:hint="eastAsia" w:hAnsi="宋体" w:cs="宋体"/>
          <w:color w:val="auto"/>
          <w:sz w:val="24"/>
          <w:szCs w:val="24"/>
          <w:highlight w:val="none"/>
        </w:rPr>
        <w:t>自然人签字并在签名处加盖食指指印：　　　　             ______年____月____日</w:t>
      </w:r>
    </w:p>
    <w:p>
      <w:pPr>
        <w:rPr>
          <w:rFonts w:ascii="宋体" w:hAnsi="宋体" w:cs="宋体"/>
          <w:color w:val="auto"/>
          <w:kern w:val="0"/>
          <w:sz w:val="24"/>
          <w:highlight w:val="none"/>
        </w:rPr>
      </w:pPr>
      <w:r>
        <w:rPr>
          <w:rFonts w:hint="eastAsia" w:ascii="宋体" w:hAnsi="宋体" w:cs="宋体"/>
          <w:color w:val="auto"/>
          <w:kern w:val="0"/>
          <w:sz w:val="24"/>
          <w:highlight w:val="none"/>
        </w:rPr>
        <w:br w:type="page"/>
      </w:r>
    </w:p>
    <w:p>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二、报价一览表及分项价格表</w:t>
      </w:r>
    </w:p>
    <w:p>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附件2－1</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报价一览表</w:t>
      </w:r>
    </w:p>
    <w:p>
      <w:pPr>
        <w:spacing w:line="360" w:lineRule="auto"/>
        <w:ind w:firstLine="480" w:firstLineChars="200"/>
        <w:jc w:val="center"/>
        <w:rPr>
          <w:rFonts w:hint="eastAsia" w:asciiTheme="minorEastAsia" w:hAnsiTheme="minorEastAsia" w:eastAsiaTheme="minorEastAsia" w:cstheme="minorEastAsia"/>
          <w:color w:val="auto"/>
          <w:kern w:val="0"/>
          <w:sz w:val="24"/>
          <w:szCs w:val="24"/>
          <w:highlight w:val="none"/>
        </w:rPr>
      </w:pPr>
    </w:p>
    <w:tbl>
      <w:tblPr>
        <w:tblStyle w:val="44"/>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931"/>
        <w:gridCol w:w="2737"/>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193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项目名称</w:t>
            </w:r>
          </w:p>
        </w:tc>
        <w:tc>
          <w:tcPr>
            <w:tcW w:w="2737"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236"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项目编号</w:t>
            </w:r>
          </w:p>
        </w:tc>
        <w:tc>
          <w:tcPr>
            <w:tcW w:w="1724"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93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包号（如有）</w:t>
            </w:r>
          </w:p>
        </w:tc>
        <w:tc>
          <w:tcPr>
            <w:tcW w:w="5697"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本项目无分包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193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总报价人民币</w:t>
            </w:r>
          </w:p>
        </w:tc>
        <w:tc>
          <w:tcPr>
            <w:tcW w:w="5697" w:type="dxa"/>
            <w:gridSpan w:val="3"/>
            <w:vAlign w:val="center"/>
          </w:tcPr>
          <w:p>
            <w:pPr>
              <w:pStyle w:val="2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大写：人民币______元</w:t>
            </w:r>
          </w:p>
          <w:p>
            <w:pPr>
              <w:pStyle w:val="2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小写：¥______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1931" w:type="dxa"/>
            <w:vAlign w:val="center"/>
          </w:tcPr>
          <w:p>
            <w:pPr>
              <w:pStyle w:val="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供货期限</w:t>
            </w:r>
          </w:p>
        </w:tc>
        <w:tc>
          <w:tcPr>
            <w:tcW w:w="5697" w:type="dxa"/>
            <w:gridSpan w:val="3"/>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合同签订后______内完成安装交付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1931" w:type="dxa"/>
            <w:vAlign w:val="center"/>
          </w:tcPr>
          <w:p>
            <w:pPr>
              <w:pStyle w:val="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w:t>
            </w:r>
          </w:p>
        </w:tc>
        <w:tc>
          <w:tcPr>
            <w:tcW w:w="5697" w:type="dxa"/>
            <w:gridSpan w:val="3"/>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自配套软件验收合格之日起质保期______年，质保期内免费保修。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193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5697"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93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c>
          <w:tcPr>
            <w:tcW w:w="5697"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r>
    </w:tbl>
    <w:p>
      <w:pPr>
        <w:pStyle w:val="2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w:t>
      </w:r>
    </w:p>
    <w:p>
      <w:pPr>
        <w:pStyle w:val="2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1.所有价格均用人民币表示，单位为元，精确到小数点后两位数。</w:t>
      </w:r>
    </w:p>
    <w:p>
      <w:pPr>
        <w:pStyle w:val="2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2.此表的总报价是所有需采购方支付的本次采购标的金额总数，即响应总价。响应总价须包含完成用户需求要求所有内容的全部费用。</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供应商名称(公章)：____________</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法定代表人或其授权代表(签字或盖章)：____________</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日期：______年____月____日</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附件2－2</w:t>
      </w:r>
    </w:p>
    <w:p>
      <w:pPr>
        <w:spacing w:line="360" w:lineRule="auto"/>
        <w:ind w:firstLine="602" w:firstLineChars="200"/>
        <w:jc w:val="center"/>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分项价格表</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8"/>
          <w:highlight w:val="none"/>
        </w:rPr>
        <w:t>　</w:t>
      </w:r>
      <w:r>
        <w:rPr>
          <w:rFonts w:hint="eastAsia" w:asciiTheme="minorEastAsia" w:hAnsiTheme="minorEastAsia" w:eastAsiaTheme="minorEastAsia" w:cstheme="minorEastAsia"/>
          <w:color w:val="auto"/>
          <w:kern w:val="0"/>
          <w:sz w:val="24"/>
          <w:szCs w:val="24"/>
          <w:highlight w:val="none"/>
        </w:rPr>
        <w:t>项目名称：</w:t>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项目编号：　</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包号：无</w:t>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金额单位：元</w:t>
      </w:r>
    </w:p>
    <w:tbl>
      <w:tblPr>
        <w:tblStyle w:val="44"/>
        <w:tblW w:w="89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417"/>
        <w:gridCol w:w="759"/>
        <w:gridCol w:w="638"/>
        <w:gridCol w:w="326"/>
        <w:gridCol w:w="520"/>
        <w:gridCol w:w="1221"/>
        <w:gridCol w:w="461"/>
        <w:gridCol w:w="531"/>
        <w:gridCol w:w="714"/>
        <w:gridCol w:w="137"/>
        <w:gridCol w:w="1000"/>
        <w:gridCol w:w="311"/>
        <w:gridCol w:w="544"/>
        <w:gridCol w:w="6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r>
              <w:rPr>
                <w:rFonts w:hint="eastAsia" w:asciiTheme="minorEastAsia" w:hAnsiTheme="minorEastAsia" w:eastAsiaTheme="minorEastAsia" w:cstheme="minorEastAsia"/>
                <w:b w:val="0"/>
                <w:bCs w:val="0"/>
                <w:color w:val="auto"/>
                <w:sz w:val="21"/>
                <w:szCs w:val="21"/>
                <w:highlight w:val="none"/>
              </w:rPr>
              <w:t>序号</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货物名称</w:t>
            </w:r>
          </w:p>
        </w:tc>
        <w:tc>
          <w:tcPr>
            <w:tcW w:w="638" w:type="dxa"/>
            <w:tcBorders>
              <w:top w:val="single" w:color="auto" w:sz="4" w:space="0"/>
              <w:left w:val="single" w:color="auto" w:sz="4" w:space="0"/>
              <w:bottom w:val="single" w:color="auto" w:sz="4" w:space="0"/>
              <w:right w:val="single" w:color="auto" w:sz="4" w:space="0"/>
            </w:tcBorders>
            <w:vAlign w:val="center"/>
          </w:tcPr>
          <w:p>
            <w:pPr>
              <w:pStyle w:val="204"/>
              <w:spacing w:line="400" w:lineRule="exact"/>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货款</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杂配件</w:t>
            </w:r>
          </w:p>
        </w:tc>
        <w:tc>
          <w:tcPr>
            <w:tcW w:w="122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安装调试费</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软件对接费</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验收费</w:t>
            </w:r>
          </w:p>
        </w:tc>
        <w:tc>
          <w:tcPr>
            <w:tcW w:w="10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单位及数量</w:t>
            </w:r>
          </w:p>
        </w:tc>
        <w:tc>
          <w:tcPr>
            <w:tcW w:w="855"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单价</w:t>
            </w:r>
          </w:p>
        </w:tc>
        <w:tc>
          <w:tcPr>
            <w:tcW w:w="69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合计金额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lang w:val="en-US" w:eastAsia="zh-CN"/>
              </w:rPr>
            </w:pPr>
            <w:r>
              <w:rPr>
                <w:rFonts w:hint="eastAsia" w:asciiTheme="minorEastAsia" w:hAnsiTheme="minorEastAsia" w:eastAsiaTheme="minorEastAsia" w:cstheme="minorEastAsia"/>
                <w:b w:val="0"/>
                <w:bCs w:val="0"/>
                <w:color w:val="auto"/>
                <w:spacing w:val="20"/>
                <w:sz w:val="21"/>
                <w:szCs w:val="21"/>
                <w:highlight w:val="none"/>
                <w:lang w:val="en-US" w:eastAsia="zh-CN"/>
              </w:rPr>
              <w:t>1</w:t>
            </w:r>
          </w:p>
        </w:tc>
        <w:tc>
          <w:tcPr>
            <w:tcW w:w="1176"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63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846"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851"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lang w:val="en-US" w:eastAsia="zh-CN"/>
              </w:rPr>
            </w:pPr>
            <w:r>
              <w:rPr>
                <w:rFonts w:hint="eastAsia" w:asciiTheme="minorEastAsia" w:hAnsiTheme="minorEastAsia" w:eastAsiaTheme="minorEastAsia" w:cstheme="minorEastAsia"/>
                <w:b w:val="0"/>
                <w:bCs w:val="0"/>
                <w:color w:val="auto"/>
                <w:spacing w:val="20"/>
                <w:sz w:val="21"/>
                <w:szCs w:val="21"/>
                <w:highlight w:val="none"/>
                <w:lang w:val="en-US" w:eastAsia="zh-CN"/>
              </w:rPr>
              <w:t>2</w:t>
            </w:r>
          </w:p>
        </w:tc>
        <w:tc>
          <w:tcPr>
            <w:tcW w:w="1176"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63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846"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851"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lang w:val="en-US" w:eastAsia="zh-CN"/>
              </w:rPr>
            </w:pPr>
            <w:r>
              <w:rPr>
                <w:rFonts w:hint="eastAsia" w:asciiTheme="minorEastAsia" w:hAnsiTheme="minorEastAsia" w:eastAsiaTheme="minorEastAsia" w:cstheme="minorEastAsia"/>
                <w:b w:val="0"/>
                <w:bCs w:val="0"/>
                <w:color w:val="auto"/>
                <w:spacing w:val="20"/>
                <w:sz w:val="21"/>
                <w:szCs w:val="21"/>
                <w:highlight w:val="none"/>
                <w:lang w:val="en-US" w:eastAsia="zh-CN"/>
              </w:rPr>
              <w:t>3</w:t>
            </w:r>
          </w:p>
        </w:tc>
        <w:tc>
          <w:tcPr>
            <w:tcW w:w="1176"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63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846"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851"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r>
              <w:rPr>
                <w:rFonts w:hint="eastAsia" w:asciiTheme="minorEastAsia" w:hAnsiTheme="minorEastAsia" w:eastAsiaTheme="minorEastAsia" w:cstheme="minorEastAsia"/>
                <w:b w:val="0"/>
                <w:bCs w:val="0"/>
                <w:color w:val="auto"/>
                <w:spacing w:val="20"/>
                <w:sz w:val="21"/>
                <w:szCs w:val="21"/>
                <w:highlight w:val="none"/>
              </w:rPr>
              <w:t>…</w:t>
            </w:r>
          </w:p>
        </w:tc>
        <w:tc>
          <w:tcPr>
            <w:tcW w:w="1176"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638"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846"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851"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1000"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72"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1418"/>
              </w:tabs>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b w:val="0"/>
                <w:bCs w:val="0"/>
                <w:color w:val="auto"/>
                <w:spacing w:val="20"/>
                <w:sz w:val="21"/>
                <w:szCs w:val="21"/>
                <w:highlight w:val="none"/>
              </w:rPr>
            </w:pPr>
            <w:r>
              <w:rPr>
                <w:rFonts w:hint="eastAsia" w:asciiTheme="minorEastAsia" w:hAnsiTheme="minorEastAsia" w:eastAsiaTheme="minorEastAsia" w:cstheme="minorEastAsia"/>
                <w:b w:val="0"/>
                <w:bCs w:val="0"/>
                <w:color w:val="auto"/>
                <w:spacing w:val="20"/>
                <w:sz w:val="21"/>
                <w:szCs w:val="21"/>
                <w:highlight w:val="none"/>
              </w:rPr>
              <w:t>货物的标准附件、备品备件、专用工具</w:t>
            </w:r>
          </w:p>
        </w:tc>
        <w:tc>
          <w:tcPr>
            <w:tcW w:w="7099" w:type="dxa"/>
            <w:gridSpan w:val="1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7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b w:val="0"/>
                <w:bCs w:val="0"/>
                <w:color w:val="auto"/>
                <w:spacing w:val="20"/>
                <w:sz w:val="21"/>
                <w:szCs w:val="21"/>
                <w:highlight w:val="none"/>
                <w:lang w:eastAsia="zh-CN"/>
              </w:rPr>
            </w:pPr>
            <w:r>
              <w:rPr>
                <w:rFonts w:hint="eastAsia" w:asciiTheme="minorEastAsia" w:hAnsiTheme="minorEastAsia" w:eastAsiaTheme="minorEastAsia" w:cstheme="minorEastAsia"/>
                <w:b w:val="0"/>
                <w:bCs w:val="0"/>
                <w:color w:val="auto"/>
                <w:spacing w:val="20"/>
                <w:sz w:val="21"/>
                <w:szCs w:val="21"/>
                <w:highlight w:val="none"/>
                <w:lang w:eastAsia="zh-CN"/>
              </w:rPr>
              <w:t>辅材</w:t>
            </w:r>
          </w:p>
        </w:tc>
        <w:tc>
          <w:tcPr>
            <w:tcW w:w="7099" w:type="dxa"/>
            <w:gridSpan w:val="1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872" w:type="dxa"/>
            <w:gridSpan w:val="3"/>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r>
              <w:rPr>
                <w:rFonts w:hint="eastAsia" w:asciiTheme="minorEastAsia" w:hAnsiTheme="minorEastAsia" w:eastAsiaTheme="minorEastAsia" w:cstheme="minorEastAsia"/>
                <w:color w:val="auto"/>
                <w:sz w:val="21"/>
                <w:szCs w:val="21"/>
                <w:highlight w:val="none"/>
              </w:rPr>
              <w:t>货物费合计</w:t>
            </w:r>
          </w:p>
        </w:tc>
        <w:tc>
          <w:tcPr>
            <w:tcW w:w="7099" w:type="dxa"/>
            <w:gridSpan w:val="12"/>
            <w:tcBorders>
              <w:top w:val="single" w:color="auto" w:sz="4" w:space="0"/>
              <w:left w:val="single" w:color="auto" w:sz="4" w:space="0"/>
              <w:bottom w:val="single" w:color="auto" w:sz="4" w:space="0"/>
              <w:right w:val="single" w:color="auto" w:sz="4" w:space="0"/>
            </w:tcBorders>
            <w:vAlign w:val="top"/>
          </w:tcPr>
          <w:p>
            <w:pPr>
              <w:tabs>
                <w:tab w:val="left" w:pos="1418"/>
              </w:tabs>
              <w:snapToGrid w:val="0"/>
              <w:spacing w:before="50" w:after="50" w:line="400" w:lineRule="exact"/>
              <w:jc w:val="center"/>
              <w:rPr>
                <w:rFonts w:hint="eastAsia" w:asciiTheme="minorEastAsia" w:hAnsiTheme="minorEastAsia" w:eastAsiaTheme="minorEastAsia" w:cstheme="minorEastAsia"/>
                <w:b w:val="0"/>
                <w:bCs w:val="0"/>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113" w:type="dxa"/>
            <w:gridSpan w:val="2"/>
            <w:vMerge w:val="restart"/>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运输、装卸费</w:t>
            </w:r>
          </w:p>
        </w:tc>
        <w:tc>
          <w:tcPr>
            <w:tcW w:w="1723"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运输费</w:t>
            </w:r>
          </w:p>
        </w:tc>
        <w:tc>
          <w:tcPr>
            <w:tcW w:w="2202"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245" w:type="dxa"/>
            <w:gridSpan w:val="2"/>
            <w:vMerge w:val="restart"/>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调试费</w:t>
            </w:r>
          </w:p>
        </w:tc>
        <w:tc>
          <w:tcPr>
            <w:tcW w:w="1448"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调试</w:t>
            </w:r>
            <w:r>
              <w:rPr>
                <w:rFonts w:hint="eastAsia" w:asciiTheme="minorEastAsia" w:hAnsiTheme="minorEastAsia" w:eastAsiaTheme="minorEastAsia" w:cstheme="minorEastAsia"/>
                <w:color w:val="auto"/>
                <w:sz w:val="21"/>
                <w:szCs w:val="21"/>
                <w:highlight w:val="none"/>
              </w:rPr>
              <w:t>费</w:t>
            </w:r>
          </w:p>
        </w:tc>
        <w:tc>
          <w:tcPr>
            <w:tcW w:w="1240" w:type="dxa"/>
            <w:gridSpan w:val="2"/>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gridSpan w:val="2"/>
            <w:vMerge w:val="continue"/>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723"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装卸费</w:t>
            </w:r>
          </w:p>
        </w:tc>
        <w:tc>
          <w:tcPr>
            <w:tcW w:w="2202"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245" w:type="dxa"/>
            <w:gridSpan w:val="2"/>
            <w:vMerge w:val="continue"/>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448"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40" w:type="dxa"/>
            <w:gridSpan w:val="2"/>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gridSpan w:val="2"/>
            <w:vMerge w:val="continue"/>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723"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202"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245" w:type="dxa"/>
            <w:gridSpan w:val="2"/>
            <w:vMerge w:val="continue"/>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448"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40" w:type="dxa"/>
            <w:gridSpan w:val="2"/>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gridSpan w:val="2"/>
            <w:vMerge w:val="continue"/>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723"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小计</w:t>
            </w:r>
          </w:p>
        </w:tc>
        <w:tc>
          <w:tcPr>
            <w:tcW w:w="2202"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245" w:type="dxa"/>
            <w:gridSpan w:val="2"/>
            <w:vMerge w:val="continue"/>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448"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小计</w:t>
            </w:r>
          </w:p>
        </w:tc>
        <w:tc>
          <w:tcPr>
            <w:tcW w:w="1240" w:type="dxa"/>
            <w:gridSpan w:val="2"/>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gridSpan w:val="2"/>
            <w:vMerge w:val="restart"/>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费用</w:t>
            </w:r>
          </w:p>
        </w:tc>
        <w:tc>
          <w:tcPr>
            <w:tcW w:w="1723"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代理费</w:t>
            </w:r>
          </w:p>
        </w:tc>
        <w:tc>
          <w:tcPr>
            <w:tcW w:w="2202"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245" w:type="dxa"/>
            <w:gridSpan w:val="2"/>
            <w:vMerge w:val="restart"/>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售后服务费</w:t>
            </w:r>
          </w:p>
        </w:tc>
        <w:tc>
          <w:tcPr>
            <w:tcW w:w="1448"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培训费</w:t>
            </w:r>
          </w:p>
        </w:tc>
        <w:tc>
          <w:tcPr>
            <w:tcW w:w="1240" w:type="dxa"/>
            <w:gridSpan w:val="2"/>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gridSpan w:val="2"/>
            <w:vMerge w:val="continue"/>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723"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202"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245" w:type="dxa"/>
            <w:gridSpan w:val="2"/>
            <w:vMerge w:val="continue"/>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448" w:type="dxa"/>
            <w:gridSpan w:val="3"/>
            <w:vAlign w:val="center"/>
          </w:tcPr>
          <w:p>
            <w:pPr>
              <w:pStyle w:val="20"/>
              <w:jc w:val="center"/>
              <w:rPr>
                <w:color w:val="auto"/>
                <w:highlight w:val="none"/>
              </w:rPr>
            </w:pPr>
            <w:r>
              <w:rPr>
                <w:rFonts w:hint="eastAsia" w:asciiTheme="minorEastAsia" w:hAnsiTheme="minorEastAsia" w:eastAsiaTheme="minorEastAsia" w:cstheme="minorEastAsia"/>
                <w:color w:val="auto"/>
                <w:sz w:val="21"/>
                <w:szCs w:val="21"/>
                <w:highlight w:val="none"/>
              </w:rPr>
              <w:t>技术</w:t>
            </w:r>
            <w:r>
              <w:rPr>
                <w:rFonts w:hint="eastAsia" w:asciiTheme="minorEastAsia" w:hAnsiTheme="minorEastAsia" w:eastAsiaTheme="minorEastAsia" w:cstheme="minorEastAsia"/>
                <w:color w:val="auto"/>
                <w:sz w:val="21"/>
                <w:szCs w:val="21"/>
                <w:highlight w:val="none"/>
                <w:lang w:eastAsia="zh-CN"/>
              </w:rPr>
              <w:t>支持</w:t>
            </w:r>
            <w:r>
              <w:rPr>
                <w:rFonts w:hint="eastAsia" w:asciiTheme="minorEastAsia" w:hAnsiTheme="minorEastAsia" w:eastAsiaTheme="minorEastAsia" w:cstheme="minorEastAsia"/>
                <w:color w:val="auto"/>
                <w:sz w:val="21"/>
                <w:szCs w:val="21"/>
                <w:highlight w:val="none"/>
              </w:rPr>
              <w:t>费</w:t>
            </w:r>
          </w:p>
        </w:tc>
        <w:tc>
          <w:tcPr>
            <w:tcW w:w="1240" w:type="dxa"/>
            <w:gridSpan w:val="2"/>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gridSpan w:val="2"/>
            <w:vMerge w:val="continue"/>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723"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202"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245" w:type="dxa"/>
            <w:gridSpan w:val="2"/>
            <w:vMerge w:val="continue"/>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448"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40" w:type="dxa"/>
            <w:gridSpan w:val="2"/>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gridSpan w:val="2"/>
            <w:vMerge w:val="continue"/>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723"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小计</w:t>
            </w:r>
          </w:p>
        </w:tc>
        <w:tc>
          <w:tcPr>
            <w:tcW w:w="2202"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245" w:type="dxa"/>
            <w:gridSpan w:val="2"/>
            <w:vMerge w:val="continue"/>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448" w:type="dxa"/>
            <w:gridSpan w:val="3"/>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小计</w:t>
            </w:r>
          </w:p>
        </w:tc>
        <w:tc>
          <w:tcPr>
            <w:tcW w:w="1240" w:type="dxa"/>
            <w:gridSpan w:val="2"/>
            <w:vAlign w:val="center"/>
          </w:tcPr>
          <w:p>
            <w:pPr>
              <w:pStyle w:val="20"/>
              <w:jc w:val="center"/>
              <w:rPr>
                <w:rFonts w:hint="eastAsia" w:asciiTheme="minorEastAsia" w:hAnsiTheme="minorEastAsia" w:eastAsiaTheme="minorEastAsia" w:cstheme="minorEastAsia"/>
                <w:color w:val="auto"/>
                <w:sz w:val="21"/>
                <w:szCs w:val="21"/>
                <w:highlight w:val="none"/>
              </w:rPr>
            </w:pPr>
          </w:p>
        </w:tc>
      </w:tr>
    </w:tbl>
    <w:p>
      <w:pPr>
        <w:rPr>
          <w:color w:val="auto"/>
          <w:highlight w:val="none"/>
        </w:rPr>
      </w:pPr>
    </w:p>
    <w:p>
      <w:pPr>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1.如本表格不适合</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的实际情况，可根据本表格式自行制表填写。</w:t>
      </w:r>
    </w:p>
    <w:p>
      <w:pPr>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1"/>
          <w:szCs w:val="21"/>
          <w:highlight w:val="none"/>
        </w:rPr>
        <w:t>2.响应报价包含实施和完成本项目需求要求所有内容的全部费用，此表报价应与“</w:t>
      </w:r>
      <w:r>
        <w:rPr>
          <w:rFonts w:hint="eastAsia" w:asciiTheme="minorEastAsia" w:hAnsiTheme="minorEastAsia" w:eastAsiaTheme="minorEastAsia" w:cstheme="minorEastAsia"/>
          <w:color w:val="auto"/>
          <w:kern w:val="0"/>
          <w:sz w:val="21"/>
          <w:szCs w:val="21"/>
          <w:highlight w:val="none"/>
          <w:lang w:eastAsia="zh-CN"/>
        </w:rPr>
        <w:t>报价</w:t>
      </w:r>
      <w:r>
        <w:rPr>
          <w:rFonts w:hint="eastAsia" w:asciiTheme="minorEastAsia" w:hAnsiTheme="minorEastAsia" w:eastAsiaTheme="minorEastAsia" w:cstheme="minorEastAsia"/>
          <w:color w:val="auto"/>
          <w:kern w:val="0"/>
          <w:sz w:val="21"/>
          <w:szCs w:val="21"/>
          <w:highlight w:val="none"/>
        </w:rPr>
        <w:t>一览表”</w:t>
      </w:r>
      <w:r>
        <w:rPr>
          <w:rFonts w:hint="eastAsia" w:asciiTheme="minorEastAsia" w:hAnsiTheme="minorEastAsia" w:eastAsiaTheme="minorEastAsia" w:cstheme="minorEastAsia"/>
          <w:color w:val="auto"/>
          <w:highlight w:val="none"/>
        </w:rPr>
        <w:t>响应</w:t>
      </w:r>
      <w:r>
        <w:rPr>
          <w:rFonts w:hint="eastAsia" w:asciiTheme="minorEastAsia" w:hAnsiTheme="minorEastAsia" w:eastAsiaTheme="minorEastAsia" w:cstheme="minorEastAsia"/>
          <w:color w:val="auto"/>
          <w:kern w:val="0"/>
          <w:sz w:val="21"/>
          <w:szCs w:val="21"/>
          <w:highlight w:val="none"/>
        </w:rPr>
        <w:t>报价相一致。</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供应商名称(公章)：____________</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法定代表人或其授权代表(签字或盖章)：____________</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4"/>
          <w:highlight w:val="none"/>
        </w:rPr>
        <w:t>日期：______年____月____日</w:t>
      </w: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三、商务条款偏离表</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商务条款偏离表</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8"/>
          <w:highlight w:val="none"/>
        </w:rPr>
        <w:t>　</w:t>
      </w:r>
      <w:r>
        <w:rPr>
          <w:rFonts w:hint="eastAsia" w:asciiTheme="minorEastAsia" w:hAnsiTheme="minorEastAsia" w:eastAsiaTheme="minorEastAsia" w:cstheme="minorEastAsia"/>
          <w:color w:val="auto"/>
          <w:kern w:val="0"/>
          <w:sz w:val="24"/>
          <w:szCs w:val="24"/>
          <w:highlight w:val="none"/>
        </w:rPr>
        <w:t>项目名称：</w:t>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项目编号：</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包号：无分包</w:t>
      </w:r>
    </w:p>
    <w:tbl>
      <w:tblPr>
        <w:tblStyle w:val="44"/>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磋商文件条目号</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磋商文件的商务条款</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响应文件的商务条款</w:t>
            </w: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偏离</w:t>
            </w: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4"/>
                <w:highlight w:val="none"/>
              </w:rPr>
            </w:pPr>
          </w:p>
        </w:tc>
      </w:tr>
    </w:tbl>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说明：</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（1）供应商应按《第六章　项目采购需求》中的商务条款要求，结合自身响应情况对商务条款逐条响应。</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（2）当响应文件响应的商务内容完全响应磋商文件要求时，供应商应注明“无偏离”；低于磋商文件要求时，应注明“负偏离”；优于磋商文件要求的，应注明“正偏离”。</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供应商名称(公章)：________________________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法定代表人或授权代表(签字或盖章)：________________________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p>
    <w:p>
      <w:pPr>
        <w:spacing w:line="360" w:lineRule="auto"/>
        <w:ind w:firstLine="480" w:firstLineChars="200"/>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______年____月____日</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br w:type="page"/>
      </w:r>
      <w:r>
        <w:rPr>
          <w:rFonts w:hint="eastAsia" w:asciiTheme="minorEastAsia" w:hAnsiTheme="minorEastAsia" w:eastAsiaTheme="minorEastAsia" w:cstheme="minorEastAsia"/>
          <w:color w:val="auto"/>
          <w:kern w:val="0"/>
          <w:sz w:val="24"/>
          <w:szCs w:val="24"/>
          <w:highlight w:val="none"/>
        </w:rPr>
        <w:t>四、磋商保证金缴纳证明</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说明：可提供付款凭证或金融机构、担保机构出具的保函原件。</w:t>
      </w:r>
    </w:p>
    <w:p>
      <w:pPr>
        <w:keepNext/>
        <w:keepLines/>
        <w:spacing w:before="240" w:after="64" w:line="360" w:lineRule="auto"/>
        <w:jc w:val="center"/>
        <w:outlineLvl w:val="5"/>
        <w:rPr>
          <w:rFonts w:asciiTheme="minorEastAsia" w:hAnsiTheme="minorEastAsia" w:eastAsiaTheme="minorEastAsia" w:cstheme="minorEastAsia"/>
          <w:b/>
          <w:bCs/>
          <w:color w:val="auto"/>
          <w:kern w:val="0"/>
          <w:sz w:val="24"/>
          <w:szCs w:val="28"/>
          <w:highlight w:val="none"/>
        </w:rPr>
      </w:pPr>
      <w:r>
        <w:rPr>
          <w:rFonts w:hint="eastAsia" w:asciiTheme="minorEastAsia" w:hAnsiTheme="minorEastAsia" w:eastAsiaTheme="minorEastAsia" w:cstheme="minorEastAsia"/>
          <w:b/>
          <w:bCs/>
          <w:color w:val="auto"/>
          <w:kern w:val="0"/>
          <w:sz w:val="24"/>
          <w:szCs w:val="28"/>
          <w:highlight w:val="none"/>
        </w:rPr>
        <w:t>保证金汇款声明函(适用银行转账)</w:t>
      </w:r>
    </w:p>
    <w:p>
      <w:pPr>
        <w:spacing w:line="360" w:lineRule="auto"/>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致：____________(采购人或采购代理机构)</w:t>
      </w:r>
    </w:p>
    <w:p>
      <w:pPr>
        <w:pStyle w:val="2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我方为________ (项目名称)(项目编号：________)递交保证金人民币________元(大写(人民币　  　元)已于______年____月____日以银行主动划账方式划入你方账户。</w:t>
      </w:r>
    </w:p>
    <w:p>
      <w:pPr>
        <w:pStyle w:val="2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详见附件：银行出具的汇款单或转账凭证复印件。</w:t>
      </w:r>
    </w:p>
    <w:p>
      <w:pPr>
        <w:pStyle w:val="20"/>
        <w:spacing w:line="44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退还保证金时请按以下内容划入我方账户。若因内容不全、错误、字迹潦草模糊导致该项目保证金未能及时退还或退还过程中发生错误，我方将承担全部责任和损失。</w:t>
      </w:r>
    </w:p>
    <w:tbl>
      <w:tblPr>
        <w:tblStyle w:val="44"/>
        <w:tblW w:w="948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69"/>
        <w:gridCol w:w="611"/>
        <w:gridCol w:w="2561"/>
        <w:gridCol w:w="1080"/>
        <w:gridCol w:w="1481"/>
        <w:gridCol w:w="2438"/>
        <w:gridCol w:w="5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9480"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
                <w:color w:val="auto"/>
                <w:sz w:val="28"/>
                <w:szCs w:val="28"/>
                <w:highlight w:val="none"/>
              </w:rPr>
              <w:t>磋商保证金交款、退款函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380" w:type="dxa"/>
            <w:gridSpan w:val="2"/>
            <w:tcBorders>
              <w:top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项目编号</w:t>
            </w:r>
          </w:p>
        </w:tc>
        <w:tc>
          <w:tcPr>
            <w:tcW w:w="25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项目名称</w:t>
            </w:r>
          </w:p>
        </w:tc>
        <w:tc>
          <w:tcPr>
            <w:tcW w:w="39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540" w:type="dxa"/>
            <w:vMerge w:val="restart"/>
            <w:tcBorders>
              <w:top w:val="single" w:color="auto" w:sz="4" w:space="0"/>
              <w:left w:val="single" w:color="auto" w:sz="4" w:space="0"/>
              <w:bottom w:val="single" w:color="auto" w:sz="4" w:space="0"/>
            </w:tcBorders>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请将保证金交款凭证复印件贴于下面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380" w:type="dxa"/>
            <w:gridSpan w:val="2"/>
            <w:tcBorders>
              <w:top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交款单位</w:t>
            </w:r>
          </w:p>
        </w:tc>
        <w:tc>
          <w:tcPr>
            <w:tcW w:w="36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联系人及电话</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　</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380" w:type="dxa"/>
            <w:gridSpan w:val="2"/>
            <w:tcBorders>
              <w:top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保证金金额</w:t>
            </w:r>
          </w:p>
        </w:tc>
        <w:tc>
          <w:tcPr>
            <w:tcW w:w="25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w:t>
            </w:r>
          </w:p>
        </w:tc>
        <w:tc>
          <w:tcPr>
            <w:tcW w:w="4999" w:type="dxa"/>
            <w:gridSpan w:val="3"/>
            <w:vMerge w:val="restart"/>
            <w:tcBorders>
              <w:top w:val="single" w:color="auto" w:sz="4" w:space="0"/>
              <w:left w:val="single" w:color="auto" w:sz="4" w:space="0"/>
              <w:right w:val="single" w:color="auto" w:sz="4" w:space="0"/>
            </w:tcBorders>
          </w:tcPr>
          <w:p>
            <w:pPr>
              <w:widowControl/>
              <w:spacing w:line="360" w:lineRule="auto"/>
              <w:jc w:val="left"/>
              <w:rPr>
                <w:rFonts w:hint="eastAsia" w:asciiTheme="minorEastAsia" w:hAnsiTheme="minorEastAsia" w:eastAsiaTheme="minorEastAsia" w:cstheme="minorEastAsia"/>
                <w:bCs/>
                <w:color w:val="auto"/>
                <w:kern w:val="0"/>
                <w:sz w:val="21"/>
                <w:szCs w:val="21"/>
                <w:highlight w:val="none"/>
              </w:rPr>
            </w:pPr>
          </w:p>
          <w:p>
            <w:pPr>
              <w:widowControl/>
              <w:spacing w:line="360" w:lineRule="auto"/>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 若我单位不成交请采购人或采购代理机构于该项目成交通知书发出后5个工作日内将保证金退回</w:t>
            </w:r>
            <w:r>
              <w:rPr>
                <w:rFonts w:hint="eastAsia" w:asciiTheme="minorEastAsia" w:hAnsiTheme="minorEastAsia" w:eastAsiaTheme="minorEastAsia" w:cstheme="minorEastAsia"/>
                <w:bCs/>
                <w:color w:val="auto"/>
                <w:kern w:val="0"/>
                <w:sz w:val="21"/>
                <w:szCs w:val="21"/>
                <w:highlight w:val="none"/>
                <w:u w:val="single"/>
              </w:rPr>
              <w:t>原交款人</w:t>
            </w:r>
            <w:r>
              <w:rPr>
                <w:rFonts w:hint="eastAsia" w:asciiTheme="minorEastAsia" w:hAnsiTheme="minorEastAsia" w:eastAsiaTheme="minorEastAsia" w:cstheme="minorEastAsia"/>
                <w:bCs/>
                <w:color w:val="auto"/>
                <w:kern w:val="0"/>
                <w:sz w:val="21"/>
                <w:szCs w:val="21"/>
                <w:highlight w:val="none"/>
              </w:rPr>
              <w:t xml:space="preserve">。 </w:t>
            </w:r>
          </w:p>
          <w:p>
            <w:pPr>
              <w:spacing w:line="360" w:lineRule="auto"/>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 若我单位成交，请采购人或采购代理机构收到我单位提交的合同后5个工作日内将保证金退回</w:t>
            </w:r>
            <w:r>
              <w:rPr>
                <w:rFonts w:hint="eastAsia" w:asciiTheme="minorEastAsia" w:hAnsiTheme="minorEastAsia" w:eastAsiaTheme="minorEastAsia" w:cstheme="minorEastAsia"/>
                <w:bCs/>
                <w:color w:val="auto"/>
                <w:kern w:val="0"/>
                <w:sz w:val="21"/>
                <w:szCs w:val="21"/>
                <w:highlight w:val="none"/>
                <w:u w:val="single"/>
              </w:rPr>
              <w:t>原交款人</w:t>
            </w:r>
            <w:r>
              <w:rPr>
                <w:rFonts w:hint="eastAsia" w:asciiTheme="minorEastAsia" w:hAnsiTheme="minorEastAsia" w:eastAsiaTheme="minorEastAsia" w:cstheme="minorEastAsia"/>
                <w:bCs/>
                <w:color w:val="auto"/>
                <w:kern w:val="0"/>
                <w:sz w:val="21"/>
                <w:szCs w:val="21"/>
                <w:highlight w:val="none"/>
              </w:rPr>
              <w:t xml:space="preserve">。                                     </w:t>
            </w:r>
          </w:p>
          <w:p>
            <w:pPr>
              <w:widowControl/>
              <w:spacing w:line="360" w:lineRule="auto"/>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　</w:t>
            </w:r>
          </w:p>
          <w:p>
            <w:pPr>
              <w:widowControl/>
              <w:spacing w:line="360" w:lineRule="auto"/>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供应商盖章：</w:t>
            </w:r>
          </w:p>
          <w:p>
            <w:pPr>
              <w:spacing w:line="360" w:lineRule="auto"/>
              <w:jc w:val="righ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 xml:space="preserve">                             年   月   日 </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3941" w:type="dxa"/>
            <w:gridSpan w:val="3"/>
            <w:tcBorders>
              <w:top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退款信息</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color w:val="auto"/>
                <w:kern w:val="0"/>
                <w:sz w:val="21"/>
                <w:szCs w:val="21"/>
                <w:highlight w:val="none"/>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69" w:type="dxa"/>
            <w:tcBorders>
              <w:top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户    名</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　</w:t>
            </w:r>
          </w:p>
        </w:tc>
        <w:tc>
          <w:tcPr>
            <w:tcW w:w="4999" w:type="dxa"/>
            <w:gridSpan w:val="3"/>
            <w:vMerge w:val="continue"/>
            <w:tcBorders>
              <w:left w:val="single" w:color="auto" w:sz="4" w:space="0"/>
              <w:right w:val="single" w:color="auto" w:sz="4" w:space="0"/>
            </w:tcBorders>
          </w:tcPr>
          <w:p>
            <w:pPr>
              <w:spacing w:line="360" w:lineRule="auto"/>
              <w:jc w:val="center"/>
              <w:rPr>
                <w:rFonts w:hint="eastAsia" w:asciiTheme="minorEastAsia" w:hAnsiTheme="minorEastAsia" w:eastAsiaTheme="minorEastAsia" w:cstheme="minorEastAsia"/>
                <w:bCs/>
                <w:color w:val="auto"/>
                <w:kern w:val="0"/>
                <w:sz w:val="21"/>
                <w:szCs w:val="21"/>
                <w:highlight w:val="none"/>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69" w:type="dxa"/>
            <w:tcBorders>
              <w:top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账    号</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　</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color w:val="auto"/>
                <w:kern w:val="0"/>
                <w:sz w:val="21"/>
                <w:szCs w:val="21"/>
                <w:highlight w:val="none"/>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69" w:type="dxa"/>
            <w:tcBorders>
              <w:top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汇入地点</w:t>
            </w:r>
          </w:p>
        </w:tc>
        <w:tc>
          <w:tcPr>
            <w:tcW w:w="3172"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 xml:space="preserve">省       市（县）  </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color w:val="auto"/>
                <w:kern w:val="0"/>
                <w:sz w:val="21"/>
                <w:szCs w:val="21"/>
                <w:highlight w:val="none"/>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769"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开户银行</w:t>
            </w:r>
          </w:p>
        </w:tc>
        <w:tc>
          <w:tcPr>
            <w:tcW w:w="3172"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　</w:t>
            </w:r>
          </w:p>
        </w:tc>
        <w:tc>
          <w:tcPr>
            <w:tcW w:w="4999" w:type="dxa"/>
            <w:gridSpan w:val="3"/>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Cs/>
                <w:color w:val="auto"/>
                <w:kern w:val="0"/>
                <w:sz w:val="21"/>
                <w:szCs w:val="21"/>
                <w:highlight w:val="none"/>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备注：</w:t>
            </w:r>
            <w:r>
              <w:rPr>
                <w:rFonts w:hint="eastAsia" w:asciiTheme="minorEastAsia" w:hAnsiTheme="minorEastAsia" w:eastAsiaTheme="minorEastAsia" w:cstheme="minorEastAsia"/>
                <w:color w:val="auto"/>
                <w:kern w:val="0"/>
                <w:sz w:val="21"/>
                <w:szCs w:val="21"/>
                <w:highlight w:val="none"/>
              </w:rPr>
              <w:t>保证金交纳到以下账户</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户  名：</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开户行：</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帐  号：</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3941" w:type="dxa"/>
            <w:gridSpan w:val="3"/>
            <w:tcBorders>
              <w:top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是否为成交单位（该项由采购人填写）</w:t>
            </w:r>
          </w:p>
        </w:tc>
        <w:tc>
          <w:tcPr>
            <w:tcW w:w="49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3941" w:type="dxa"/>
            <w:gridSpan w:val="3"/>
            <w:tcBorders>
              <w:top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采购人签名：</w:t>
            </w:r>
          </w:p>
        </w:tc>
        <w:tc>
          <w:tcPr>
            <w:tcW w:w="49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9480" w:type="dxa"/>
            <w:gridSpan w:val="7"/>
            <w:tcBorders>
              <w:top w:val="single" w:color="auto" w:sz="4" w:space="0"/>
              <w:left w:val="nil"/>
              <w:bottom w:val="nil"/>
              <w:right w:val="nil"/>
            </w:tcBorders>
            <w:vAlign w:val="center"/>
          </w:tcPr>
          <w:p>
            <w:pPr>
              <w:spacing w:beforeLines="50"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附：磋商保证金交款凭证复印件</w:t>
            </w:r>
          </w:p>
        </w:tc>
      </w:tr>
    </w:tbl>
    <w:p>
      <w:pPr>
        <w:pStyle w:val="20"/>
        <w:spacing w:line="44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注：1、此函一式两份，一份在参加</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 xml:space="preserve">时将此函交给工作人员，磋商保证金退还帐户必须与交款帐户一致，否则由此造成磋商保证金不能及时退还或退错的后果由供应商自负。       </w:t>
      </w:r>
    </w:p>
    <w:p>
      <w:pPr>
        <w:pStyle w:val="20"/>
        <w:spacing w:line="44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2、以电汇方式递交磋商保证金须在电汇凭据附言栏中写明采购编号、分标及用途(磋商保证金)。</w:t>
      </w:r>
    </w:p>
    <w:p>
      <w:pPr>
        <w:pStyle w:val="20"/>
        <w:ind w:firstLine="400" w:firstLineChars="200"/>
        <w:rPr>
          <w:rFonts w:ascii="Times New Roman" w:eastAsia="MingLiU_HKSCS"/>
          <w:color w:val="auto"/>
          <w:highlight w:val="none"/>
        </w:rPr>
      </w:pPr>
    </w:p>
    <w:tbl>
      <w:tblPr>
        <w:tblStyle w:val="44"/>
        <w:tblW w:w="59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5913"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imes New Roman" w:eastAsia="MingLiU_HKSCS"/>
                <w:color w:val="auto"/>
                <w:sz w:val="21"/>
                <w:szCs w:val="21"/>
                <w:highlight w:val="none"/>
              </w:rPr>
            </w:pPr>
            <w:r>
              <w:rPr>
                <w:rFonts w:hint="eastAsia" w:ascii="Times New Roman"/>
                <w:color w:val="auto"/>
                <w:sz w:val="21"/>
                <w:szCs w:val="21"/>
                <w:highlight w:val="none"/>
              </w:rPr>
              <w:t>汇款单或转账凭证复印件</w:t>
            </w:r>
          </w:p>
        </w:tc>
      </w:tr>
    </w:tbl>
    <w:p>
      <w:pPr>
        <w:pStyle w:val="20"/>
        <w:ind w:firstLine="400" w:firstLineChars="200"/>
        <w:rPr>
          <w:rFonts w:ascii="Times New Roman" w:eastAsia="MingLiU_HKSCS"/>
          <w:color w:val="auto"/>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五、供应商的资格证明材料</w:t>
      </w:r>
    </w:p>
    <w:p>
      <w:pPr>
        <w:pStyle w:val="20"/>
        <w:ind w:firstLine="420" w:firstLineChars="200"/>
        <w:rPr>
          <w:rFonts w:hAnsi="宋体"/>
          <w:color w:val="auto"/>
          <w:sz w:val="21"/>
          <w:szCs w:val="21"/>
          <w:highlight w:val="none"/>
        </w:rPr>
      </w:pPr>
      <w:r>
        <w:rPr>
          <w:rFonts w:hint="eastAsia" w:hAnsi="宋体"/>
          <w:color w:val="auto"/>
          <w:sz w:val="21"/>
          <w:szCs w:val="21"/>
          <w:highlight w:val="none"/>
        </w:rPr>
        <w:t>附件5－</w:t>
      </w:r>
      <w:r>
        <w:rPr>
          <w:rFonts w:hAnsi="宋体"/>
          <w:color w:val="auto"/>
          <w:sz w:val="21"/>
          <w:szCs w:val="21"/>
          <w:highlight w:val="none"/>
        </w:rPr>
        <w:t>1</w:t>
      </w:r>
    </w:p>
    <w:p>
      <w:pPr>
        <w:ind w:firstLine="480" w:firstLineChars="200"/>
        <w:rPr>
          <w:rFonts w:asciiTheme="minorEastAsia" w:hAnsiTheme="minorEastAsia" w:eastAsiaTheme="minorEastAsia" w:cstheme="minorEastAsia"/>
          <w:color w:val="auto"/>
          <w:kern w:val="0"/>
          <w:sz w:val="24"/>
          <w:szCs w:val="28"/>
          <w:highlight w:val="none"/>
        </w:rPr>
      </w:pPr>
    </w:p>
    <w:p>
      <w:pPr>
        <w:ind w:firstLine="602" w:firstLineChars="200"/>
        <w:jc w:val="center"/>
        <w:rPr>
          <w:rFonts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30"/>
          <w:szCs w:val="30"/>
          <w:highlight w:val="none"/>
        </w:rPr>
        <w:t>供应商基本情况表</w:t>
      </w:r>
    </w:p>
    <w:p>
      <w:pPr>
        <w:pStyle w:val="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8"/>
          <w:highlight w:val="none"/>
        </w:rPr>
        <w:t>　</w:t>
      </w:r>
      <w:r>
        <w:rPr>
          <w:rFonts w:hint="eastAsia" w:asciiTheme="minorEastAsia" w:hAnsiTheme="minorEastAsia" w:eastAsiaTheme="minorEastAsia" w:cstheme="minorEastAsia"/>
          <w:color w:val="auto"/>
          <w:sz w:val="24"/>
          <w:szCs w:val="24"/>
          <w:highlight w:val="none"/>
        </w:rPr>
        <w:t>供应商：(公章)</w:t>
      </w:r>
    </w:p>
    <w:tbl>
      <w:tblPr>
        <w:tblStyle w:val="4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457"/>
        <w:gridCol w:w="1678"/>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供应商名称</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p>
        </w:tc>
        <w:tc>
          <w:tcPr>
            <w:tcW w:w="164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统一社会信用代码</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p>
        </w:tc>
        <w:tc>
          <w:tcPr>
            <w:tcW w:w="164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电子邮箱</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p>
        </w:tc>
        <w:tc>
          <w:tcPr>
            <w:tcW w:w="164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上年营业收入</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员工总人数</w:t>
            </w:r>
          </w:p>
        </w:tc>
        <w:tc>
          <w:tcPr>
            <w:tcW w:w="164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基本账户开户行及账号</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税务登记机关</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资质名称</w:t>
            </w:r>
          </w:p>
        </w:tc>
        <w:tc>
          <w:tcPr>
            <w:tcW w:w="1678"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w:t>
            </w:r>
          </w:p>
        </w:tc>
        <w:tc>
          <w:tcPr>
            <w:tcW w:w="23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发证机关</w:t>
            </w:r>
          </w:p>
        </w:tc>
        <w:tc>
          <w:tcPr>
            <w:tcW w:w="164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直接控股股东名称</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出资比例</w:t>
            </w:r>
          </w:p>
        </w:tc>
        <w:tc>
          <w:tcPr>
            <w:tcW w:w="39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直接管理关系单位名称</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Theme="minorEastAsia" w:hAnsiTheme="minorEastAsia" w:eastAsiaTheme="minorEastAsia" w:cstheme="minorEastAsia"/>
                <w:color w:val="auto"/>
                <w:sz w:val="21"/>
                <w:szCs w:val="21"/>
                <w:highlight w:val="none"/>
              </w:rPr>
            </w:pPr>
          </w:p>
        </w:tc>
      </w:tr>
    </w:tbl>
    <w:p>
      <w:pPr>
        <w:spacing w:line="360" w:lineRule="auto"/>
        <w:ind w:firstLine="420" w:firstLineChars="200"/>
        <w:contextualSpacing/>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w:t>
      </w:r>
    </w:p>
    <w:p>
      <w:pPr>
        <w:spacing w:line="360" w:lineRule="auto"/>
        <w:ind w:firstLine="420" w:firstLineChars="200"/>
        <w:contextualSpacing/>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本表所指的控股关系仅限于直接控股关系，不包括间接的控股关系。公司实际控制人与公司之间的关系不属于本表所指的直接控股关系。</w:t>
      </w:r>
    </w:p>
    <w:p>
      <w:pPr>
        <w:spacing w:line="360" w:lineRule="auto"/>
        <w:ind w:firstLine="420" w:firstLineChars="200"/>
        <w:contextualSpacing/>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2.管理关系：是指不具有出资持股关系的其他单位之间存在的管理与被管理关系，如一些上下级关系的事业单位和团体组织。本表所指的管理关系仅限于直接管理关系，不包括间接的管理关系。</w:t>
      </w:r>
    </w:p>
    <w:p>
      <w:pPr>
        <w:pStyle w:val="20"/>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3.供应商不存在直接控股股东或管理关系的，则填“无”。</w:t>
      </w:r>
    </w:p>
    <w:p>
      <w:pPr>
        <w:ind w:firstLine="420" w:firstLineChars="200"/>
        <w:rPr>
          <w:rFonts w:asciiTheme="minorEastAsia" w:hAnsiTheme="minorEastAsia" w:eastAsiaTheme="minorEastAsia" w:cstheme="minorEastAsia"/>
          <w:color w:val="auto"/>
          <w:kern w:val="0"/>
          <w:sz w:val="21"/>
          <w:szCs w:val="21"/>
          <w:highlight w:val="none"/>
        </w:rPr>
      </w:pPr>
    </w:p>
    <w:p>
      <w:pPr>
        <w:spacing w:line="360" w:lineRule="auto"/>
        <w:ind w:firstLine="420" w:firstLineChars="200"/>
        <w:rPr>
          <w:rFonts w:asciiTheme="minorEastAsia" w:hAnsiTheme="minorEastAsia" w:eastAsiaTheme="minorEastAsia" w:cstheme="minorEastAsia"/>
          <w:color w:val="auto"/>
          <w:kern w:val="0"/>
          <w:szCs w:val="21"/>
          <w:highlight w:val="none"/>
        </w:rPr>
      </w:pPr>
    </w:p>
    <w:p>
      <w:pPr>
        <w:spacing w:line="360" w:lineRule="auto"/>
        <w:ind w:firstLine="420" w:firstLineChars="20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附件5－2－1</w:t>
      </w:r>
      <w:r>
        <w:rPr>
          <w:rFonts w:hint="eastAsia" w:asciiTheme="minorEastAsia" w:hAnsiTheme="minorEastAsia" w:eastAsiaTheme="minorEastAsia" w:cstheme="minorEastAsia"/>
          <w:color w:val="auto"/>
          <w:kern w:val="0"/>
          <w:sz w:val="21"/>
          <w:szCs w:val="21"/>
          <w:highlight w:val="none"/>
        </w:rPr>
        <w:t>供应商有效的新版“营业执照”或《事业单位法人证书》或其他依法成立组织的证明文件（必须具有，如能够在线查询的材料，请提供国家有关部门规定查询的网址链接，</w:t>
      </w:r>
      <w:r>
        <w:rPr>
          <w:rFonts w:hint="eastAsia" w:asciiTheme="minorEastAsia" w:hAnsiTheme="minorEastAsia" w:eastAsiaTheme="minorEastAsia" w:cstheme="minorEastAsia"/>
          <w:b/>
          <w:color w:val="auto"/>
          <w:kern w:val="0"/>
          <w:sz w:val="21"/>
          <w:szCs w:val="21"/>
          <w:highlight w:val="none"/>
        </w:rPr>
        <w:t>原件备查</w:t>
      </w:r>
      <w:r>
        <w:rPr>
          <w:rFonts w:hint="eastAsia" w:asciiTheme="minorEastAsia" w:hAnsiTheme="minorEastAsia" w:eastAsiaTheme="minorEastAsia" w:cstheme="minorEastAsia"/>
          <w:color w:val="auto"/>
          <w:kern w:val="0"/>
          <w:sz w:val="21"/>
          <w:szCs w:val="21"/>
          <w:highlight w:val="none"/>
        </w:rPr>
        <w:t>）</w:t>
      </w:r>
    </w:p>
    <w:p>
      <w:pPr>
        <w:widowControl/>
        <w:jc w:val="left"/>
        <w:rPr>
          <w:rFonts w:asciiTheme="minorEastAsia" w:hAnsiTheme="minorEastAsia" w:eastAsiaTheme="minorEastAsia" w:cstheme="minorEastAsia"/>
          <w:color w:val="auto"/>
          <w:kern w:val="0"/>
          <w:sz w:val="21"/>
          <w:szCs w:val="21"/>
          <w:highlight w:val="none"/>
        </w:rPr>
      </w:pPr>
    </w:p>
    <w:p>
      <w:pPr>
        <w:widowControl/>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注：提供相关注册或登记等依法成立组织的证明文件，其中：供应商是企业（包括合伙企业） </w:t>
      </w:r>
    </w:p>
    <w:p>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的，应提供其在工商部门注册的有效“企业法人营业执照”或“营业执照”的复印件；供应商是事 </w:t>
      </w:r>
    </w:p>
    <w:p>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业单位的，应提供其有效的“事业单位法人证书”复印件；供应商是非企业专业服务机构的，应提 </w:t>
      </w:r>
    </w:p>
    <w:p>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供其有效的执业许可证复印件； </w:t>
      </w:r>
    </w:p>
    <w:p>
      <w:pPr>
        <w:widowControl/>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(示例略) </w:t>
      </w:r>
    </w:p>
    <w:p>
      <w:pPr>
        <w:pStyle w:val="6"/>
        <w:rPr>
          <w:rFonts w:asciiTheme="minorEastAsia" w:hAnsiTheme="minorEastAsia" w:eastAsiaTheme="minorEastAsia" w:cstheme="minorEastAsia"/>
          <w:color w:val="auto"/>
          <w:sz w:val="21"/>
          <w:szCs w:val="21"/>
          <w:highlight w:val="none"/>
        </w:rPr>
      </w:pPr>
    </w:p>
    <w:p>
      <w:pPr>
        <w:rPr>
          <w:rFonts w:asciiTheme="minorEastAsia" w:hAnsiTheme="minorEastAsia" w:eastAsiaTheme="minorEastAsia" w:cstheme="minorEastAsia"/>
          <w:color w:val="auto"/>
          <w:szCs w:val="21"/>
          <w:highlight w:val="none"/>
        </w:rPr>
      </w:pPr>
    </w:p>
    <w:p>
      <w:pPr>
        <w:pStyle w:val="20"/>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附件5－2－2　供应商有效的税务登记证（必须具有，如能够在线查询的材料，请提供国家有关部门规定查询的网址链接，</w:t>
      </w:r>
      <w:r>
        <w:rPr>
          <w:rFonts w:hint="eastAsia" w:asciiTheme="minorEastAsia" w:hAnsiTheme="minorEastAsia" w:eastAsiaTheme="minorEastAsia" w:cstheme="minorEastAsia"/>
          <w:b/>
          <w:color w:val="auto"/>
          <w:sz w:val="21"/>
          <w:szCs w:val="21"/>
          <w:highlight w:val="none"/>
        </w:rPr>
        <w:t>原件备查</w:t>
      </w:r>
      <w:r>
        <w:rPr>
          <w:rFonts w:hint="eastAsia" w:asciiTheme="minorEastAsia" w:hAnsiTheme="minorEastAsia" w:eastAsiaTheme="minorEastAsia" w:cstheme="minorEastAsia"/>
          <w:color w:val="auto"/>
          <w:sz w:val="21"/>
          <w:szCs w:val="21"/>
          <w:highlight w:val="none"/>
        </w:rPr>
        <w:t xml:space="preserve">）；（若已经取得“三证合一”的可不提供） </w:t>
      </w:r>
    </w:p>
    <w:p>
      <w:pPr>
        <w:widowControl/>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(示例略) </w:t>
      </w:r>
    </w:p>
    <w:p>
      <w:pPr>
        <w:spacing w:line="360" w:lineRule="auto"/>
        <w:ind w:firstLine="420" w:firstLineChars="200"/>
        <w:rPr>
          <w:rFonts w:asciiTheme="minorEastAsia" w:hAnsiTheme="minorEastAsia" w:eastAsiaTheme="minorEastAsia" w:cstheme="minorEastAsia"/>
          <w:color w:val="auto"/>
          <w:kern w:val="0"/>
          <w:sz w:val="21"/>
          <w:szCs w:val="21"/>
          <w:highlight w:val="none"/>
        </w:rPr>
      </w:pPr>
    </w:p>
    <w:p>
      <w:pPr>
        <w:widowControl/>
        <w:spacing w:line="360" w:lineRule="auto"/>
        <w:ind w:firstLine="420" w:firstLineChars="200"/>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附件5－2－3  </w:t>
      </w:r>
      <w:r>
        <w:rPr>
          <w:rFonts w:hint="eastAsia" w:asciiTheme="minorEastAsia" w:hAnsiTheme="minorEastAsia" w:eastAsiaTheme="minorEastAsia" w:cstheme="minorEastAsia"/>
          <w:color w:val="auto"/>
          <w:kern w:val="0"/>
          <w:sz w:val="21"/>
          <w:szCs w:val="21"/>
          <w:highlight w:val="none"/>
        </w:rPr>
        <w:t>供应商参加本项目时上一年度的年度财务报告复印件（如供应商为参加本项目时当年新成立公司的，应提供于公司成立之日后的财务报表），</w:t>
      </w:r>
      <w:r>
        <w:rPr>
          <w:rFonts w:hint="eastAsia" w:asciiTheme="minorEastAsia" w:hAnsiTheme="minorEastAsia" w:eastAsiaTheme="minorEastAsia" w:cstheme="minorEastAsia"/>
          <w:b/>
          <w:color w:val="auto"/>
          <w:kern w:val="0"/>
          <w:sz w:val="21"/>
          <w:szCs w:val="21"/>
          <w:highlight w:val="none"/>
        </w:rPr>
        <w:t>原件备查</w:t>
      </w:r>
      <w:r>
        <w:rPr>
          <w:rFonts w:hint="eastAsia" w:asciiTheme="minorEastAsia" w:hAnsiTheme="minorEastAsia" w:eastAsiaTheme="minorEastAsia" w:cstheme="minorEastAsia"/>
          <w:color w:val="auto"/>
          <w:kern w:val="0"/>
          <w:sz w:val="21"/>
          <w:szCs w:val="21"/>
          <w:highlight w:val="none"/>
        </w:rPr>
        <w:t xml:space="preserve">； </w:t>
      </w:r>
    </w:p>
    <w:p>
      <w:pPr>
        <w:widowControl/>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(示例略) </w:t>
      </w:r>
    </w:p>
    <w:p>
      <w:pPr>
        <w:widowControl/>
        <w:spacing w:line="360" w:lineRule="auto"/>
        <w:jc w:val="left"/>
        <w:rPr>
          <w:rFonts w:asciiTheme="minorEastAsia" w:hAnsiTheme="minorEastAsia" w:eastAsiaTheme="minorEastAsia" w:cstheme="minorEastAsia"/>
          <w:color w:val="auto"/>
          <w:sz w:val="21"/>
          <w:szCs w:val="21"/>
          <w:highlight w:val="none"/>
        </w:rPr>
      </w:pPr>
    </w:p>
    <w:p>
      <w:pPr>
        <w:widowControl/>
        <w:spacing w:line="360" w:lineRule="auto"/>
        <w:ind w:firstLine="420" w:firstLineChars="200"/>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附件5－2－4  </w:t>
      </w:r>
      <w:r>
        <w:rPr>
          <w:rFonts w:hint="eastAsia" w:asciiTheme="minorEastAsia" w:hAnsiTheme="minorEastAsia" w:eastAsiaTheme="minorEastAsia" w:cstheme="minorEastAsia"/>
          <w:color w:val="auto"/>
          <w:kern w:val="0"/>
          <w:sz w:val="21"/>
          <w:szCs w:val="21"/>
          <w:highlight w:val="none"/>
        </w:rPr>
        <w:t>响应文件递交截止之日前半年内供应商连续三个月的依法纳税的依法缴纳税费或依法免缴税费的证明（复印件，</w:t>
      </w:r>
      <w:r>
        <w:rPr>
          <w:rFonts w:hint="eastAsia" w:asciiTheme="minorEastAsia" w:hAnsiTheme="minorEastAsia" w:eastAsiaTheme="minorEastAsia" w:cstheme="minorEastAsia"/>
          <w:b/>
          <w:color w:val="auto"/>
          <w:kern w:val="0"/>
          <w:sz w:val="21"/>
          <w:szCs w:val="21"/>
          <w:highlight w:val="none"/>
        </w:rPr>
        <w:t>原件备查</w:t>
      </w:r>
      <w:r>
        <w:rPr>
          <w:rFonts w:hint="eastAsia" w:asciiTheme="minorEastAsia" w:hAnsiTheme="minorEastAsia" w:eastAsiaTheme="minorEastAsia" w:cstheme="minorEastAsia"/>
          <w:color w:val="auto"/>
          <w:kern w:val="0"/>
          <w:sz w:val="21"/>
          <w:szCs w:val="21"/>
          <w:highlight w:val="none"/>
        </w:rPr>
        <w:t>）；供应商无纳税记录或为新成立公司，应提供由供应商所在地主管税务部门出具的《依法纳税或依法免税证明》（复印件，</w:t>
      </w:r>
      <w:r>
        <w:rPr>
          <w:rFonts w:hint="eastAsia" w:asciiTheme="minorEastAsia" w:hAnsiTheme="minorEastAsia" w:eastAsiaTheme="minorEastAsia" w:cstheme="minorEastAsia"/>
          <w:b/>
          <w:color w:val="auto"/>
          <w:kern w:val="0"/>
          <w:sz w:val="21"/>
          <w:szCs w:val="21"/>
          <w:highlight w:val="none"/>
        </w:rPr>
        <w:t>原件备查</w:t>
      </w:r>
      <w:r>
        <w:rPr>
          <w:rFonts w:hint="eastAsia" w:asciiTheme="minorEastAsia" w:hAnsiTheme="minorEastAsia" w:eastAsiaTheme="minorEastAsia" w:cstheme="minorEastAsia"/>
          <w:color w:val="auto"/>
          <w:kern w:val="0"/>
          <w:sz w:val="21"/>
          <w:szCs w:val="21"/>
          <w:highlight w:val="none"/>
        </w:rPr>
        <w:t>）；</w:t>
      </w:r>
    </w:p>
    <w:p>
      <w:pPr>
        <w:widowControl/>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(示例略) </w:t>
      </w:r>
    </w:p>
    <w:p>
      <w:pPr>
        <w:widowControl/>
        <w:spacing w:line="360" w:lineRule="auto"/>
        <w:ind w:firstLine="420" w:firstLineChars="200"/>
        <w:jc w:val="left"/>
        <w:rPr>
          <w:rFonts w:asciiTheme="minorEastAsia" w:hAnsiTheme="minorEastAsia" w:eastAsiaTheme="minorEastAsia" w:cstheme="minorEastAsia"/>
          <w:color w:val="auto"/>
          <w:sz w:val="21"/>
          <w:szCs w:val="21"/>
          <w:highlight w:val="none"/>
        </w:rPr>
      </w:pPr>
    </w:p>
    <w:p>
      <w:pPr>
        <w:widowControl/>
        <w:spacing w:line="360" w:lineRule="auto"/>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附件5－2－5  </w:t>
      </w:r>
      <w:r>
        <w:rPr>
          <w:rFonts w:hint="eastAsia" w:asciiTheme="minorEastAsia" w:hAnsiTheme="minorEastAsia" w:eastAsiaTheme="minorEastAsia" w:cstheme="minorEastAsia"/>
          <w:color w:val="auto"/>
          <w:kern w:val="0"/>
          <w:sz w:val="21"/>
          <w:szCs w:val="21"/>
          <w:highlight w:val="none"/>
        </w:rPr>
        <w:t>响应文件递交截止之日前半年内供应商连续三个月的依法缴纳社保费的缴费凭证（复印件，</w:t>
      </w:r>
      <w:r>
        <w:rPr>
          <w:rFonts w:hint="eastAsia" w:asciiTheme="minorEastAsia" w:hAnsiTheme="minorEastAsia" w:eastAsiaTheme="minorEastAsia" w:cstheme="minorEastAsia"/>
          <w:b/>
          <w:color w:val="auto"/>
          <w:kern w:val="0"/>
          <w:sz w:val="21"/>
          <w:szCs w:val="21"/>
          <w:highlight w:val="none"/>
        </w:rPr>
        <w:t>原件备查</w:t>
      </w:r>
      <w:r>
        <w:rPr>
          <w:rFonts w:hint="eastAsia" w:asciiTheme="minorEastAsia" w:hAnsiTheme="minorEastAsia" w:eastAsiaTheme="minorEastAsia" w:cstheme="minorEastAsia"/>
          <w:color w:val="auto"/>
          <w:kern w:val="0"/>
          <w:sz w:val="21"/>
          <w:szCs w:val="21"/>
          <w:highlight w:val="none"/>
        </w:rPr>
        <w:t>）；供应商无缴费记录或为新成立公司，应提供由供应商所在地社保部门或税务部门出具的《依法缴纳或依法免缴社保费证明》（复印件，</w:t>
      </w:r>
      <w:r>
        <w:rPr>
          <w:rFonts w:hint="eastAsia" w:asciiTheme="minorEastAsia" w:hAnsiTheme="minorEastAsia" w:eastAsiaTheme="minorEastAsia" w:cstheme="minorEastAsia"/>
          <w:b/>
          <w:color w:val="auto"/>
          <w:kern w:val="0"/>
          <w:sz w:val="21"/>
          <w:szCs w:val="21"/>
          <w:highlight w:val="none"/>
        </w:rPr>
        <w:t>原件备查</w:t>
      </w:r>
      <w:r>
        <w:rPr>
          <w:rFonts w:hint="eastAsia" w:asciiTheme="minorEastAsia" w:hAnsiTheme="minorEastAsia" w:eastAsiaTheme="minorEastAsia" w:cstheme="minorEastAsia"/>
          <w:color w:val="auto"/>
          <w:kern w:val="0"/>
          <w:sz w:val="21"/>
          <w:szCs w:val="21"/>
          <w:highlight w:val="none"/>
        </w:rPr>
        <w:t xml:space="preserve">）； </w:t>
      </w:r>
    </w:p>
    <w:p>
      <w:pPr>
        <w:widowControl/>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(示例略) </w:t>
      </w:r>
    </w:p>
    <w:p>
      <w:pPr>
        <w:pStyle w:val="6"/>
        <w:ind w:firstLine="420" w:firstLineChars="200"/>
        <w:rPr>
          <w:rFonts w:asciiTheme="minorEastAsia" w:hAnsiTheme="minorEastAsia" w:eastAsiaTheme="minorEastAsia" w:cstheme="minorEastAsia"/>
          <w:b w:val="0"/>
          <w:bCs w:val="0"/>
          <w:color w:val="auto"/>
          <w:kern w:val="0"/>
          <w:sz w:val="21"/>
          <w:szCs w:val="21"/>
          <w:highlight w:val="none"/>
        </w:rPr>
      </w:pPr>
    </w:p>
    <w:p>
      <w:pPr>
        <w:rPr>
          <w:rFonts w:asciiTheme="minorEastAsia" w:hAnsiTheme="minorEastAsia" w:eastAsiaTheme="minorEastAsia" w:cstheme="minorEastAsia"/>
          <w:color w:val="auto"/>
          <w:szCs w:val="21"/>
          <w:highlight w:val="none"/>
        </w:rPr>
      </w:pPr>
    </w:p>
    <w:p>
      <w:pPr>
        <w:pStyle w:val="6"/>
        <w:ind w:firstLine="420" w:firstLineChars="200"/>
        <w:rPr>
          <w:rFonts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附件5－2－6  供应商参加采购活动前三年内在经营活动中没有重大违法记录的书面声明</w:t>
      </w:r>
    </w:p>
    <w:p>
      <w:pPr>
        <w:rPr>
          <w:rFonts w:ascii="宋体" w:hAnsi="宋体" w:cs="宋体"/>
          <w:color w:val="auto"/>
          <w:kern w:val="0"/>
          <w:sz w:val="20"/>
          <w:szCs w:val="20"/>
          <w:highlight w:val="none"/>
        </w:rPr>
      </w:pPr>
    </w:p>
    <w:p>
      <w:pPr>
        <w:pStyle w:val="9"/>
        <w:spacing w:before="0" w:after="0"/>
        <w:jc w:val="center"/>
        <w:rPr>
          <w:rFonts w:ascii="宋体" w:hAnsi="宋体" w:cs="Calibri"/>
          <w:color w:val="auto"/>
          <w:sz w:val="28"/>
          <w:szCs w:val="22"/>
          <w:highlight w:val="none"/>
        </w:rPr>
      </w:pPr>
      <w:r>
        <w:rPr>
          <w:rFonts w:hint="eastAsia" w:ascii="宋体" w:hAnsi="宋体" w:cs="Calibri"/>
          <w:color w:val="auto"/>
          <w:sz w:val="28"/>
          <w:szCs w:val="22"/>
          <w:highlight w:val="none"/>
        </w:rPr>
        <w:t>参加采购活动前三年内在经营活动中</w:t>
      </w:r>
    </w:p>
    <w:p>
      <w:pPr>
        <w:pStyle w:val="9"/>
        <w:spacing w:before="0" w:after="0"/>
        <w:jc w:val="center"/>
        <w:rPr>
          <w:rFonts w:ascii="宋体" w:hAnsi="宋体" w:cs="Calibri"/>
          <w:color w:val="auto"/>
          <w:sz w:val="28"/>
          <w:szCs w:val="22"/>
          <w:highlight w:val="none"/>
        </w:rPr>
      </w:pPr>
      <w:r>
        <w:rPr>
          <w:rFonts w:hint="eastAsia" w:ascii="宋体" w:hAnsi="宋体" w:cs="Calibri"/>
          <w:color w:val="auto"/>
          <w:sz w:val="28"/>
          <w:szCs w:val="22"/>
          <w:highlight w:val="none"/>
        </w:rPr>
        <w:t>没有重大违法记录的书面声明</w:t>
      </w:r>
    </w:p>
    <w:p>
      <w:pPr>
        <w:rPr>
          <w:color w:val="auto"/>
          <w:highlight w:val="none"/>
        </w:rPr>
      </w:pPr>
    </w:p>
    <w:p>
      <w:pPr>
        <w:pStyle w:val="20"/>
        <w:spacing w:line="44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本单位郑重声明：</w:t>
      </w:r>
    </w:p>
    <w:p>
      <w:pPr>
        <w:widowControl/>
        <w:spacing w:line="440" w:lineRule="exact"/>
        <w:ind w:firstLine="420" w:firstLineChars="20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我单位在参加采购活动前三年内在经营活动中没有重大违法记录，包括：</w:t>
      </w:r>
    </w:p>
    <w:p>
      <w:pPr>
        <w:pStyle w:val="20"/>
        <w:spacing w:line="44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我单位或者其法定代表人（负责人）、董事、监事、高级管理人员未因经营活动中的违法行为受到刑事处罚或者责令停产停业、吊销许可证或者执照、较大数额罚款等行政处罚。</w:t>
      </w:r>
    </w:p>
    <w:p>
      <w:pPr>
        <w:pStyle w:val="20"/>
        <w:spacing w:line="44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特此声明！</w:t>
      </w:r>
    </w:p>
    <w:p>
      <w:pPr>
        <w:pStyle w:val="20"/>
        <w:spacing w:line="440" w:lineRule="exact"/>
        <w:ind w:firstLine="420" w:firstLineChars="200"/>
        <w:rPr>
          <w:rFonts w:asciiTheme="minorEastAsia" w:hAnsiTheme="minorEastAsia" w:eastAsiaTheme="minorEastAsia" w:cstheme="minorEastAsia"/>
          <w:color w:val="auto"/>
          <w:sz w:val="21"/>
          <w:szCs w:val="21"/>
          <w:highlight w:val="none"/>
        </w:rPr>
      </w:pPr>
    </w:p>
    <w:p>
      <w:pPr>
        <w:pStyle w:val="20"/>
        <w:spacing w:line="44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供应商名称(公章)：____________</w:t>
      </w:r>
    </w:p>
    <w:p>
      <w:pPr>
        <w:pStyle w:val="20"/>
        <w:spacing w:line="44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法定代表人（负责人）或其授权代表(签字或盖章)：____________</w:t>
      </w:r>
    </w:p>
    <w:p>
      <w:pPr>
        <w:pStyle w:val="20"/>
        <w:spacing w:line="44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日期：______年____月____日</w:t>
      </w:r>
    </w:p>
    <w:p>
      <w:pPr>
        <w:pStyle w:val="20"/>
        <w:spacing w:line="440" w:lineRule="exact"/>
        <w:ind w:firstLine="420" w:firstLineChars="200"/>
        <w:rPr>
          <w:rFonts w:asciiTheme="minorEastAsia" w:hAnsiTheme="minorEastAsia" w:eastAsiaTheme="minorEastAsia" w:cstheme="minorEastAsia"/>
          <w:color w:val="auto"/>
          <w:sz w:val="21"/>
          <w:szCs w:val="21"/>
          <w:highlight w:val="none"/>
        </w:rPr>
      </w:pPr>
    </w:p>
    <w:p>
      <w:pPr>
        <w:rPr>
          <w:color w:val="auto"/>
          <w:sz w:val="21"/>
          <w:szCs w:val="21"/>
          <w:highlight w:val="none"/>
        </w:rPr>
      </w:pPr>
    </w:p>
    <w:p>
      <w:pPr>
        <w:pStyle w:val="2"/>
        <w:rPr>
          <w:color w:val="auto"/>
          <w:sz w:val="21"/>
          <w:szCs w:val="21"/>
          <w:highlight w:val="none"/>
        </w:rPr>
      </w:pPr>
    </w:p>
    <w:p>
      <w:pPr>
        <w:rPr>
          <w:color w:val="auto"/>
          <w:sz w:val="21"/>
          <w:szCs w:val="21"/>
          <w:highlight w:val="none"/>
        </w:rPr>
      </w:pPr>
    </w:p>
    <w:p>
      <w:pPr>
        <w:pStyle w:val="2"/>
        <w:rPr>
          <w:color w:val="auto"/>
          <w:sz w:val="21"/>
          <w:szCs w:val="21"/>
          <w:highlight w:val="none"/>
        </w:rPr>
      </w:pPr>
    </w:p>
    <w:p>
      <w:pPr>
        <w:rPr>
          <w:color w:val="auto"/>
          <w:sz w:val="21"/>
          <w:szCs w:val="21"/>
          <w:highlight w:val="none"/>
        </w:rPr>
      </w:pPr>
    </w:p>
    <w:p>
      <w:pPr>
        <w:spacing w:line="360" w:lineRule="auto"/>
        <w:ind w:firstLine="420" w:firstLineChars="200"/>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附件5－2－7  特定资格条件：详见磋商须知前附表。</w:t>
      </w:r>
    </w:p>
    <w:p>
      <w:pPr>
        <w:pStyle w:val="2"/>
        <w:rPr>
          <w:rFonts w:asciiTheme="minorEastAsia" w:hAnsiTheme="minorEastAsia" w:eastAsiaTheme="minorEastAsia" w:cstheme="minorEastAsia"/>
          <w:color w:val="auto"/>
          <w:kern w:val="0"/>
          <w:sz w:val="21"/>
          <w:szCs w:val="21"/>
          <w:highlight w:val="none"/>
        </w:rPr>
      </w:pPr>
    </w:p>
    <w:p>
      <w:pPr>
        <w:rPr>
          <w:rFonts w:asciiTheme="minorEastAsia" w:hAnsiTheme="minorEastAsia" w:eastAsiaTheme="minorEastAsia" w:cstheme="minorEastAsia"/>
          <w:color w:val="auto"/>
          <w:kern w:val="0"/>
          <w:szCs w:val="21"/>
          <w:highlight w:val="none"/>
        </w:rPr>
      </w:pPr>
    </w:p>
    <w:p>
      <w:pPr>
        <w:pStyle w:val="2"/>
        <w:rPr>
          <w:rFonts w:asciiTheme="minorEastAsia" w:hAnsiTheme="minorEastAsia" w:eastAsiaTheme="minorEastAsia" w:cstheme="minorEastAsia"/>
          <w:color w:val="auto"/>
          <w:kern w:val="0"/>
          <w:szCs w:val="21"/>
          <w:highlight w:val="none"/>
        </w:rPr>
      </w:pPr>
    </w:p>
    <w:p>
      <w:pPr>
        <w:rPr>
          <w:rFonts w:asciiTheme="minorEastAsia" w:hAnsiTheme="minorEastAsia" w:eastAsiaTheme="minorEastAsia" w:cstheme="minorEastAsia"/>
          <w:color w:val="auto"/>
          <w:kern w:val="0"/>
          <w:szCs w:val="21"/>
          <w:highlight w:val="none"/>
        </w:rPr>
      </w:pPr>
    </w:p>
    <w:p>
      <w:pPr>
        <w:pStyle w:val="2"/>
        <w:rPr>
          <w:rFonts w:asciiTheme="minorEastAsia" w:hAnsiTheme="minorEastAsia" w:eastAsiaTheme="minorEastAsia" w:cstheme="minorEastAsia"/>
          <w:color w:val="auto"/>
          <w:kern w:val="0"/>
          <w:szCs w:val="21"/>
          <w:highlight w:val="none"/>
        </w:rPr>
      </w:pPr>
    </w:p>
    <w:p>
      <w:pPr>
        <w:rPr>
          <w:rFonts w:asciiTheme="minorEastAsia" w:hAnsiTheme="minorEastAsia" w:eastAsiaTheme="minorEastAsia" w:cstheme="minorEastAsia"/>
          <w:color w:val="auto"/>
          <w:kern w:val="0"/>
          <w:szCs w:val="21"/>
          <w:highlight w:val="none"/>
        </w:rPr>
      </w:pPr>
    </w:p>
    <w:p>
      <w:pPr>
        <w:pStyle w:val="2"/>
        <w:rPr>
          <w:rFonts w:asciiTheme="minorEastAsia" w:hAnsiTheme="minorEastAsia" w:eastAsiaTheme="minorEastAsia" w:cstheme="minorEastAsia"/>
          <w:color w:val="auto"/>
          <w:kern w:val="0"/>
          <w:szCs w:val="21"/>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rFonts w:ascii="宋体" w:hAnsi="宋体" w:cs="宋体"/>
          <w:b/>
          <w:color w:val="auto"/>
          <w:sz w:val="24"/>
          <w:highlight w:val="none"/>
        </w:rPr>
      </w:pPr>
      <w:r>
        <w:rPr>
          <w:rFonts w:hint="eastAsia" w:ascii="宋体" w:hAnsi="宋体" w:cs="宋体"/>
          <w:b/>
          <w:color w:val="auto"/>
          <w:sz w:val="24"/>
          <w:highlight w:val="none"/>
        </w:rPr>
        <w:t>中小企业声明函格式：</w:t>
      </w:r>
    </w:p>
    <w:p>
      <w:pPr>
        <w:pStyle w:val="2"/>
        <w:rPr>
          <w:rFonts w:ascii="宋体" w:hAnsi="宋体" w:cs="宋体"/>
          <w:b/>
          <w:color w:val="auto"/>
          <w:sz w:val="24"/>
          <w:highlight w:val="none"/>
        </w:rPr>
      </w:pPr>
    </w:p>
    <w:p>
      <w:pPr>
        <w:spacing w:line="360" w:lineRule="auto"/>
        <w:ind w:firstLine="562" w:firstLineChars="200"/>
        <w:jc w:val="center"/>
        <w:rPr>
          <w:rFonts w:ascii="宋体" w:hAnsi="宋体" w:cs="宋体"/>
          <w:b/>
          <w:color w:val="auto"/>
          <w:sz w:val="28"/>
          <w:szCs w:val="28"/>
          <w:highlight w:val="none"/>
        </w:rPr>
      </w:pPr>
      <w:r>
        <w:rPr>
          <w:rFonts w:hint="eastAsia" w:ascii="宋体" w:hAnsi="宋体" w:cs="宋体"/>
          <w:b/>
          <w:color w:val="auto"/>
          <w:sz w:val="28"/>
          <w:szCs w:val="28"/>
          <w:highlight w:val="none"/>
        </w:rPr>
        <w:t>中小企业声明函（货物）</w:t>
      </w:r>
    </w:p>
    <w:p>
      <w:pPr>
        <w:pStyle w:val="20"/>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4"/>
          <w:szCs w:val="24"/>
          <w:highlight w:val="none"/>
          <w:u w:val="single"/>
        </w:rPr>
        <w:t>（单位名称）</w:t>
      </w:r>
      <w:r>
        <w:rPr>
          <w:rFonts w:hint="eastAsia" w:asciiTheme="minorEastAsia" w:hAnsiTheme="minorEastAsia" w:eastAsiaTheme="minorEastAsia" w:cstheme="minorEastAsia"/>
          <w:color w:val="auto"/>
          <w:sz w:val="24"/>
          <w:szCs w:val="24"/>
          <w:highlight w:val="none"/>
        </w:rPr>
        <w:t xml:space="preserve">的 </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采购活动，提供的货物全部由符合政策要求的中小企业制造。相关企业（含联合体中的中小企业、签订分包意向协议的中小企业）的具体情况如下：</w:t>
      </w:r>
    </w:p>
    <w:p>
      <w:pPr>
        <w:pStyle w:val="20"/>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 xml:space="preserve">（标的名称） </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 xml:space="preserve">（采购文件中明确的所属行业） </w:t>
      </w:r>
      <w:r>
        <w:rPr>
          <w:rFonts w:hint="eastAsia" w:asciiTheme="minorEastAsia" w:hAnsiTheme="minorEastAsia" w:eastAsiaTheme="minorEastAsia" w:cstheme="minorEastAsia"/>
          <w:color w:val="auto"/>
          <w:sz w:val="24"/>
          <w:szCs w:val="24"/>
          <w:highlight w:val="none"/>
        </w:rPr>
        <w:t>；制造商为</w:t>
      </w:r>
      <w:r>
        <w:rPr>
          <w:rFonts w:hint="eastAsia" w:asciiTheme="minorEastAsia" w:hAnsiTheme="minorEastAsia" w:eastAsiaTheme="minorEastAsia" w:cstheme="minorEastAsia"/>
          <w:color w:val="auto"/>
          <w:sz w:val="24"/>
          <w:szCs w:val="24"/>
          <w:highlight w:val="none"/>
          <w:u w:val="single"/>
        </w:rPr>
        <w:t xml:space="preserve">（企业名称） </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 xml:space="preserve">（中型企业、小型企业、微型企业） </w:t>
      </w:r>
      <w:r>
        <w:rPr>
          <w:rFonts w:hint="eastAsia" w:asciiTheme="minorEastAsia" w:hAnsiTheme="minorEastAsia" w:eastAsiaTheme="minorEastAsia" w:cstheme="minorEastAsia"/>
          <w:color w:val="auto"/>
          <w:sz w:val="24"/>
          <w:szCs w:val="24"/>
          <w:highlight w:val="none"/>
        </w:rPr>
        <w:t>；</w:t>
      </w:r>
    </w:p>
    <w:p>
      <w:pPr>
        <w:pStyle w:val="20"/>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 xml:space="preserve">（标的名称） </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 xml:space="preserve">（采购文件中明确的所属行业） </w:t>
      </w:r>
      <w:r>
        <w:rPr>
          <w:rFonts w:hint="eastAsia" w:asciiTheme="minorEastAsia" w:hAnsiTheme="minorEastAsia" w:eastAsiaTheme="minorEastAsia" w:cstheme="minorEastAsia"/>
          <w:color w:val="auto"/>
          <w:sz w:val="24"/>
          <w:szCs w:val="24"/>
          <w:highlight w:val="none"/>
        </w:rPr>
        <w:t>；制造商为</w:t>
      </w:r>
      <w:r>
        <w:rPr>
          <w:rFonts w:hint="eastAsia" w:asciiTheme="minorEastAsia" w:hAnsiTheme="minorEastAsia" w:eastAsiaTheme="minorEastAsia" w:cstheme="minorEastAsia"/>
          <w:color w:val="auto"/>
          <w:sz w:val="24"/>
          <w:szCs w:val="24"/>
          <w:highlight w:val="none"/>
          <w:u w:val="single"/>
        </w:rPr>
        <w:t xml:space="preserve">（企业名称） </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 xml:space="preserve">（中型企业、小型企业、微型企业） </w:t>
      </w:r>
      <w:r>
        <w:rPr>
          <w:rFonts w:hint="eastAsia" w:asciiTheme="minorEastAsia" w:hAnsiTheme="minorEastAsia" w:eastAsiaTheme="minorEastAsia" w:cstheme="minorEastAsia"/>
          <w:color w:val="auto"/>
          <w:sz w:val="24"/>
          <w:szCs w:val="24"/>
          <w:highlight w:val="none"/>
        </w:rPr>
        <w:t>；</w:t>
      </w:r>
    </w:p>
    <w:p>
      <w:pPr>
        <w:spacing w:line="460" w:lineRule="exact"/>
        <w:ind w:firstLine="600" w:firstLineChars="2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pPr>
        <w:spacing w:line="460" w:lineRule="exact"/>
        <w:ind w:firstLine="600" w:firstLineChars="2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pPr>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pPr>
        <w:spacing w:line="460" w:lineRule="exact"/>
        <w:ind w:firstLine="5040" w:firstLineChars="2100"/>
        <w:jc w:val="left"/>
        <w:rPr>
          <w:rFonts w:hint="eastAsia" w:asciiTheme="minorEastAsia" w:hAnsiTheme="minorEastAsia" w:eastAsiaTheme="minorEastAsia" w:cstheme="minorEastAsia"/>
          <w:color w:val="auto"/>
          <w:sz w:val="24"/>
          <w:szCs w:val="24"/>
          <w:highlight w:val="none"/>
        </w:rPr>
      </w:pPr>
    </w:p>
    <w:p>
      <w:pPr>
        <w:spacing w:line="460" w:lineRule="exact"/>
        <w:ind w:firstLine="5040" w:firstLineChars="2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企业名称（盖章）：</w:t>
      </w:r>
    </w:p>
    <w:p>
      <w:pPr>
        <w:spacing w:line="460" w:lineRule="exact"/>
        <w:ind w:firstLine="5040" w:firstLineChars="2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pPr>
        <w:spacing w:line="460" w:lineRule="exact"/>
        <w:ind w:firstLine="480" w:firstLineChars="200"/>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p>
      <w:pPr>
        <w:spacing w:line="360" w:lineRule="auto"/>
        <w:ind w:firstLine="40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1.从业人员、营业收入、资产总额填报上一年度数据，无上一年度数据的新成立企业可不填报。</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2.中小企业划型应按《关于印发中小企业划型标准规定的通知》（工信部联企业〔2011〕300号）规定的划型标准划分。</w:t>
      </w:r>
    </w:p>
    <w:p>
      <w:pPr>
        <w:spacing w:line="360" w:lineRule="auto"/>
        <w:ind w:firstLine="480" w:firstLineChars="200"/>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3.本项目采购标的对应的中小企业划分标准所属行业为</w:t>
      </w:r>
      <w:r>
        <w:rPr>
          <w:rFonts w:hint="eastAsia" w:asciiTheme="minorEastAsia" w:hAnsiTheme="minorEastAsia" w:eastAsiaTheme="minorEastAsia" w:cstheme="minorEastAsia"/>
          <w:b/>
          <w:bCs/>
          <w:color w:val="auto"/>
          <w:sz w:val="24"/>
          <w:szCs w:val="24"/>
          <w:highlight w:val="none"/>
          <w:u w:val="single"/>
        </w:rPr>
        <w:t>软件和信息技术服务业</w:t>
      </w:r>
      <w:r>
        <w:rPr>
          <w:rFonts w:hint="eastAsia" w:asciiTheme="minorEastAsia" w:hAnsiTheme="minorEastAsia" w:eastAsiaTheme="minorEastAsia" w:cstheme="minorEastAsia"/>
          <w:color w:val="auto"/>
          <w:sz w:val="24"/>
          <w:szCs w:val="24"/>
          <w:highlight w:val="none"/>
        </w:rPr>
        <w:t>。</w:t>
      </w:r>
    </w:p>
    <w:p>
      <w:pPr>
        <w:spacing w:line="528" w:lineRule="exact"/>
        <w:ind w:left="1871" w:firstLine="1680" w:firstLineChars="600"/>
        <w:rPr>
          <w:rFonts w:ascii="宋体" w:hAnsi="宋体" w:cs="宋体"/>
          <w:color w:val="auto"/>
          <w:sz w:val="28"/>
          <w:szCs w:val="28"/>
          <w:highlight w:val="none"/>
        </w:rPr>
      </w:pPr>
    </w:p>
    <w:p>
      <w:pPr>
        <w:pStyle w:val="2"/>
        <w:rPr>
          <w:color w:val="auto"/>
          <w:highlight w:val="none"/>
        </w:rPr>
      </w:pPr>
    </w:p>
    <w:p>
      <w:pPr>
        <w:rPr>
          <w:color w:val="auto"/>
          <w:highlight w:val="none"/>
        </w:rPr>
      </w:pPr>
    </w:p>
    <w:p>
      <w:pPr>
        <w:rPr>
          <w:color w:val="auto"/>
          <w:highlight w:val="none"/>
        </w:rPr>
      </w:pPr>
    </w:p>
    <w:p>
      <w:pPr>
        <w:spacing w:line="528"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中小微企业划型标准</w:t>
      </w:r>
    </w:p>
    <w:tbl>
      <w:tblPr>
        <w:tblStyle w:val="44"/>
        <w:tblW w:w="9433" w:type="dxa"/>
        <w:jc w:val="center"/>
        <w:tblLayout w:type="fixed"/>
        <w:tblCellMar>
          <w:top w:w="0" w:type="dxa"/>
          <w:left w:w="108" w:type="dxa"/>
          <w:bottom w:w="0" w:type="dxa"/>
          <w:right w:w="108" w:type="dxa"/>
        </w:tblCellMar>
      </w:tblPr>
      <w:tblGrid>
        <w:gridCol w:w="1712"/>
        <w:gridCol w:w="1737"/>
        <w:gridCol w:w="1092"/>
        <w:gridCol w:w="1916"/>
        <w:gridCol w:w="1805"/>
        <w:gridCol w:w="1171"/>
      </w:tblGrid>
      <w:tr>
        <w:tblPrEx>
          <w:tblCellMar>
            <w:top w:w="0" w:type="dxa"/>
            <w:left w:w="108" w:type="dxa"/>
            <w:bottom w:w="0" w:type="dxa"/>
            <w:right w:w="108" w:type="dxa"/>
          </w:tblCellMar>
        </w:tblPrEx>
        <w:trPr>
          <w:trHeight w:val="340"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73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10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9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8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17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微型</w:t>
            </w:r>
          </w:p>
        </w:tc>
      </w:tr>
      <w:tr>
        <w:tblPrEx>
          <w:tblCellMar>
            <w:top w:w="0" w:type="dxa"/>
            <w:left w:w="108" w:type="dxa"/>
            <w:bottom w:w="0" w:type="dxa"/>
            <w:right w:w="108" w:type="dxa"/>
          </w:tblCellMar>
        </w:tblPrEx>
        <w:trPr>
          <w:trHeight w:val="340" w:hRule="atLeast"/>
          <w:jc w:val="center"/>
        </w:trPr>
        <w:tc>
          <w:tcPr>
            <w:tcW w:w="1712"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50≤Y＜500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Z＜300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20≤X＜200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5≤X＜20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X＜5</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50≤X＜300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10≤X＜50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20≤X＜100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租赁和商务服务业</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auto"/>
                <w:kern w:val="0"/>
                <w:szCs w:val="21"/>
                <w:highlight w:val="none"/>
              </w:rPr>
            </w:pP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CellMar>
            <w:top w:w="0" w:type="dxa"/>
            <w:left w:w="108" w:type="dxa"/>
            <w:bottom w:w="0" w:type="dxa"/>
            <w:right w:w="108" w:type="dxa"/>
          </w:tblCellMar>
        </w:tblPrEx>
        <w:trPr>
          <w:trHeight w:val="340" w:hRule="atLeast"/>
          <w:jc w:val="center"/>
        </w:trPr>
        <w:tc>
          <w:tcPr>
            <w:tcW w:w="1712"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737"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0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916"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80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bl>
    <w:p>
      <w:pPr>
        <w:spacing w:line="360" w:lineRule="auto"/>
        <w:ind w:firstLine="525" w:firstLineChars="250"/>
        <w:rPr>
          <w:rFonts w:ascii="宋体" w:hAnsi="宋体" w:cs="宋体"/>
          <w:color w:val="auto"/>
          <w:highlight w:val="none"/>
        </w:rPr>
        <w:sectPr>
          <w:footerReference r:id="rId6" w:type="default"/>
          <w:pgSz w:w="11906" w:h="16838"/>
          <w:pgMar w:top="1134" w:right="1134" w:bottom="1134" w:left="1134" w:header="720" w:footer="720" w:gutter="0"/>
          <w:pgNumType w:start="1"/>
          <w:cols w:space="720" w:num="1"/>
          <w:docGrid w:type="lines" w:linePitch="331"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rPr>
          <w:color w:val="auto"/>
          <w:highlight w:val="none"/>
        </w:rPr>
      </w:pPr>
    </w:p>
    <w:p>
      <w:pPr>
        <w:overflowPunct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残疾人福利性单位声明函格式：</w:t>
      </w:r>
    </w:p>
    <w:p>
      <w:pPr>
        <w:rPr>
          <w:rFonts w:ascii="宋体" w:hAnsi="宋体" w:cs="宋体"/>
          <w:color w:val="auto"/>
          <w:sz w:val="24"/>
          <w:highlight w:val="none"/>
        </w:rPr>
      </w:pPr>
    </w:p>
    <w:p>
      <w:pPr>
        <w:rPr>
          <w:color w:val="auto"/>
          <w:highlight w:val="none"/>
        </w:rPr>
      </w:pPr>
    </w:p>
    <w:p>
      <w:pPr>
        <w:overflowPunct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pPr>
        <w:overflowPunct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overflowPunct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overflowPunct w:val="0"/>
        <w:spacing w:line="360" w:lineRule="auto"/>
        <w:ind w:firstLine="480" w:firstLineChars="200"/>
        <w:rPr>
          <w:rFonts w:ascii="宋体" w:hAnsi="宋体" w:cs="宋体"/>
          <w:color w:val="auto"/>
          <w:sz w:val="24"/>
          <w:highlight w:val="none"/>
        </w:rPr>
      </w:pPr>
    </w:p>
    <w:p>
      <w:pPr>
        <w:overflowPunct w:val="0"/>
        <w:spacing w:line="360" w:lineRule="auto"/>
        <w:ind w:firstLine="6720" w:firstLineChars="2800"/>
        <w:rPr>
          <w:rFonts w:ascii="宋体" w:hAnsi="宋体" w:cs="宋体"/>
          <w:color w:val="auto"/>
          <w:sz w:val="24"/>
          <w:highlight w:val="none"/>
        </w:rPr>
      </w:pPr>
      <w:r>
        <w:rPr>
          <w:rFonts w:hint="eastAsia" w:ascii="宋体" w:hAnsi="宋体" w:cs="宋体"/>
          <w:color w:val="auto"/>
          <w:sz w:val="24"/>
          <w:highlight w:val="none"/>
        </w:rPr>
        <w:t xml:space="preserve">单位名称（盖章）：             </w:t>
      </w:r>
    </w:p>
    <w:p>
      <w:pPr>
        <w:overflowPunct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             </w:t>
      </w:r>
    </w:p>
    <w:p>
      <w:pPr>
        <w:overflowPunct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w:t>
      </w:r>
    </w:p>
    <w:p>
      <w:pPr>
        <w:overflowPunct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1.填写前请认真阅读财库〔2017〕141号《三部门联合发布关于促进残疾人就业政府采购政策的通知》相关规定，并对声明的真实性负责。</w:t>
      </w:r>
    </w:p>
    <w:p>
      <w:pPr>
        <w:overflowPunct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2.成交供应商为残疾人福利性单位的，成交结果将同时公告其《残疾人福利性单位声明函》，接受社会监督。</w:t>
      </w: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pPr>
        <w:pStyle w:val="20"/>
        <w:ind w:firstLine="562" w:firstLineChars="200"/>
        <w:rPr>
          <w:rFonts w:hAnsi="宋体"/>
          <w:b/>
          <w:bCs/>
          <w:color w:val="auto"/>
          <w:sz w:val="28"/>
          <w:szCs w:val="28"/>
          <w:highlight w:val="none"/>
        </w:rPr>
      </w:pPr>
      <w:r>
        <w:rPr>
          <w:rFonts w:hint="eastAsia" w:hAnsi="宋体"/>
          <w:b/>
          <w:bCs/>
          <w:color w:val="auto"/>
          <w:sz w:val="28"/>
          <w:szCs w:val="28"/>
          <w:highlight w:val="none"/>
        </w:rPr>
        <w:t>监狱企业证明材料文件</w:t>
      </w:r>
    </w:p>
    <w:p>
      <w:pPr>
        <w:spacing w:line="360" w:lineRule="auto"/>
        <w:rPr>
          <w:rFonts w:asciiTheme="minorEastAsia" w:hAnsiTheme="minorEastAsia" w:eastAsiaTheme="minorEastAsia" w:cstheme="minorEastAsia"/>
          <w:color w:val="auto"/>
          <w:kern w:val="0"/>
          <w:sz w:val="24"/>
          <w:highlight w:val="none"/>
        </w:rPr>
      </w:pPr>
    </w:p>
    <w:p>
      <w:pPr>
        <w:pStyle w:val="20"/>
        <w:spacing w:line="440" w:lineRule="exact"/>
        <w:ind w:firstLine="480" w:firstLineChars="200"/>
        <w:rPr>
          <w:rFonts w:hAnsi="宋体"/>
          <w:color w:val="auto"/>
          <w:sz w:val="24"/>
          <w:szCs w:val="24"/>
          <w:highlight w:val="none"/>
        </w:rPr>
      </w:pPr>
      <w:r>
        <w:rPr>
          <w:rFonts w:hint="eastAsia" w:hAnsi="宋体"/>
          <w:color w:val="auto"/>
          <w:sz w:val="24"/>
          <w:szCs w:val="24"/>
          <w:highlight w:val="none"/>
        </w:rPr>
        <w:t>说明：</w:t>
      </w:r>
    </w:p>
    <w:p>
      <w:pPr>
        <w:pStyle w:val="20"/>
        <w:spacing w:line="440" w:lineRule="exact"/>
        <w:ind w:firstLine="480" w:firstLineChars="200"/>
        <w:rPr>
          <w:rFonts w:hAnsi="宋体"/>
          <w:color w:val="auto"/>
          <w:sz w:val="24"/>
          <w:szCs w:val="24"/>
          <w:highlight w:val="none"/>
        </w:rPr>
      </w:pPr>
      <w:r>
        <w:rPr>
          <w:rFonts w:hint="eastAsia" w:hAnsi="宋体"/>
          <w:color w:val="auto"/>
          <w:sz w:val="24"/>
          <w:szCs w:val="24"/>
          <w:highlight w:val="none"/>
        </w:rPr>
        <w:t>1.监狱企业参加本项目采购活动时，应当提供由省级以上监狱管理局、戒毒管理局（含新疆生产建设兵团）出具的属于监狱企业的证明文件。（供应商如能够在线查询的材料，请提供查询网址链接，可以不用同时提供纸质材料，原件备查）</w:t>
      </w:r>
    </w:p>
    <w:p>
      <w:pPr>
        <w:pStyle w:val="20"/>
        <w:spacing w:line="440" w:lineRule="exact"/>
        <w:ind w:firstLine="480" w:firstLineChars="200"/>
        <w:rPr>
          <w:rFonts w:hAnsi="宋体"/>
          <w:color w:val="auto"/>
          <w:sz w:val="24"/>
          <w:szCs w:val="24"/>
          <w:highlight w:val="none"/>
        </w:rPr>
      </w:pPr>
      <w:r>
        <w:rPr>
          <w:rFonts w:hint="eastAsia" w:hAnsi="宋体"/>
          <w:color w:val="auto"/>
          <w:sz w:val="24"/>
          <w:szCs w:val="24"/>
          <w:highlight w:val="none"/>
        </w:rPr>
        <w:t>2</w:t>
      </w:r>
      <w:r>
        <w:rPr>
          <w:rFonts w:hAnsi="宋体"/>
          <w:color w:val="auto"/>
          <w:sz w:val="24"/>
          <w:szCs w:val="24"/>
          <w:highlight w:val="none"/>
        </w:rPr>
        <w:t>.</w:t>
      </w:r>
      <w:r>
        <w:rPr>
          <w:rFonts w:hint="eastAsia" w:hAnsi="宋体"/>
          <w:color w:val="auto"/>
          <w:sz w:val="24"/>
          <w:szCs w:val="24"/>
          <w:highlight w:val="none"/>
        </w:rPr>
        <w:t>未按上述要求提供、填写的，评审时不予以考虑。</w:t>
      </w:r>
    </w:p>
    <w:p>
      <w:pPr>
        <w:pStyle w:val="20"/>
        <w:spacing w:line="440" w:lineRule="exact"/>
        <w:ind w:firstLine="480" w:firstLineChars="200"/>
        <w:rPr>
          <w:rFonts w:hAnsi="宋体"/>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示例略</w:t>
      </w:r>
      <w:r>
        <w:rPr>
          <w:rFonts w:hAnsi="宋体"/>
          <w:color w:val="auto"/>
          <w:sz w:val="24"/>
          <w:szCs w:val="24"/>
          <w:highlight w:val="none"/>
        </w:rPr>
        <w:t>)</w:t>
      </w:r>
    </w:p>
    <w:p>
      <w:pPr>
        <w:pStyle w:val="6"/>
        <w:rPr>
          <w:rFonts w:asciiTheme="minorEastAsia" w:hAnsiTheme="minorEastAsia" w:eastAsiaTheme="minorEastAsia" w:cstheme="minorEastAsia"/>
          <w:color w:val="auto"/>
          <w:kern w:val="0"/>
          <w:sz w:val="24"/>
          <w:szCs w:val="24"/>
          <w:highlight w:val="none"/>
        </w:rPr>
      </w:pPr>
    </w:p>
    <w:p>
      <w:pPr>
        <w:rPr>
          <w:rFonts w:asciiTheme="minorEastAsia" w:hAnsiTheme="minorEastAsia" w:eastAsiaTheme="minorEastAsia" w:cstheme="minorEastAsia"/>
          <w:color w:val="auto"/>
          <w:kern w:val="0"/>
          <w:sz w:val="24"/>
          <w:szCs w:val="28"/>
          <w:highlight w:val="none"/>
        </w:rPr>
      </w:pPr>
    </w:p>
    <w:p>
      <w:pPr>
        <w:pStyle w:val="6"/>
        <w:rPr>
          <w:color w:val="auto"/>
          <w:highlight w:val="none"/>
        </w:rPr>
      </w:pPr>
    </w:p>
    <w:p>
      <w:pPr>
        <w:spacing w:line="360" w:lineRule="auto"/>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六、磋商须知前附表要求供应商提供的其他资料</w:t>
      </w:r>
    </w:p>
    <w:p>
      <w:pPr>
        <w:rPr>
          <w:rFonts w:asciiTheme="minorEastAsia" w:hAnsiTheme="minorEastAsia" w:eastAsiaTheme="minorEastAsia" w:cstheme="minorEastAsia"/>
          <w:color w:val="auto"/>
          <w:kern w:val="0"/>
          <w:sz w:val="24"/>
          <w:szCs w:val="28"/>
          <w:highlight w:val="none"/>
        </w:rPr>
      </w:pPr>
    </w:p>
    <w:p>
      <w:pPr>
        <w:rPr>
          <w:rFonts w:asciiTheme="minorEastAsia" w:hAnsiTheme="minorEastAsia" w:eastAsiaTheme="minorEastAsia" w:cstheme="minorEastAsia"/>
          <w:color w:val="auto"/>
          <w:kern w:val="0"/>
          <w:sz w:val="24"/>
          <w:szCs w:val="28"/>
          <w:highlight w:val="none"/>
        </w:rPr>
      </w:pPr>
    </w:p>
    <w:p>
      <w:pPr>
        <w:rPr>
          <w:rFonts w:asciiTheme="minorEastAsia" w:hAnsiTheme="minorEastAsia" w:eastAsiaTheme="minorEastAsia" w:cstheme="minorEastAsia"/>
          <w:color w:val="auto"/>
          <w:kern w:val="0"/>
          <w:sz w:val="24"/>
          <w:szCs w:val="28"/>
          <w:highlight w:val="none"/>
        </w:rPr>
      </w:pPr>
    </w:p>
    <w:p>
      <w:pPr>
        <w:rPr>
          <w:rFonts w:asciiTheme="minorEastAsia" w:hAnsiTheme="minorEastAsia" w:eastAsiaTheme="minorEastAsia" w:cstheme="minorEastAsia"/>
          <w:color w:val="auto"/>
          <w:kern w:val="0"/>
          <w:sz w:val="24"/>
          <w:szCs w:val="28"/>
          <w:highlight w:val="none"/>
        </w:rPr>
      </w:pPr>
    </w:p>
    <w:p>
      <w:pPr>
        <w:rPr>
          <w:rFonts w:asciiTheme="minorEastAsia" w:hAnsiTheme="minorEastAsia" w:eastAsiaTheme="minorEastAsia" w:cstheme="minorEastAsia"/>
          <w:color w:val="auto"/>
          <w:kern w:val="0"/>
          <w:sz w:val="24"/>
          <w:szCs w:val="28"/>
          <w:highlight w:val="none"/>
        </w:rPr>
      </w:pPr>
    </w:p>
    <w:p>
      <w:pPr>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七、供应商认为需提供的其他资料</w:t>
      </w:r>
    </w:p>
    <w:p>
      <w:pPr>
        <w:rPr>
          <w:rFonts w:asciiTheme="minorEastAsia" w:hAnsiTheme="minorEastAsia" w:eastAsiaTheme="minorEastAsia" w:cstheme="minorEastAsia"/>
          <w:color w:val="auto"/>
          <w:kern w:val="0"/>
          <w:sz w:val="24"/>
          <w:szCs w:val="28"/>
          <w:highlight w:val="none"/>
        </w:rPr>
      </w:pPr>
    </w:p>
    <w:p>
      <w:pPr>
        <w:ind w:firstLine="482" w:firstLineChars="20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24"/>
          <w:szCs w:val="28"/>
          <w:highlight w:val="none"/>
        </w:rPr>
        <w:br w:type="page"/>
      </w:r>
      <w:r>
        <w:rPr>
          <w:rFonts w:hint="eastAsia" w:asciiTheme="minorEastAsia" w:hAnsiTheme="minorEastAsia" w:eastAsiaTheme="minorEastAsia" w:cstheme="minorEastAsia"/>
          <w:b/>
          <w:color w:val="auto"/>
          <w:kern w:val="0"/>
          <w:sz w:val="32"/>
          <w:szCs w:val="32"/>
          <w:highlight w:val="none"/>
        </w:rPr>
        <w:t>第二部分 技术部分</w:t>
      </w:r>
    </w:p>
    <w:p>
      <w:pPr>
        <w:ind w:firstLine="643" w:firstLineChars="200"/>
        <w:jc w:val="center"/>
        <w:rPr>
          <w:rFonts w:asciiTheme="minorEastAsia" w:hAnsiTheme="minorEastAsia" w:eastAsiaTheme="minorEastAsia" w:cstheme="minorEastAsia"/>
          <w:b/>
          <w:color w:val="auto"/>
          <w:kern w:val="0"/>
          <w:sz w:val="32"/>
          <w:szCs w:val="32"/>
          <w:highlight w:val="none"/>
        </w:rPr>
      </w:pPr>
    </w:p>
    <w:p>
      <w:pPr>
        <w:spacing w:line="360" w:lineRule="auto"/>
        <w:ind w:firstLine="720" w:firstLineChars="3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一、服务方案、实施方案及技术方案（格式自拟）</w:t>
      </w:r>
    </w:p>
    <w:p>
      <w:pPr>
        <w:spacing w:line="360" w:lineRule="auto"/>
        <w:ind w:firstLine="720" w:firstLineChars="300"/>
        <w:rPr>
          <w:rFonts w:asciiTheme="minorEastAsia" w:hAnsiTheme="minorEastAsia" w:eastAsiaTheme="minorEastAsia" w:cstheme="minorEastAsia"/>
          <w:color w:val="auto"/>
          <w:kern w:val="0"/>
          <w:sz w:val="24"/>
          <w:szCs w:val="28"/>
          <w:highlight w:val="none"/>
        </w:rPr>
      </w:pPr>
    </w:p>
    <w:p>
      <w:pPr>
        <w:spacing w:line="360" w:lineRule="auto"/>
        <w:ind w:firstLine="720" w:firstLineChars="3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二、技术响应与偏离表</w:t>
      </w:r>
    </w:p>
    <w:p>
      <w:pPr>
        <w:spacing w:line="360" w:lineRule="auto"/>
        <w:ind w:firstLine="602" w:firstLineChars="200"/>
        <w:jc w:val="center"/>
        <w:rPr>
          <w:rFonts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技术响应与偏离表</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项目编号：</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包号：无分包</w:t>
      </w:r>
    </w:p>
    <w:tbl>
      <w:tblPr>
        <w:tblStyle w:val="44"/>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236"/>
        <w:gridCol w:w="1236"/>
        <w:gridCol w:w="1504"/>
        <w:gridCol w:w="150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品目号</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货物名称</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数量及单位</w:t>
            </w:r>
          </w:p>
        </w:tc>
        <w:tc>
          <w:tcPr>
            <w:tcW w:w="1504"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项目要求及技术需求</w:t>
            </w:r>
          </w:p>
        </w:tc>
        <w:tc>
          <w:tcPr>
            <w:tcW w:w="1504"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响应情况</w:t>
            </w:r>
          </w:p>
        </w:tc>
        <w:tc>
          <w:tcPr>
            <w:tcW w:w="81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偏离</w:t>
            </w:r>
          </w:p>
        </w:tc>
        <w:tc>
          <w:tcPr>
            <w:tcW w:w="81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20"/>
              <w:jc w:val="center"/>
              <w:rPr>
                <w:rFonts w:asciiTheme="minorEastAsia" w:hAnsiTheme="minorEastAsia" w:eastAsiaTheme="minorEastAsia" w:cstheme="minorEastAsia"/>
                <w:color w:val="auto"/>
                <w:sz w:val="24"/>
                <w:szCs w:val="24"/>
                <w:highlight w:val="none"/>
              </w:rPr>
            </w:pPr>
          </w:p>
        </w:tc>
      </w:tr>
    </w:tbl>
    <w:p>
      <w:pPr>
        <w:spacing w:line="360" w:lineRule="auto"/>
        <w:ind w:firstLine="420" w:firstLineChars="200"/>
        <w:rPr>
          <w:rFonts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说明：</w:t>
      </w:r>
    </w:p>
    <w:p>
      <w:pPr>
        <w:spacing w:line="360" w:lineRule="auto"/>
        <w:ind w:firstLine="420" w:firstLineChars="200"/>
        <w:rPr>
          <w:rFonts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（1）供应商应按《第六章　项目采购需求》中的技术条款要求，结合自身响应情况对技术条款逐条响应。</w:t>
      </w:r>
    </w:p>
    <w:p>
      <w:pPr>
        <w:spacing w:line="360" w:lineRule="auto"/>
        <w:ind w:firstLine="420" w:firstLineChars="200"/>
        <w:rPr>
          <w:rFonts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（2）当响应文件响应的技术条款完全响应磋商文件要求时，供应商应注明“无偏离”；低于磋商文件要求时，应注明“负偏离”；优于磋商文件要求的，应注明“正偏离”。</w:t>
      </w:r>
    </w:p>
    <w:p>
      <w:pPr>
        <w:spacing w:line="360" w:lineRule="auto"/>
        <w:ind w:firstLine="422" w:firstLineChars="200"/>
        <w:rPr>
          <w:rFonts w:asciiTheme="minorEastAsia" w:hAnsiTheme="minorEastAsia" w:eastAsiaTheme="minorEastAsia" w:cstheme="minorEastAsia"/>
          <w:b/>
          <w:color w:val="auto"/>
          <w:kern w:val="0"/>
          <w:sz w:val="21"/>
          <w:szCs w:val="21"/>
          <w:highlight w:val="none"/>
        </w:rPr>
      </w:pPr>
    </w:p>
    <w:p>
      <w:pPr>
        <w:spacing w:line="360" w:lineRule="auto"/>
        <w:ind w:firstLine="420" w:firstLineChars="200"/>
        <w:rPr>
          <w:rFonts w:asciiTheme="minorEastAsia" w:hAnsiTheme="minorEastAsia" w:eastAsiaTheme="minorEastAsia" w:cstheme="minorEastAsia"/>
          <w:color w:val="auto"/>
          <w:kern w:val="0"/>
          <w:sz w:val="21"/>
          <w:szCs w:val="21"/>
          <w:highlight w:val="none"/>
        </w:rPr>
      </w:pP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供应商名称(公章)：____________</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法定代表人或其授权代表(签字或盖章)：____________</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日期：______年____月____日</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p>
    <w:p>
      <w:pPr>
        <w:spacing w:line="360" w:lineRule="auto"/>
        <w:ind w:firstLine="480" w:firstLineChars="200"/>
        <w:rPr>
          <w:rFonts w:asciiTheme="minorEastAsia" w:hAnsiTheme="minorEastAsia" w:eastAsiaTheme="minorEastAsia" w:cstheme="minorEastAsia"/>
          <w:color w:val="auto"/>
          <w:kern w:val="0"/>
          <w:sz w:val="24"/>
          <w:szCs w:val="28"/>
          <w:highlight w:val="none"/>
        </w:rPr>
      </w:pPr>
    </w:p>
    <w:p>
      <w:pPr>
        <w:spacing w:line="360" w:lineRule="auto"/>
        <w:ind w:firstLine="480" w:firstLineChars="200"/>
        <w:rPr>
          <w:rFonts w:asciiTheme="minorEastAsia" w:hAnsiTheme="minorEastAsia" w:eastAsiaTheme="minorEastAsia" w:cstheme="minorEastAsia"/>
          <w:color w:val="auto"/>
          <w:kern w:val="0"/>
          <w:sz w:val="24"/>
          <w:szCs w:val="28"/>
          <w:highlight w:val="none"/>
        </w:rPr>
      </w:pPr>
    </w:p>
    <w:p>
      <w:pPr>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三、售后服务承诺格式</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（正文内容自拟）</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p>
    <w:p>
      <w:pPr>
        <w:spacing w:line="360" w:lineRule="auto"/>
        <w:ind w:firstLine="480" w:firstLineChars="200"/>
        <w:rPr>
          <w:rFonts w:asciiTheme="minorEastAsia" w:hAnsiTheme="minorEastAsia" w:eastAsiaTheme="minorEastAsia" w:cstheme="minorEastAsia"/>
          <w:color w:val="auto"/>
          <w:kern w:val="0"/>
          <w:sz w:val="24"/>
          <w:szCs w:val="28"/>
          <w:highlight w:val="none"/>
        </w:rPr>
      </w:pPr>
    </w:p>
    <w:p>
      <w:pPr>
        <w:spacing w:line="360" w:lineRule="auto"/>
        <w:ind w:firstLine="480" w:firstLineChars="200"/>
        <w:rPr>
          <w:rFonts w:asciiTheme="minorEastAsia" w:hAnsiTheme="minorEastAsia" w:eastAsiaTheme="minorEastAsia" w:cstheme="minorEastAsia"/>
          <w:color w:val="auto"/>
          <w:kern w:val="0"/>
          <w:sz w:val="24"/>
          <w:szCs w:val="28"/>
          <w:highlight w:val="none"/>
        </w:rPr>
      </w:pPr>
    </w:p>
    <w:p>
      <w:pPr>
        <w:spacing w:line="360" w:lineRule="auto"/>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法定代表人或其授权代表(签字或盖章)：____________</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w:t>
      </w:r>
    </w:p>
    <w:p>
      <w:pPr>
        <w:spacing w:line="360" w:lineRule="auto"/>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四、用于本项目人员简历表</w:t>
      </w:r>
    </w:p>
    <w:p>
      <w:pPr>
        <w:ind w:firstLine="480" w:firstLineChars="200"/>
        <w:rPr>
          <w:rFonts w:asciiTheme="minorEastAsia" w:hAnsiTheme="minorEastAsia" w:eastAsiaTheme="minorEastAsia" w:cstheme="minorEastAsia"/>
          <w:color w:val="auto"/>
          <w:kern w:val="0"/>
          <w:sz w:val="24"/>
          <w:szCs w:val="28"/>
          <w:highlight w:val="none"/>
        </w:rPr>
      </w:pPr>
    </w:p>
    <w:p>
      <w:pPr>
        <w:ind w:firstLine="602" w:firstLineChars="200"/>
        <w:jc w:val="center"/>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用于本项目人员简历表</w:t>
      </w:r>
    </w:p>
    <w:p>
      <w:pPr>
        <w:ind w:firstLine="480" w:firstLineChars="200"/>
        <w:rPr>
          <w:rFonts w:asciiTheme="minorEastAsia" w:hAnsiTheme="minorEastAsia" w:eastAsiaTheme="minorEastAsia" w:cstheme="minorEastAsia"/>
          <w:color w:val="auto"/>
          <w:kern w:val="0"/>
          <w:sz w:val="24"/>
          <w:szCs w:val="28"/>
          <w:highlight w:val="none"/>
        </w:rPr>
      </w:pPr>
    </w:p>
    <w:tbl>
      <w:tblPr>
        <w:tblStyle w:val="44"/>
        <w:tblW w:w="8961" w:type="dxa"/>
        <w:jc w:val="center"/>
        <w:tblLayout w:type="fixed"/>
        <w:tblCellMar>
          <w:top w:w="0" w:type="dxa"/>
          <w:left w:w="108" w:type="dxa"/>
          <w:bottom w:w="0" w:type="dxa"/>
          <w:right w:w="108" w:type="dxa"/>
        </w:tblCellMar>
      </w:tblPr>
      <w:tblGrid>
        <w:gridCol w:w="501"/>
        <w:gridCol w:w="866"/>
        <w:gridCol w:w="865"/>
        <w:gridCol w:w="816"/>
        <w:gridCol w:w="840"/>
        <w:gridCol w:w="1260"/>
        <w:gridCol w:w="1260"/>
        <w:gridCol w:w="1385"/>
        <w:gridCol w:w="1168"/>
      </w:tblGrid>
      <w:tr>
        <w:tblPrEx>
          <w:tblCellMar>
            <w:top w:w="0" w:type="dxa"/>
            <w:left w:w="108" w:type="dxa"/>
            <w:bottom w:w="0" w:type="dxa"/>
            <w:right w:w="108" w:type="dxa"/>
          </w:tblCellMar>
        </w:tblPrEx>
        <w:trPr>
          <w:trHeight w:val="1027" w:hRule="atLeast"/>
          <w:jc w:val="center"/>
        </w:trPr>
        <w:tc>
          <w:tcPr>
            <w:tcW w:w="501" w:type="dxa"/>
            <w:tcBorders>
              <w:top w:val="single" w:color="auto" w:sz="4" w:space="0"/>
              <w:left w:val="single" w:color="auto" w:sz="4"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86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姓名</w:t>
            </w:r>
          </w:p>
        </w:tc>
        <w:tc>
          <w:tcPr>
            <w:tcW w:w="865"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年龄</w:t>
            </w:r>
          </w:p>
        </w:tc>
        <w:tc>
          <w:tcPr>
            <w:tcW w:w="81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学历</w:t>
            </w:r>
          </w:p>
        </w:tc>
        <w:tc>
          <w:tcPr>
            <w:tcW w:w="84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专业及职称</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持何种资格证书（证书号）</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从事本工作时间</w:t>
            </w:r>
          </w:p>
        </w:tc>
        <w:tc>
          <w:tcPr>
            <w:tcW w:w="1385"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近年来承担类似项目名称</w:t>
            </w:r>
          </w:p>
        </w:tc>
        <w:tc>
          <w:tcPr>
            <w:tcW w:w="1168"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本项目拟任职务</w:t>
            </w:r>
          </w:p>
        </w:tc>
      </w:tr>
      <w:tr>
        <w:tblPrEx>
          <w:tblCellMar>
            <w:top w:w="0" w:type="dxa"/>
            <w:left w:w="108" w:type="dxa"/>
            <w:bottom w:w="0" w:type="dxa"/>
            <w:right w:w="108" w:type="dxa"/>
          </w:tblCellMar>
        </w:tblPrEx>
        <w:trPr>
          <w:trHeight w:val="522"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r>
      <w:tr>
        <w:tblPrEx>
          <w:tblCellMar>
            <w:top w:w="0" w:type="dxa"/>
            <w:left w:w="108" w:type="dxa"/>
            <w:bottom w:w="0" w:type="dxa"/>
            <w:right w:w="108" w:type="dxa"/>
          </w:tblCellMar>
        </w:tblPrEx>
        <w:trPr>
          <w:trHeight w:val="522"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r>
      <w:tr>
        <w:tblPrEx>
          <w:tblCellMar>
            <w:top w:w="0" w:type="dxa"/>
            <w:left w:w="108" w:type="dxa"/>
            <w:bottom w:w="0" w:type="dxa"/>
            <w:right w:w="108" w:type="dxa"/>
          </w:tblCellMar>
        </w:tblPrEx>
        <w:trPr>
          <w:trHeight w:val="505"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hint="eastAsia" w:asciiTheme="minorEastAsia" w:hAnsiTheme="minorEastAsia" w:eastAsiaTheme="minorEastAsia" w:cstheme="minorEastAsia"/>
                <w:color w:val="auto"/>
                <w:kern w:val="0"/>
                <w:sz w:val="21"/>
                <w:szCs w:val="21"/>
                <w:highlight w:val="none"/>
              </w:rPr>
            </w:pPr>
          </w:p>
        </w:tc>
      </w:tr>
    </w:tbl>
    <w:p>
      <w:pPr>
        <w:widowControl/>
        <w:jc w:val="left"/>
        <w:rPr>
          <w:rFonts w:asciiTheme="minorEastAsia" w:hAnsiTheme="minorEastAsia" w:eastAsiaTheme="minorEastAsia" w:cstheme="minorEastAsia"/>
          <w:color w:val="auto"/>
          <w:kern w:val="0"/>
          <w:szCs w:val="21"/>
          <w:highlight w:val="none"/>
        </w:rPr>
      </w:pPr>
    </w:p>
    <w:p>
      <w:pPr>
        <w:widowControl/>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注：附以上拟投入服务团队人员学历、学位证书（如有）、职称证书（如有）、资格(或岗位)证书（如 </w:t>
      </w:r>
    </w:p>
    <w:p>
      <w:pPr>
        <w:widowControl/>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有）并加盖公章。</w:t>
      </w:r>
    </w:p>
    <w:p>
      <w:pPr>
        <w:rPr>
          <w:color w:val="auto"/>
          <w:highlight w:val="none"/>
        </w:rPr>
      </w:pPr>
    </w:p>
    <w:p>
      <w:pPr>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法定代表人或授权代表(签字或盖章)：____________</w:t>
      </w:r>
    </w:p>
    <w:p>
      <w:pPr>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五、磋商标的物符合磋商文件规定的证明文件</w:t>
      </w:r>
    </w:p>
    <w:p>
      <w:pPr>
        <w:ind w:firstLine="480" w:firstLineChars="200"/>
        <w:rPr>
          <w:rFonts w:asciiTheme="minorEastAsia" w:hAnsiTheme="minorEastAsia" w:eastAsiaTheme="minorEastAsia" w:cstheme="minorEastAsia"/>
          <w:color w:val="auto"/>
          <w:kern w:val="0"/>
          <w:sz w:val="24"/>
          <w:szCs w:val="28"/>
          <w:highlight w:val="none"/>
        </w:rPr>
      </w:pPr>
    </w:p>
    <w:p>
      <w:pPr>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1"/>
          <w:szCs w:val="21"/>
          <w:highlight w:val="none"/>
        </w:rPr>
        <w:t>备注：提供第二章“磋商须知前附表”和第六章“项目采购需求”要求(包括磋商标的物的强制性认证、注册等)的证明材料复印件。</w:t>
      </w: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p>
    <w:p>
      <w:pPr>
        <w:ind w:firstLine="480" w:firstLineChars="200"/>
        <w:rPr>
          <w:rFonts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六、其他资料</w:t>
      </w:r>
    </w:p>
    <w:p>
      <w:pPr>
        <w:spacing w:line="360" w:lineRule="auto"/>
        <w:jc w:val="center"/>
        <w:outlineLvl w:val="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bookmarkStart w:id="66" w:name="_Toc17978"/>
    </w:p>
    <w:p>
      <w:pPr>
        <w:pStyle w:val="20"/>
        <w:jc w:val="center"/>
        <w:outlineLvl w:val="0"/>
        <w:rPr>
          <w:rFonts w:ascii="Times New Roman"/>
          <w:color w:val="auto"/>
          <w:highlight w:val="none"/>
        </w:rPr>
      </w:pPr>
      <w:bookmarkStart w:id="67" w:name="_Toc30243"/>
      <w:r>
        <w:rPr>
          <w:rFonts w:hint="eastAsia" w:ascii="Times New Roman" w:cs="Courier New"/>
          <w:b/>
          <w:color w:val="auto"/>
          <w:sz w:val="28"/>
          <w:highlight w:val="none"/>
        </w:rPr>
        <w:t>第二部分　技术部分</w:t>
      </w:r>
      <w:bookmarkEnd w:id="67"/>
    </w:p>
    <w:p>
      <w:pPr>
        <w:spacing w:line="360" w:lineRule="auto"/>
        <w:jc w:val="center"/>
        <w:outlineLvl w:val="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第六章 项目采购需求</w:t>
      </w:r>
      <w:bookmarkEnd w:id="66"/>
    </w:p>
    <w:p>
      <w:pPr>
        <w:keepNext w:val="0"/>
        <w:keepLines w:val="0"/>
        <w:pageBreakBefore w:val="0"/>
        <w:wordWrap/>
        <w:overflowPunct/>
        <w:topLinePunct w:val="0"/>
        <w:bidi w:val="0"/>
        <w:spacing w:line="440" w:lineRule="exact"/>
        <w:rPr>
          <w:rFonts w:hint="eastAsia" w:asciiTheme="minorEastAsia" w:hAnsiTheme="minorEastAsia" w:eastAsiaTheme="minorEastAsia" w:cstheme="minorEastAsia"/>
          <w:b/>
          <w:bCs/>
          <w:color w:val="auto"/>
          <w:szCs w:val="21"/>
          <w:highlight w:val="none"/>
        </w:rPr>
      </w:pPr>
      <w:bookmarkStart w:id="68" w:name="_Toc457576272"/>
      <w:r>
        <w:rPr>
          <w:rFonts w:hint="eastAsia" w:asciiTheme="minorEastAsia" w:hAnsiTheme="minorEastAsia" w:eastAsiaTheme="minorEastAsia" w:cstheme="minorEastAsia"/>
          <w:b/>
          <w:bCs/>
          <w:color w:val="auto"/>
          <w:szCs w:val="21"/>
          <w:highlight w:val="none"/>
        </w:rPr>
        <w:t>说明：</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2" w:firstLineChars="200"/>
        <w:textAlignment w:val="baseline"/>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w:t>
      </w:r>
      <w:r>
        <w:rPr>
          <w:rFonts w:hint="eastAsia" w:asciiTheme="minorEastAsia" w:hAnsiTheme="minorEastAsia" w:eastAsiaTheme="minorEastAsia" w:cstheme="minorEastAsia"/>
          <w:b/>
          <w:bCs/>
          <w:color w:val="auto"/>
          <w:highlight w:val="none"/>
          <w:lang w:val="en-US" w:eastAsia="zh-CN"/>
        </w:rPr>
        <w:t>供应商</w:t>
      </w:r>
      <w:r>
        <w:rPr>
          <w:rFonts w:hint="eastAsia" w:asciiTheme="minorEastAsia" w:hAnsiTheme="minorEastAsia" w:eastAsiaTheme="minorEastAsia" w:cstheme="minorEastAsia"/>
          <w:b/>
          <w:bCs/>
          <w:color w:val="auto"/>
          <w:highlight w:val="none"/>
        </w:rPr>
        <w:t>提供的服务必须符合国家和行业标准。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2" w:firstLineChars="200"/>
        <w:textAlignment w:val="baseline"/>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2.标“★”为实质性参数要求和条件，</w:t>
      </w:r>
      <w:r>
        <w:rPr>
          <w:rFonts w:hint="eastAsia" w:asciiTheme="minorEastAsia" w:hAnsiTheme="minorEastAsia" w:eastAsiaTheme="minorEastAsia" w:cstheme="minorEastAsia"/>
          <w:b/>
          <w:bCs/>
          <w:color w:val="auto"/>
          <w:highlight w:val="none"/>
          <w:lang w:val="en-US" w:eastAsia="zh-CN"/>
        </w:rPr>
        <w:t>供应商</w:t>
      </w:r>
      <w:r>
        <w:rPr>
          <w:rFonts w:hint="eastAsia" w:asciiTheme="minorEastAsia" w:hAnsiTheme="minorEastAsia" w:eastAsiaTheme="minorEastAsia" w:cstheme="minorEastAsia"/>
          <w:b/>
          <w:bCs/>
          <w:color w:val="auto"/>
          <w:highlight w:val="none"/>
        </w:rPr>
        <w:t>必须满足并在</w:t>
      </w:r>
      <w:r>
        <w:rPr>
          <w:rFonts w:hint="eastAsia" w:asciiTheme="minorEastAsia" w:hAnsiTheme="minorEastAsia" w:eastAsiaTheme="minorEastAsia" w:cstheme="minorEastAsia"/>
          <w:b/>
          <w:bCs/>
          <w:color w:val="auto"/>
          <w:highlight w:val="none"/>
          <w:lang w:val="en-US" w:eastAsia="zh-CN"/>
        </w:rPr>
        <w:t>响应</w:t>
      </w:r>
      <w:r>
        <w:rPr>
          <w:rFonts w:hint="eastAsia" w:asciiTheme="minorEastAsia" w:hAnsiTheme="minorEastAsia" w:eastAsiaTheme="minorEastAsia" w:cstheme="minorEastAsia"/>
          <w:b/>
          <w:bCs/>
          <w:color w:val="auto"/>
          <w:highlight w:val="none"/>
        </w:rPr>
        <w:t>文件中如实作出响应，否则</w:t>
      </w:r>
      <w:r>
        <w:rPr>
          <w:rFonts w:hint="eastAsia" w:asciiTheme="minorEastAsia" w:hAnsiTheme="minorEastAsia" w:eastAsiaTheme="minorEastAsia" w:cstheme="minorEastAsia"/>
          <w:b/>
          <w:bCs/>
          <w:color w:val="auto"/>
          <w:highlight w:val="none"/>
          <w:lang w:val="en-US" w:eastAsia="zh-CN"/>
        </w:rPr>
        <w:t>响应</w:t>
      </w:r>
      <w:r>
        <w:rPr>
          <w:rFonts w:hint="eastAsia" w:asciiTheme="minorEastAsia" w:hAnsiTheme="minorEastAsia" w:eastAsiaTheme="minorEastAsia" w:cstheme="minorEastAsia"/>
          <w:b/>
          <w:bCs/>
          <w:color w:val="auto"/>
          <w:highlight w:val="none"/>
        </w:rPr>
        <w:t>无效；标“▲”为重点指标；无标识的为一般指标。</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2" w:firstLineChars="200"/>
        <w:textAlignment w:val="baseline"/>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w:t>
      </w:r>
      <w:r>
        <w:rPr>
          <w:rFonts w:hint="eastAsia" w:asciiTheme="minorEastAsia" w:hAnsiTheme="minorEastAsia" w:eastAsiaTheme="minorEastAsia" w:cstheme="minorEastAsia"/>
          <w:b/>
          <w:bCs/>
          <w:color w:val="auto"/>
          <w:highlight w:val="none"/>
          <w:lang w:val="en-US" w:eastAsia="zh-CN"/>
        </w:rPr>
        <w:t>供应商响应</w:t>
      </w:r>
      <w:r>
        <w:rPr>
          <w:rFonts w:hint="eastAsia" w:asciiTheme="minorEastAsia" w:hAnsiTheme="minorEastAsia" w:eastAsiaTheme="minorEastAsia" w:cstheme="minorEastAsia"/>
          <w:b/>
          <w:bCs/>
          <w:color w:val="auto"/>
          <w:highlight w:val="none"/>
        </w:rPr>
        <w:t>时必须在</w:t>
      </w:r>
      <w:r>
        <w:rPr>
          <w:rFonts w:hint="eastAsia" w:asciiTheme="minorEastAsia" w:hAnsiTheme="minorEastAsia" w:eastAsiaTheme="minorEastAsia" w:cstheme="minorEastAsia"/>
          <w:b/>
          <w:bCs/>
          <w:color w:val="auto"/>
          <w:highlight w:val="none"/>
          <w:lang w:val="en-US" w:eastAsia="zh-CN"/>
        </w:rPr>
        <w:t>响应</w:t>
      </w:r>
      <w:r>
        <w:rPr>
          <w:rFonts w:hint="eastAsia" w:asciiTheme="minorEastAsia" w:hAnsiTheme="minorEastAsia" w:eastAsiaTheme="minorEastAsia" w:cstheme="minorEastAsia"/>
          <w:b/>
          <w:bCs/>
          <w:color w:val="auto"/>
          <w:highlight w:val="none"/>
        </w:rPr>
        <w:t>文件中对所</w:t>
      </w:r>
      <w:r>
        <w:rPr>
          <w:rFonts w:hint="eastAsia" w:asciiTheme="minorEastAsia" w:hAnsiTheme="minorEastAsia" w:eastAsiaTheme="minorEastAsia" w:cstheme="minorEastAsia"/>
          <w:b/>
          <w:bCs/>
          <w:color w:val="auto"/>
          <w:highlight w:val="none"/>
          <w:lang w:val="en-US" w:eastAsia="zh-CN"/>
        </w:rPr>
        <w:t>竞</w:t>
      </w:r>
      <w:r>
        <w:rPr>
          <w:rFonts w:hint="eastAsia" w:asciiTheme="minorEastAsia" w:hAnsiTheme="minorEastAsia" w:eastAsiaTheme="minorEastAsia" w:cstheme="minorEastAsia"/>
          <w:b/>
          <w:bCs/>
          <w:color w:val="auto"/>
          <w:highlight w:val="none"/>
        </w:rPr>
        <w:t>分标所有项目要求及技术需求内容、商务要求表中内容及附件内容（如有）逐条响应并一一对应。</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22" w:firstLineChars="200"/>
        <w:textAlignment w:val="baseline"/>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4.</w:t>
      </w:r>
      <w:r>
        <w:rPr>
          <w:rFonts w:hint="eastAsia" w:asciiTheme="minorEastAsia" w:hAnsiTheme="minorEastAsia" w:eastAsiaTheme="minorEastAsia" w:cstheme="minorEastAsia"/>
          <w:b/>
          <w:bCs/>
          <w:color w:val="auto"/>
          <w:highlight w:val="none"/>
        </w:rPr>
        <w:t>采购标的对应的中小企业划分标准所属行业为软件和信息技术服务业。</w:t>
      </w:r>
    </w:p>
    <w:tbl>
      <w:tblPr>
        <w:tblStyle w:val="44"/>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9"/>
        <w:gridCol w:w="1155"/>
        <w:gridCol w:w="582"/>
        <w:gridCol w:w="842"/>
        <w:gridCol w:w="66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54" w:type="dxa"/>
            <w:gridSpan w:val="5"/>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一、技术条款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项号</w:t>
            </w:r>
          </w:p>
        </w:tc>
        <w:tc>
          <w:tcPr>
            <w:tcW w:w="1737" w:type="dxa"/>
            <w:gridSpan w:val="2"/>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货物名称</w:t>
            </w:r>
          </w:p>
        </w:tc>
        <w:tc>
          <w:tcPr>
            <w:tcW w:w="842"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数量及单位</w:t>
            </w:r>
          </w:p>
        </w:tc>
        <w:tc>
          <w:tcPr>
            <w:tcW w:w="663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73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国家税务总局广西壮族自治区税务局购买预算管理一体化配套软件</w:t>
            </w:r>
          </w:p>
        </w:tc>
        <w:tc>
          <w:tcPr>
            <w:tcW w:w="84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1套</w:t>
            </w:r>
          </w:p>
        </w:tc>
        <w:tc>
          <w:tcPr>
            <w:tcW w:w="6636" w:type="dxa"/>
            <w:tcBorders>
              <w:top w:val="single" w:color="auto" w:sz="4" w:space="0"/>
              <w:left w:val="single" w:color="auto" w:sz="4" w:space="0"/>
              <w:bottom w:val="single" w:color="auto" w:sz="4" w:space="0"/>
              <w:right w:val="single" w:color="auto" w:sz="4" w:space="0"/>
            </w:tcBorders>
            <w:vAlign w:val="center"/>
          </w:tcPr>
          <w:p>
            <w:pPr>
              <w:pStyle w:val="4"/>
              <w:pageBreakBefore w:val="0"/>
              <w:numPr>
                <w:ilvl w:val="1"/>
                <w:numId w:val="3"/>
              </w:numPr>
              <w:tabs>
                <w:tab w:val="left" w:pos="709"/>
                <w:tab w:val="left" w:pos="851"/>
                <w:tab w:val="clear" w:pos="3128"/>
              </w:tabs>
              <w:kinsoku/>
              <w:wordWrap/>
              <w:overflowPunct/>
              <w:topLinePunct w:val="0"/>
              <w:autoSpaceDE/>
              <w:autoSpaceDN/>
              <w:bidi w:val="0"/>
              <w:adjustRightInd/>
              <w:spacing w:before="0" w:after="0" w:line="400" w:lineRule="exact"/>
              <w:ind w:left="0" w:firstLine="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采购需求</w:t>
            </w:r>
          </w:p>
          <w:p>
            <w:pPr>
              <w:pStyle w:val="41"/>
              <w:pageBreakBefore w:val="0"/>
              <w:kinsoku/>
              <w:wordWrap/>
              <w:overflowPunct/>
              <w:topLinePunct w:val="0"/>
              <w:autoSpaceDE/>
              <w:autoSpaceDN/>
              <w:bidi w:val="0"/>
              <w:spacing w:after="0" w:line="40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本项目主要用于采购人单位内部预算编制、预算执行控制，并涵盖各项财务支出所涉及的资产购置、政府采购、政府购买服务等拓展信息，实现单位内部全流程电子化预算管理的目的，整体工作思路如下：</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1.采购人各部门（处室）在软件中向财务部门申报年度明细支出预算，系统可实现自动匹配相应会计科目、资金来源、分月用款计划等信息。</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2.可配置归口审核部门，按配置提交给相关岗位和部门审核，最终报财务部门。</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3.财务部门根据资金安排通过软件下发年度预算指标。实际支出时，各部门（处室）在可执行的预算指标内申请支出，支付完毕后可形成剩余指标，财务部门可实时跟踪各部门（处室）的预算执行情况。</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4.财务部门根据各部门（处室）年度预算指标的调剂申请或者经费安排情况，对软件中下发至各部门的年度预算指标（包括分月用款计划）进行调剂。</w:t>
            </w:r>
          </w:p>
          <w:p>
            <w:pPr>
              <w:pStyle w:val="41"/>
              <w:pageBreakBefore w:val="0"/>
              <w:kinsoku/>
              <w:wordWrap/>
              <w:overflowPunct/>
              <w:topLinePunct w:val="0"/>
              <w:autoSpaceDE/>
              <w:autoSpaceDN/>
              <w:bidi w:val="0"/>
              <w:spacing w:after="0" w:line="400" w:lineRule="exact"/>
              <w:ind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在上述整体工作思路的基础上，软件应具备以下功能：</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1.基本信息维护功能</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包括经济分类科目维护、预算项目维护、岗位人员维护、系统参数设置、归口部门设置。</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（1）经济分类科目维护用于编制经济分类科目以及某科目下明细预算科目的功能，支持批量设置编辑部门或归口部门。支持维护经济分类科目编制部门及归口部门信息和维护自定义经济分类科目信息。</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（2）预算项目维护支持设置二级、三级预算项目归口部门信息和维护自定义项目信息。</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69" w:name="_Toc54772452"/>
            <w:r>
              <w:rPr>
                <w:rFonts w:hint="eastAsia" w:asciiTheme="minorEastAsia" w:hAnsiTheme="minorEastAsia" w:eastAsiaTheme="minorEastAsia" w:cstheme="minorEastAsia"/>
                <w:color w:val="auto"/>
                <w:sz w:val="21"/>
                <w:szCs w:val="21"/>
                <w:highlight w:val="none"/>
              </w:rPr>
              <w:t>（3）岗位人员维护</w:t>
            </w:r>
            <w:bookmarkEnd w:id="69"/>
            <w:r>
              <w:rPr>
                <w:rFonts w:hint="eastAsia" w:asciiTheme="minorEastAsia" w:hAnsiTheme="minorEastAsia" w:eastAsiaTheme="minorEastAsia" w:cstheme="minorEastAsia"/>
                <w:color w:val="auto"/>
                <w:sz w:val="21"/>
                <w:szCs w:val="21"/>
                <w:highlight w:val="none"/>
              </w:rPr>
              <w:t>支持预算管理相关业务用户进行岗位人员维护。</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70" w:name="_Toc54772454"/>
            <w:r>
              <w:rPr>
                <w:rFonts w:hint="eastAsia" w:asciiTheme="minorEastAsia" w:hAnsiTheme="minorEastAsia" w:eastAsiaTheme="minorEastAsia" w:cstheme="minorEastAsia"/>
                <w:color w:val="auto"/>
                <w:sz w:val="21"/>
                <w:szCs w:val="21"/>
                <w:highlight w:val="none"/>
              </w:rPr>
              <w:t>（4）系统参数设置</w:t>
            </w:r>
            <w:bookmarkEnd w:id="70"/>
            <w:r>
              <w:rPr>
                <w:rFonts w:hint="eastAsia" w:asciiTheme="minorEastAsia" w:hAnsiTheme="minorEastAsia" w:eastAsiaTheme="minorEastAsia" w:cstheme="minorEastAsia"/>
                <w:color w:val="auto"/>
                <w:sz w:val="21"/>
                <w:szCs w:val="21"/>
                <w:highlight w:val="none"/>
              </w:rPr>
              <w:t>支持预算管理相关系统参数进行设置管理。</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（5）归口部门设置支持按照特定要求设置归口审批部门，人员经费按照预算项目设置归口部门，公用经费按照经济分类</w:t>
            </w:r>
            <w:r>
              <w:rPr>
                <w:rFonts w:hint="eastAsia" w:asciiTheme="minorEastAsia" w:hAnsiTheme="minorEastAsia" w:eastAsiaTheme="minorEastAsia" w:cstheme="minorEastAsia"/>
                <w:color w:val="auto"/>
                <w:sz w:val="21"/>
                <w:szCs w:val="21"/>
                <w:highlight w:val="none"/>
                <w:lang w:eastAsia="zh-CN"/>
              </w:rPr>
              <w:t>科目</w:t>
            </w:r>
            <w:r>
              <w:rPr>
                <w:rFonts w:hint="eastAsia" w:asciiTheme="minorEastAsia" w:hAnsiTheme="minorEastAsia" w:eastAsiaTheme="minorEastAsia" w:cstheme="minorEastAsia"/>
                <w:color w:val="auto"/>
                <w:sz w:val="21"/>
                <w:szCs w:val="21"/>
                <w:highlight w:val="none"/>
              </w:rPr>
              <w:t>设置归口部门，项目支出按照预算项目设置归口部门。</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bookmarkStart w:id="71" w:name="_Toc54772455"/>
            <w:r>
              <w:rPr>
                <w:rFonts w:hint="eastAsia" w:asciiTheme="minorEastAsia" w:hAnsiTheme="minorEastAsia" w:eastAsiaTheme="minorEastAsia" w:cstheme="minorEastAsia"/>
                <w:color w:val="auto"/>
                <w:sz w:val="21"/>
                <w:szCs w:val="21"/>
                <w:highlight w:val="none"/>
              </w:rPr>
              <w:t>一上管理</w:t>
            </w:r>
            <w:bookmarkEnd w:id="71"/>
            <w:r>
              <w:rPr>
                <w:rFonts w:hint="eastAsia" w:asciiTheme="minorEastAsia" w:hAnsiTheme="minorEastAsia" w:eastAsiaTheme="minorEastAsia" w:cstheme="minorEastAsia"/>
                <w:color w:val="auto"/>
                <w:sz w:val="21"/>
                <w:szCs w:val="21"/>
                <w:highlight w:val="none"/>
              </w:rPr>
              <w:t>功能</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一上预算编制时，各部门录入或导入本部门一上预算需求。财务部门审核各部门提交的预算申请。财务部门可根据实际情况调整各部门填报的申请金额。财务部门审核通过后生成下年部门预算。所有部门预算申请审核通过后生成单位一上预算。具体功能包括部门预算申请、预算部门审核、归口部门审核、财务部门审核。</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部门预算申请。该功能用于部门填报预算使用，各部门的预算需求应以预算事项为基础填报，即先新增一个预算事项，再选择项目（二级或三级），再选择经济科目，再选择资金来源，填报实施范围、实施时间、实施地点、预计单价（标准）、预计数量（本数、天数、月数等）、人数、预算金额、预算事项详细说明，再填政府采购、政府购买服务、新增资产预算等信息。支持批量导入系统外填报部门预算数据，导入模版涉及预算编制的所有信息。支持编制公共预算功能（财务部门编制，所有单位均可执行）；在预算执行过程中，也就是报销执行的过程中，如果经办人，在选择报销项目时发现额度不足，可以向财务部门发出提醒，财务部门根据实际情况通知所在部门，进行预算调整和追加的预算调整。另外，在预算填报提交审核后，可以通过预算审批信息查询，了解到当前预算的审批状态以及审批进度。</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部门预算申请的信息主要包括项目类别，一级项目，二级项目，三级项目，项目名称、预算金额、经济分类科目、资金来源、填报实施范围、实施时间、实施地点、预计单价（标准）、预计数量（本数、天数、月数等）、人数、预算金额、预算事项等基本信息，在申请会议费、培训费时，增加拓展信息功能，主要包括会议培训的时间、地点、标准等，可根据需求上传预算申请附件，增加政府采购、政府购买服务、新增资产预算的扩展信息采集。</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bookmarkStart w:id="72" w:name="_Toc54772457"/>
            <w:r>
              <w:rPr>
                <w:rFonts w:hint="eastAsia" w:asciiTheme="minorEastAsia" w:hAnsiTheme="minorEastAsia" w:eastAsiaTheme="minorEastAsia" w:cstheme="minorEastAsia"/>
                <w:color w:val="auto"/>
                <w:sz w:val="21"/>
                <w:szCs w:val="21"/>
                <w:highlight w:val="none"/>
              </w:rPr>
              <w:t>部门预算审核</w:t>
            </w:r>
            <w:bookmarkEnd w:id="72"/>
            <w:r>
              <w:rPr>
                <w:rFonts w:hint="eastAsia" w:asciiTheme="minorEastAsia" w:hAnsiTheme="minorEastAsia" w:eastAsiaTheme="minorEastAsia" w:cstheme="minorEastAsia"/>
                <w:color w:val="auto"/>
                <w:sz w:val="21"/>
                <w:szCs w:val="21"/>
                <w:highlight w:val="none"/>
              </w:rPr>
              <w:t>。部门审核人员对预算项目和预算金额进行审核，支持对预算事项部分审批，部分回退，部分暂不处理，且不影响整个审批流程。</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bookmarkStart w:id="73" w:name="_Toc54772458"/>
            <w:r>
              <w:rPr>
                <w:rFonts w:hint="eastAsia" w:asciiTheme="minorEastAsia" w:hAnsiTheme="minorEastAsia" w:eastAsiaTheme="minorEastAsia" w:cstheme="minorEastAsia"/>
                <w:color w:val="auto"/>
                <w:sz w:val="21"/>
                <w:szCs w:val="21"/>
                <w:highlight w:val="none"/>
              </w:rPr>
              <w:t>归口部门审核</w:t>
            </w:r>
            <w:bookmarkEnd w:id="73"/>
            <w:r>
              <w:rPr>
                <w:rFonts w:hint="eastAsia" w:asciiTheme="minorEastAsia" w:hAnsiTheme="minorEastAsia" w:eastAsiaTheme="minorEastAsia" w:cstheme="minorEastAsia"/>
                <w:color w:val="auto"/>
                <w:sz w:val="21"/>
                <w:szCs w:val="21"/>
                <w:highlight w:val="none"/>
              </w:rPr>
              <w:t>。对于那些设置了归口部门审核的预算事项，在部门审核通过后，自动交由归口部门的审核人进行审核，归口审批通过后，交由财务部门进行审核。人员经费按照预算项目设置归口部门，公用经费按照经济分类科目设置归口部门，项目支出按照预算项目设置归口部门。</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按照项目支出管理要求，还要由归口管理部门填写项目的项目文本、项目测算信息、经济分类细化、项目绩效目标、项目绩效指标。</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bookmarkStart w:id="74" w:name="_Toc54772459"/>
            <w:r>
              <w:rPr>
                <w:rFonts w:hint="eastAsia" w:asciiTheme="minorEastAsia" w:hAnsiTheme="minorEastAsia" w:eastAsiaTheme="minorEastAsia" w:cstheme="minorEastAsia"/>
                <w:color w:val="auto"/>
                <w:sz w:val="21"/>
                <w:szCs w:val="21"/>
                <w:highlight w:val="none"/>
              </w:rPr>
              <w:t>财务部门审核</w:t>
            </w:r>
            <w:bookmarkEnd w:id="74"/>
            <w:r>
              <w:rPr>
                <w:rFonts w:hint="eastAsia" w:asciiTheme="minorEastAsia" w:hAnsiTheme="minorEastAsia" w:eastAsiaTheme="minorEastAsia" w:cstheme="minorEastAsia"/>
                <w:color w:val="auto"/>
                <w:sz w:val="21"/>
                <w:szCs w:val="21"/>
                <w:highlight w:val="none"/>
              </w:rPr>
              <w:t>。分为预算经办人审核和采购经办人审核。预算经办人审核预算金额，采购经办人根据汇总后的采购品目预算，在软件中判定是否属于政府采购项目，以及各部门申报的预算是否符合采购政策要求，财务部门最终审批通过的预算事项，自动汇总到单位预算中。</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预算编制流程如下，主要包括预算提交流程和预算送审流程。</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60288" behindDoc="0" locked="0" layoutInCell="1" allowOverlap="1">
                  <wp:simplePos x="0" y="0"/>
                  <wp:positionH relativeFrom="column">
                    <wp:posOffset>313055</wp:posOffset>
                  </wp:positionH>
                  <wp:positionV relativeFrom="paragraph">
                    <wp:posOffset>230505</wp:posOffset>
                  </wp:positionV>
                  <wp:extent cx="3354705" cy="2514600"/>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srcRect l="31587" t="27858" r="41187" b="16399"/>
                          <a:stretch>
                            <a:fillRect/>
                          </a:stretch>
                        </pic:blipFill>
                        <pic:spPr>
                          <a:xfrm>
                            <a:off x="0" y="0"/>
                            <a:ext cx="3354705" cy="2514600"/>
                          </a:xfrm>
                          <a:prstGeom prst="rect">
                            <a:avLst/>
                          </a:prstGeom>
                          <a:noFill/>
                          <a:ln w="9525">
                            <a:noFill/>
                            <a:miter lim="800000"/>
                            <a:headEnd/>
                            <a:tailEnd/>
                          </a:ln>
                        </pic:spPr>
                      </pic:pic>
                    </a:graphicData>
                  </a:graphic>
                </wp:anchor>
              </w:drawing>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3.二上管理功能</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上预算编制时，可由一上预算已审批项目自动推送二上模块，也可由各部门重新录入或导入本部门预算需求，且支持编制公共预算功能。具体功能需求同一上管理部分。根据二上管理要求调整部分填报表格内容。</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4.预算调整功能</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包括由部门发起的预算调剂和由财务部门发起的预算调整。</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59264" behindDoc="0" locked="0" layoutInCell="1" allowOverlap="1">
                  <wp:simplePos x="0" y="0"/>
                  <wp:positionH relativeFrom="column">
                    <wp:posOffset>40640</wp:posOffset>
                  </wp:positionH>
                  <wp:positionV relativeFrom="paragraph">
                    <wp:posOffset>1127760</wp:posOffset>
                  </wp:positionV>
                  <wp:extent cx="3790315" cy="2311400"/>
                  <wp:effectExtent l="19050" t="0" r="63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srcRect t="11232" r="11568" b="7755"/>
                          <a:stretch>
                            <a:fillRect/>
                          </a:stretch>
                        </pic:blipFill>
                        <pic:spPr>
                          <a:xfrm>
                            <a:off x="0" y="0"/>
                            <a:ext cx="3790315" cy="231140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color w:val="auto"/>
                <w:sz w:val="21"/>
                <w:szCs w:val="21"/>
                <w:highlight w:val="none"/>
              </w:rPr>
              <w:t>调剂支持在不同部门、不同科目之间的调剂，可以增加或减少金额。需经财务部门审核（具体流程见下图）调整可以增加或减少项目和金额。支持线下编辑后导入预算调整信息。调整流程图如下：</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5.单位管理功能</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包括查看单位预算信息、部门预算信息及变更记录；导出部门或单位某一经济分类科目预算信息；导出单位或部门预算信息；导入单位预算信息等功能。</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单位预算维护。呈现全部一上或二上审批流程结束的数据，左侧单位树实时展示各部门预算编制情况，并使用明显的颜色来区分各状态。其中上报，分为一上上报或二上上报；下发，分为一下下发或二下下发。单位预算支持线下编辑后，批量导入。</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月度执行计划。月度执行计划，支持财务部门，根据项目的计划付款时间自动生成本月预算执行计划，另外，对于以前月份执行率未达到百分之百的项目，也可以手动添加到当前月度执行计划中，以供财务部门统计使用。支持月初提醒预算申请部门当月需要实施，需要付款的项目</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预算信息统计。功能用于统计查询预算项目、新增资产预算以及政府采购项目。可对同一项目不同经济分类进行打捆，支持按按项目、经济分类、来源、部门进行分类查询。可生成年初预算表、支出汇总表、预算编审过程情况表、支出科目阶段汇总表等固定表样报表，可按上下年度预算及执行数据，生成上下年度预算对比表、预算及执行情况对比表，表样由采购人提供。</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6.与网络版财务软件的衔接</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与税务系统网络版财务软件报销管理模块衔接，包含指标的转换、调整、以及预算使用情况的查询功能。</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（1）指标维护。预算编制完成后，通过该功能将预算转成报销模块使用的指标，将指标发送给报销模块，报销模块接收指标后，形成报销模块可以使用的事项指标，最终实现预算对支出的控制。</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（2）指标使用情况查询。可在预算模块查询预算执行情况，获取报销模块中实际报销支付的金额。</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（3）指标金额调整。预算调整后，可以对报销模块的指标进行同步调整。</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7.系统性能需求</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（1）性能指标要求。系统应能满足区局集中模式下并发访问的要求，系统运行稳定，响应速度达到如下要求：</w:t>
            </w:r>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在并发100用户条件下，系统应具备的响应速度指标。</w:t>
            </w:r>
          </w:p>
          <w:tbl>
            <w:tblPr>
              <w:tblStyle w:val="44"/>
              <w:tblW w:w="64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3"/>
              <w:gridCol w:w="1899"/>
              <w:gridCol w:w="18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8" w:hRule="atLeast"/>
                <w:jc w:val="center"/>
              </w:trPr>
              <w:tc>
                <w:tcPr>
                  <w:tcW w:w="2693" w:type="dxa"/>
                  <w:tcBorders>
                    <w:top w:val="single" w:color="auto" w:sz="4" w:space="0"/>
                    <w:left w:val="single" w:color="auto" w:sz="4" w:space="0"/>
                    <w:bottom w:val="single" w:color="auto" w:sz="4" w:space="0"/>
                    <w:right w:val="single" w:color="auto" w:sz="4" w:space="0"/>
                  </w:tcBorders>
                  <w:shd w:val="clear" w:color="auto" w:fill="C0C0C0"/>
                  <w:vAlign w:val="center"/>
                </w:tcPr>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性能指标项</w:t>
                  </w:r>
                </w:p>
              </w:tc>
              <w:tc>
                <w:tcPr>
                  <w:tcW w:w="1899" w:type="dxa"/>
                  <w:tcBorders>
                    <w:top w:val="single" w:color="auto" w:sz="4" w:space="0"/>
                    <w:left w:val="single" w:color="auto" w:sz="4" w:space="0"/>
                    <w:bottom w:val="single" w:color="auto" w:sz="4" w:space="0"/>
                    <w:right w:val="single" w:color="auto" w:sz="4" w:space="0"/>
                  </w:tcBorders>
                  <w:shd w:val="clear" w:color="auto" w:fill="C0C0C0"/>
                  <w:vAlign w:val="center"/>
                </w:tcPr>
                <w:p>
                  <w:pPr>
                    <w:pStyle w:val="41"/>
                    <w:pageBreakBefore w:val="0"/>
                    <w:kinsoku/>
                    <w:wordWrap/>
                    <w:overflowPunct/>
                    <w:topLinePunct w:val="0"/>
                    <w:autoSpaceDE/>
                    <w:autoSpaceDN/>
                    <w:bidi w:val="0"/>
                    <w:spacing w:after="0" w:line="40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平均时间(秒)</w:t>
                  </w:r>
                </w:p>
              </w:tc>
              <w:tc>
                <w:tcPr>
                  <w:tcW w:w="1818" w:type="dxa"/>
                  <w:tcBorders>
                    <w:top w:val="single" w:color="auto" w:sz="4" w:space="0"/>
                    <w:left w:val="single" w:color="auto" w:sz="4" w:space="0"/>
                    <w:bottom w:val="single" w:color="auto" w:sz="4" w:space="0"/>
                    <w:right w:val="single" w:color="auto" w:sz="4" w:space="0"/>
                  </w:tcBorders>
                  <w:shd w:val="clear" w:color="auto" w:fill="C0C0C0"/>
                  <w:vAlign w:val="center"/>
                </w:tcPr>
                <w:p>
                  <w:pPr>
                    <w:pStyle w:val="41"/>
                    <w:pageBreakBefore w:val="0"/>
                    <w:kinsoku/>
                    <w:wordWrap/>
                    <w:overflowPunct/>
                    <w:topLinePunct w:val="0"/>
                    <w:autoSpaceDE/>
                    <w:autoSpaceDN/>
                    <w:bidi w:val="0"/>
                    <w:spacing w:after="0" w:line="40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峰值时间(秒)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pStyle w:val="41"/>
                    <w:pageBreakBefore w:val="0"/>
                    <w:kinsoku/>
                    <w:wordWrap/>
                    <w:overflowPunct/>
                    <w:topLinePunct w:val="0"/>
                    <w:autoSpaceDE/>
                    <w:autoSpaceDN/>
                    <w:bidi w:val="0"/>
                    <w:spacing w:after="0" w:line="40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用户登录平均响应时间</w:t>
                  </w:r>
                </w:p>
              </w:tc>
              <w:tc>
                <w:tcPr>
                  <w:tcW w:w="1899" w:type="dxa"/>
                  <w:tcBorders>
                    <w:top w:val="single" w:color="auto" w:sz="4" w:space="0"/>
                    <w:left w:val="single" w:color="auto" w:sz="4" w:space="0"/>
                    <w:bottom w:val="single" w:color="auto" w:sz="4" w:space="0"/>
                    <w:right w:val="single" w:color="auto" w:sz="4" w:space="0"/>
                  </w:tcBorders>
                  <w:vAlign w:val="center"/>
                </w:tcPr>
                <w:p>
                  <w:pPr>
                    <w:pStyle w:val="41"/>
                    <w:pageBreakBefore w:val="0"/>
                    <w:kinsoku/>
                    <w:wordWrap/>
                    <w:overflowPunct/>
                    <w:topLinePunct w:val="0"/>
                    <w:autoSpaceDE/>
                    <w:autoSpaceDN/>
                    <w:bidi w:val="0"/>
                    <w:spacing w:after="0" w:line="40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818" w:type="dxa"/>
                  <w:tcBorders>
                    <w:top w:val="single" w:color="auto" w:sz="4" w:space="0"/>
                    <w:left w:val="single" w:color="auto" w:sz="4" w:space="0"/>
                    <w:bottom w:val="single" w:color="auto" w:sz="4" w:space="0"/>
                    <w:right w:val="single" w:color="auto" w:sz="4" w:space="0"/>
                  </w:tcBorders>
                  <w:vAlign w:val="center"/>
                </w:tcPr>
                <w:p>
                  <w:pPr>
                    <w:pStyle w:val="41"/>
                    <w:pageBreakBefore w:val="0"/>
                    <w:kinsoku/>
                    <w:wordWrap/>
                    <w:overflowPunct/>
                    <w:topLinePunct w:val="0"/>
                    <w:autoSpaceDE/>
                    <w:autoSpaceDN/>
                    <w:bidi w:val="0"/>
                    <w:spacing w:after="0" w:line="40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pStyle w:val="41"/>
                    <w:pageBreakBefore w:val="0"/>
                    <w:kinsoku/>
                    <w:wordWrap/>
                    <w:overflowPunct/>
                    <w:topLinePunct w:val="0"/>
                    <w:autoSpaceDE/>
                    <w:autoSpaceDN/>
                    <w:bidi w:val="0"/>
                    <w:spacing w:after="0" w:line="40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表单查询和提取响应时间</w:t>
                  </w:r>
                </w:p>
              </w:tc>
              <w:tc>
                <w:tcPr>
                  <w:tcW w:w="1899" w:type="dxa"/>
                  <w:tcBorders>
                    <w:top w:val="single" w:color="auto" w:sz="4" w:space="0"/>
                    <w:left w:val="single" w:color="auto" w:sz="4" w:space="0"/>
                    <w:bottom w:val="single" w:color="auto" w:sz="4" w:space="0"/>
                    <w:right w:val="single" w:color="auto" w:sz="4" w:space="0"/>
                  </w:tcBorders>
                  <w:vAlign w:val="center"/>
                </w:tcPr>
                <w:p>
                  <w:pPr>
                    <w:pStyle w:val="41"/>
                    <w:pageBreakBefore w:val="0"/>
                    <w:kinsoku/>
                    <w:wordWrap/>
                    <w:overflowPunct/>
                    <w:topLinePunct w:val="0"/>
                    <w:autoSpaceDE/>
                    <w:autoSpaceDN/>
                    <w:bidi w:val="0"/>
                    <w:spacing w:after="0" w:line="40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818" w:type="dxa"/>
                  <w:tcBorders>
                    <w:top w:val="single" w:color="auto" w:sz="4" w:space="0"/>
                    <w:left w:val="single" w:color="auto" w:sz="4" w:space="0"/>
                    <w:bottom w:val="single" w:color="auto" w:sz="4" w:space="0"/>
                    <w:right w:val="single" w:color="auto" w:sz="4" w:space="0"/>
                  </w:tcBorders>
                  <w:vAlign w:val="center"/>
                </w:tcPr>
                <w:p>
                  <w:pPr>
                    <w:pStyle w:val="41"/>
                    <w:pageBreakBefore w:val="0"/>
                    <w:kinsoku/>
                    <w:wordWrap/>
                    <w:overflowPunct/>
                    <w:topLinePunct w:val="0"/>
                    <w:autoSpaceDE/>
                    <w:autoSpaceDN/>
                    <w:bidi w:val="0"/>
                    <w:spacing w:after="0" w:line="40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表单提交处理时间</w:t>
                  </w:r>
                </w:p>
              </w:tc>
              <w:tc>
                <w:tcPr>
                  <w:tcW w:w="1899" w:type="dxa"/>
                  <w:tcBorders>
                    <w:top w:val="single" w:color="auto" w:sz="4" w:space="0"/>
                    <w:left w:val="single" w:color="auto" w:sz="4" w:space="0"/>
                    <w:bottom w:val="single" w:color="auto" w:sz="4" w:space="0"/>
                    <w:right w:val="single" w:color="auto" w:sz="4" w:space="0"/>
                  </w:tcBorders>
                  <w:vAlign w:val="center"/>
                </w:tcPr>
                <w:p>
                  <w:pPr>
                    <w:pStyle w:val="41"/>
                    <w:pageBreakBefore w:val="0"/>
                    <w:kinsoku/>
                    <w:wordWrap/>
                    <w:overflowPunct/>
                    <w:topLinePunct w:val="0"/>
                    <w:autoSpaceDE/>
                    <w:autoSpaceDN/>
                    <w:bidi w:val="0"/>
                    <w:spacing w:after="0" w:line="40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818" w:type="dxa"/>
                  <w:tcBorders>
                    <w:top w:val="single" w:color="auto" w:sz="4" w:space="0"/>
                    <w:left w:val="single" w:color="auto" w:sz="4" w:space="0"/>
                    <w:bottom w:val="single" w:color="auto" w:sz="4" w:space="0"/>
                    <w:right w:val="single" w:color="auto" w:sz="4" w:space="0"/>
                  </w:tcBorders>
                  <w:vAlign w:val="center"/>
                </w:tcPr>
                <w:p>
                  <w:pPr>
                    <w:pStyle w:val="41"/>
                    <w:pageBreakBefore w:val="0"/>
                    <w:kinsoku/>
                    <w:wordWrap/>
                    <w:overflowPunct/>
                    <w:topLinePunct w:val="0"/>
                    <w:autoSpaceDE/>
                    <w:autoSpaceDN/>
                    <w:bidi w:val="0"/>
                    <w:spacing w:after="0" w:line="40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r>
          </w:tbl>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75" w:name="_Toc54772502"/>
            <w:r>
              <w:rPr>
                <w:rFonts w:hint="eastAsia" w:asciiTheme="minorEastAsia" w:hAnsiTheme="minorEastAsia" w:eastAsiaTheme="minorEastAsia" w:cstheme="minorEastAsia"/>
                <w:color w:val="auto"/>
                <w:sz w:val="21"/>
                <w:szCs w:val="21"/>
                <w:highlight w:val="none"/>
              </w:rPr>
              <w:t>（2）系统安全需求</w:t>
            </w:r>
            <w:bookmarkEnd w:id="75"/>
          </w:p>
          <w:p>
            <w:pPr>
              <w:pStyle w:val="41"/>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本系统应满足采购人等级保护要求，必要时须结合税务系统网络版财务软件系统项目的实际情况进行安全整改。</w:t>
            </w:r>
          </w:p>
          <w:p>
            <w:pPr>
              <w:pStyle w:val="2"/>
              <w:pageBreakBefore w:val="0"/>
              <w:kinsoku/>
              <w:wordWrap/>
              <w:overflowPunct/>
              <w:topLinePunct w:val="0"/>
              <w:autoSpaceDE/>
              <w:autoSpaceDN/>
              <w:bidi w:val="0"/>
              <w:spacing w:after="0" w:line="400" w:lineRule="exac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 xml:space="preserve">1.2    </w:t>
            </w:r>
            <w:r>
              <w:rPr>
                <w:rFonts w:hint="eastAsia" w:asciiTheme="minorEastAsia" w:hAnsiTheme="minorEastAsia" w:eastAsiaTheme="minorEastAsia" w:cstheme="minorEastAsia"/>
                <w:b/>
                <w:bCs/>
                <w:color w:val="auto"/>
                <w:sz w:val="21"/>
                <w:szCs w:val="21"/>
                <w:highlight w:val="none"/>
              </w:rPr>
              <w:t>加强安全保障要求</w:t>
            </w:r>
          </w:p>
          <w:p>
            <w:pPr>
              <w:pStyle w:val="2"/>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★1.信息安全保密要求</w:t>
            </w:r>
          </w:p>
          <w:p>
            <w:pPr>
              <w:pStyle w:val="2"/>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（1）必须严格遵守国家税务总局广西壮族自治区税务局的安全保密制度。</w:t>
            </w:r>
          </w:p>
          <w:p>
            <w:pPr>
              <w:pStyle w:val="2"/>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（2）项目人员需保证遵守国家有关版权和知识产权保护的政策、法律、法规和制度。</w:t>
            </w:r>
          </w:p>
          <w:p>
            <w:pPr>
              <w:pStyle w:val="2"/>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项目人员应对本项目中接触到的国家税务总局广西壮族自治区税务局所有的知识产权、商业秘密、技术成果等信息负保密义务。未经国家税务总局广西壮族自治区税务局书面同意，不得向社会公众或第三方通过任何途径出示、泄露，不得许可使用，不得对上述信息进行复制、传播、销售；保证不向外泄漏任何相关数据，不向外泄漏任何保密的技术资料。如出现支持人员泄密事件，成交供应商应负有连带责任。</w:t>
            </w:r>
          </w:p>
          <w:p>
            <w:pPr>
              <w:pStyle w:val="2"/>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（4）成交供应商须与国家税务总局广西壮族自治区税务局签署合同项目实施期间的信息保密协议。</w:t>
            </w:r>
          </w:p>
          <w:p>
            <w:pPr>
              <w:pStyle w:val="2"/>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（5）项目人员必须与国家税务总局广西壮族自治区税务局签署合同项目实施期间的信息保密承诺书。</w:t>
            </w:r>
          </w:p>
          <w:p>
            <w:pPr>
              <w:pStyle w:val="2"/>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成交供应商运维人员在合同期间应严格按采购人的网络安全和数据安全相关规定开展工作，由于成交供应商运维人员网络安全工作落实不到位引发安全事件的，采购人将视安全事件严重情况按合同金额的20%-30%的比例进行扣减。</w:t>
            </w:r>
          </w:p>
          <w:p>
            <w:pPr>
              <w:pStyle w:val="2"/>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安全事件具体内容主要包括(但不限于)以下内容：</w:t>
            </w:r>
          </w:p>
          <w:p>
            <w:pPr>
              <w:pStyle w:val="2"/>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（1）因补丁升级、漏洞修复、系统杀毒、数据备份、应用监控、网络监控等工作未落实到位，发生服务器被控制和应用系统被攻破的安全事件，被主管部门通报的。</w:t>
            </w:r>
          </w:p>
          <w:p>
            <w:pPr>
              <w:pStyle w:val="2"/>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（2）因违规进行税费数据查询、导出和拷出等操作造成敏感数据泄漏，以及发生非法窃取数据行为。</w:t>
            </w:r>
          </w:p>
          <w:p>
            <w:pPr>
              <w:pStyle w:val="2"/>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（3）因运维操作处置不当导致重要应用系统发生严重卡顿、停用的重大事件。</w:t>
            </w:r>
          </w:p>
          <w:p>
            <w:pPr>
              <w:pStyle w:val="2"/>
              <w:pageBreakBefore w:val="0"/>
              <w:kinsoku/>
              <w:wordWrap/>
              <w:overflowPunct/>
              <w:topLinePunct w:val="0"/>
              <w:autoSpaceDE/>
              <w:autoSpaceDN/>
              <w:bidi w:val="0"/>
              <w:spacing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罚责条款：项目建设和运维过程中，因系统在对接、运行等服务中，导致其他系统受到影响的，由成交供应商负责组织相关服务厂商共同排查，明确问题根源、责任并报告采购人。成交供应商无法判定问题根源的，由成交供应商承担全部责任。采购人将根据问题的轻重、成交供应商责任的大小，扣除不高于合同款5%服务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54"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9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报价要求</w:t>
            </w:r>
          </w:p>
        </w:tc>
        <w:tc>
          <w:tcPr>
            <w:tcW w:w="806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1、响应报价为采购人指定地点的现场交货价，包括：</w:t>
            </w:r>
          </w:p>
          <w:p>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（1）货物的价格：包括货款、杂配件、安装调试费、软件对接费、验收费；</w:t>
            </w:r>
          </w:p>
          <w:p>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（2）货物的标准附件、备品备件、专用工具的价格。</w:t>
            </w:r>
          </w:p>
          <w:p>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（3）运输、装卸、调试、培训、技术支持、售后服务费。</w:t>
            </w:r>
          </w:p>
          <w:p>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注：供应商自行考虑完成项目所需的辅材、杂配件等数量，响应报价中应包含全部内容，成交后采购人不再另行支付额外费用。</w:t>
            </w:r>
          </w:p>
          <w:p>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2、磋商小组认为供应商的</w:t>
            </w:r>
            <w:r>
              <w:rPr>
                <w:rFonts w:hint="eastAsia" w:asciiTheme="minorEastAsia" w:hAnsiTheme="minorEastAsia" w:eastAsiaTheme="minorEastAsia" w:cstheme="minorEastAsia"/>
                <w:bCs/>
                <w:color w:val="auto"/>
                <w:sz w:val="21"/>
                <w:szCs w:val="21"/>
                <w:highlight w:val="none"/>
              </w:rPr>
              <w:t>最后</w:t>
            </w:r>
            <w:r>
              <w:rPr>
                <w:rFonts w:hint="eastAsia" w:asciiTheme="minorEastAsia" w:hAnsiTheme="minorEastAsia" w:eastAsiaTheme="minorEastAsia" w:cstheme="minorEastAsia"/>
                <w:color w:val="auto"/>
                <w:kern w:val="0"/>
                <w:sz w:val="21"/>
                <w:szCs w:val="21"/>
                <w:highlight w:val="none"/>
              </w:rPr>
              <w:t>报价明显低于其他通过符合性审查磋商供应商的最后报价，有可能影响产品质量或者不能诚信履约的，应当要求其在评审现场合理的时间内提供书面说明，必要时提交相关证明材料；磋商供应商不能证明其最后报价合理性的，磋商小组应当将其作为无效响应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9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sz w:val="21"/>
                <w:szCs w:val="21"/>
                <w:highlight w:val="none"/>
              </w:rPr>
              <w:t>质保期</w:t>
            </w:r>
          </w:p>
        </w:tc>
        <w:tc>
          <w:tcPr>
            <w:tcW w:w="8060" w:type="dxa"/>
            <w:gridSpan w:val="3"/>
            <w:tcBorders>
              <w:top w:val="single" w:color="auto" w:sz="4" w:space="0"/>
              <w:left w:val="single" w:color="auto" w:sz="4" w:space="0"/>
              <w:bottom w:val="single" w:color="auto" w:sz="4" w:space="0"/>
              <w:right w:val="single" w:color="auto" w:sz="4" w:space="0"/>
            </w:tcBorders>
            <w:vAlign w:val="center"/>
          </w:tcPr>
          <w:p>
            <w:pPr>
              <w:pStyle w:val="20"/>
              <w:pageBreakBefore w:val="0"/>
              <w:kinsoku/>
              <w:wordWrap/>
              <w:overflowPunct/>
              <w:topLinePunct w:val="0"/>
              <w:autoSpaceDE/>
              <w:autoSpaceDN/>
              <w:bidi w:val="0"/>
              <w:snapToGrid w:val="0"/>
              <w:spacing w:line="400" w:lineRule="exact"/>
              <w:jc w:val="both"/>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自配套软件验收合格之日起质保期1年，质保期内免费保修。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9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验收方式及标准</w:t>
            </w:r>
          </w:p>
        </w:tc>
        <w:tc>
          <w:tcPr>
            <w:tcW w:w="806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400" w:lineRule="exact"/>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按照采购需求、投标(响应)文件及国家、行业规定的技术标准及规范，双方到场共同验收。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9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sz w:val="21"/>
                <w:szCs w:val="21"/>
                <w:highlight w:val="none"/>
              </w:rPr>
              <w:t>交货</w:t>
            </w:r>
            <w:r>
              <w:rPr>
                <w:rFonts w:hint="eastAsia" w:asciiTheme="minorEastAsia" w:hAnsiTheme="minorEastAsia" w:eastAsiaTheme="minorEastAsia" w:cstheme="minorEastAsia"/>
                <w:color w:val="auto"/>
                <w:kern w:val="0"/>
                <w:sz w:val="21"/>
                <w:szCs w:val="21"/>
                <w:highlight w:val="none"/>
              </w:rPr>
              <w:t>时间、地点</w:t>
            </w:r>
          </w:p>
        </w:tc>
        <w:tc>
          <w:tcPr>
            <w:tcW w:w="806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1、交货时间：合同签订后一个月内完成安装交付。</w:t>
            </w:r>
          </w:p>
          <w:p>
            <w:pPr>
              <w:pageBreakBefore w:val="0"/>
              <w:kinsoku/>
              <w:wordWrap/>
              <w:overflowPunct/>
              <w:topLinePunct w:val="0"/>
              <w:autoSpaceDE/>
              <w:autoSpaceDN/>
              <w:bidi w:val="0"/>
              <w:spacing w:line="40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2、交货地点：国家税务总局广西壮族自治区税务局。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94"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sz w:val="21"/>
                <w:szCs w:val="21"/>
                <w:highlight w:val="none"/>
              </w:rPr>
              <w:t>付款方式</w:t>
            </w:r>
          </w:p>
        </w:tc>
        <w:tc>
          <w:tcPr>
            <w:tcW w:w="8060" w:type="dxa"/>
            <w:gridSpan w:val="3"/>
            <w:tcBorders>
              <w:top w:val="single" w:color="auto" w:sz="4" w:space="0"/>
              <w:left w:val="single" w:color="auto" w:sz="4" w:space="0"/>
              <w:bottom w:val="single" w:color="auto" w:sz="4" w:space="0"/>
              <w:right w:val="single" w:color="auto" w:sz="4" w:space="0"/>
            </w:tcBorders>
            <w:vAlign w:val="center"/>
          </w:tcPr>
          <w:p>
            <w:pPr>
              <w:pStyle w:val="2"/>
              <w:pageBreakBefore w:val="0"/>
              <w:kinsoku/>
              <w:wordWrap/>
              <w:overflowPunct/>
              <w:topLinePunct w:val="0"/>
              <w:autoSpaceDE/>
              <w:autoSpaceDN/>
              <w:bidi w:val="0"/>
              <w:spacing w:after="0"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配套软件交付</w:t>
            </w:r>
            <w:r>
              <w:rPr>
                <w:rFonts w:hint="eastAsia" w:asciiTheme="minorEastAsia" w:hAnsiTheme="minorEastAsia" w:eastAsiaTheme="minorEastAsia" w:cstheme="minorEastAsia"/>
                <w:color w:val="auto"/>
                <w:kern w:val="0"/>
                <w:sz w:val="21"/>
                <w:szCs w:val="21"/>
                <w:highlight w:val="none"/>
                <w:lang w:eastAsia="zh-CN"/>
              </w:rPr>
              <w:t>后</w:t>
            </w:r>
            <w:r>
              <w:rPr>
                <w:rFonts w:hint="eastAsia" w:asciiTheme="minorEastAsia" w:hAnsiTheme="minorEastAsia" w:eastAsiaTheme="minorEastAsia" w:cstheme="minorEastAsia"/>
                <w:color w:val="auto"/>
                <w:kern w:val="0"/>
                <w:sz w:val="21"/>
                <w:szCs w:val="21"/>
                <w:highlight w:val="none"/>
                <w:lang w:val="en-US" w:eastAsia="zh-CN"/>
              </w:rPr>
              <w:t>30日内，采购人支付合同金额的80%；2023年9月30日前经</w:t>
            </w:r>
            <w:r>
              <w:rPr>
                <w:rFonts w:hint="eastAsia" w:asciiTheme="minorEastAsia" w:hAnsiTheme="minorEastAsia" w:eastAsiaTheme="minorEastAsia" w:cstheme="minorEastAsia"/>
                <w:color w:val="auto"/>
                <w:kern w:val="0"/>
                <w:sz w:val="21"/>
                <w:szCs w:val="21"/>
                <w:highlight w:val="none"/>
              </w:rPr>
              <w:t>验收合格</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采购人支付</w:t>
            </w:r>
            <w:r>
              <w:rPr>
                <w:rFonts w:hint="eastAsia" w:asciiTheme="minorEastAsia" w:hAnsiTheme="minorEastAsia" w:eastAsiaTheme="minorEastAsia" w:cstheme="minorEastAsia"/>
                <w:color w:val="auto"/>
                <w:kern w:val="0"/>
                <w:sz w:val="21"/>
                <w:szCs w:val="21"/>
                <w:highlight w:val="none"/>
                <w:lang w:eastAsia="zh-CN"/>
              </w:rPr>
              <w:t>剩余</w:t>
            </w:r>
            <w:r>
              <w:rPr>
                <w:rFonts w:hint="eastAsia" w:asciiTheme="minorEastAsia" w:hAnsiTheme="minorEastAsia" w:eastAsiaTheme="minorEastAsia" w:cstheme="minorEastAsia"/>
                <w:color w:val="auto"/>
                <w:kern w:val="0"/>
                <w:sz w:val="21"/>
                <w:szCs w:val="21"/>
                <w:highlight w:val="none"/>
              </w:rPr>
              <w:t>合同</w:t>
            </w:r>
            <w:r>
              <w:rPr>
                <w:rFonts w:hint="eastAsia" w:asciiTheme="minorEastAsia" w:hAnsiTheme="minorEastAsia" w:eastAsiaTheme="minorEastAsia" w:cstheme="minorEastAsia"/>
                <w:color w:val="auto"/>
                <w:kern w:val="0"/>
                <w:sz w:val="21"/>
                <w:szCs w:val="21"/>
                <w:highlight w:val="none"/>
                <w:lang w:eastAsia="zh-CN"/>
              </w:rPr>
              <w:t>款项</w:t>
            </w:r>
            <w:r>
              <w:rPr>
                <w:rFonts w:hint="eastAsia" w:asciiTheme="minorEastAsia" w:hAnsiTheme="minorEastAsia" w:eastAsiaTheme="minorEastAsia" w:cstheme="minorEastAsia"/>
                <w:color w:val="auto"/>
                <w:kern w:val="0"/>
                <w:sz w:val="21"/>
                <w:szCs w:val="21"/>
                <w:highlight w:val="none"/>
              </w:rPr>
              <w:t>。</w:t>
            </w:r>
          </w:p>
          <w:p>
            <w:pPr>
              <w:pageBreakBefore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采购人付款前，成交供应商应向采购人开具等额有效的增值税发票。采购人未收到发票的，有权不予支付相应款项直至成交供应商提供合格发票，并不承担延迟付款责任。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94"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售后服务要求</w:t>
            </w:r>
            <w:r>
              <w:rPr>
                <w:rFonts w:hint="eastAsia" w:asciiTheme="minorEastAsia" w:hAnsiTheme="minorEastAsia" w:eastAsiaTheme="minorEastAsia" w:cstheme="minorEastAsia"/>
                <w:color w:val="auto"/>
                <w:sz w:val="21"/>
                <w:szCs w:val="21"/>
                <w:highlight w:val="none"/>
                <w:lang w:eastAsia="zh-CN"/>
              </w:rPr>
              <w:t>、</w:t>
            </w:r>
          </w:p>
          <w:p>
            <w:pPr>
              <w:pageBreakBefore w:val="0"/>
              <w:widowControl/>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标准</w:t>
            </w:r>
          </w:p>
        </w:tc>
        <w:tc>
          <w:tcPr>
            <w:tcW w:w="8060" w:type="dxa"/>
            <w:gridSpan w:val="3"/>
            <w:tcBorders>
              <w:top w:val="single" w:color="auto" w:sz="4" w:space="0"/>
              <w:left w:val="single" w:color="auto" w:sz="4" w:space="0"/>
              <w:bottom w:val="single" w:color="auto" w:sz="4" w:space="0"/>
              <w:right w:val="single" w:color="auto" w:sz="4" w:space="0"/>
            </w:tcBorders>
            <w:vAlign w:val="center"/>
          </w:tcPr>
          <w:p>
            <w:pPr>
              <w:pStyle w:val="20"/>
              <w:pageBreakBefore w:val="0"/>
              <w:kinsoku/>
              <w:wordWrap/>
              <w:overflowPunct/>
              <w:topLinePunct w:val="0"/>
              <w:autoSpaceDE/>
              <w:autoSpaceDN/>
              <w:bidi w:val="0"/>
              <w:snapToGrid w:val="0"/>
              <w:spacing w:line="400" w:lineRule="exact"/>
              <w:textAlignment w:val="auto"/>
              <w:outlineLvl w:val="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售后服务要求：</w:t>
            </w:r>
          </w:p>
          <w:p>
            <w:pPr>
              <w:pStyle w:val="20"/>
              <w:pageBreakBefore w:val="0"/>
              <w:kinsoku/>
              <w:wordWrap/>
              <w:overflowPunct/>
              <w:topLinePunct w:val="0"/>
              <w:autoSpaceDE/>
              <w:autoSpaceDN/>
              <w:bidi w:val="0"/>
              <w:snapToGrid w:val="0"/>
              <w:spacing w:line="400" w:lineRule="exact"/>
              <w:ind w:firstLine="420" w:firstLineChars="200"/>
              <w:textAlignment w:val="auto"/>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1、免费送货上门、安装调试直至货物验收合格。按国家有关产品“三包”规定执行“三包”；</w:t>
            </w:r>
          </w:p>
          <w:p>
            <w:pPr>
              <w:pStyle w:val="20"/>
              <w:pageBreakBefore w:val="0"/>
              <w:kinsoku/>
              <w:wordWrap/>
              <w:overflowPunct/>
              <w:topLinePunct w:val="0"/>
              <w:autoSpaceDE/>
              <w:autoSpaceDN/>
              <w:bidi w:val="0"/>
              <w:snapToGrid w:val="0"/>
              <w:spacing w:line="400" w:lineRule="exact"/>
              <w:ind w:firstLine="420" w:firstLineChars="200"/>
              <w:textAlignment w:val="auto"/>
              <w:outlineLvl w:val="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2、配套软件发生故障时，在接到报修通知后，30分钟内响应，24小时内到达现场，终身提供技术支持；</w:t>
            </w:r>
          </w:p>
          <w:p>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3、定期回访以及对配套软件维修。</w:t>
            </w:r>
          </w:p>
          <w:p>
            <w:pPr>
              <w:pStyle w:val="4"/>
              <w:pageBreakBefore w:val="0"/>
              <w:numPr>
                <w:ilvl w:val="0"/>
                <w:numId w:val="0"/>
              </w:numPr>
              <w:tabs>
                <w:tab w:val="left" w:pos="709"/>
                <w:tab w:val="left" w:pos="851"/>
              </w:tabs>
              <w:kinsoku/>
              <w:wordWrap/>
              <w:overflowPunct/>
              <w:topLinePunct w:val="0"/>
              <w:autoSpaceDE/>
              <w:autoSpaceDN/>
              <w:bidi w:val="0"/>
              <w:adjustRightInd/>
              <w:spacing w:before="0" w:after="0" w:line="400" w:lineRule="exact"/>
              <w:ind w:leftChars="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售后服务标准：</w:t>
            </w:r>
          </w:p>
          <w:p>
            <w:pPr>
              <w:pStyle w:val="201"/>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提供及时、高效、全方位的售后服务与技术支持；在售后服务过程中，应积极配合采购人的需要，并根据采购人的需求对软件内容进行相应修改和完善。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94"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项目交付标准、项目验收时间</w:t>
            </w:r>
          </w:p>
        </w:tc>
        <w:tc>
          <w:tcPr>
            <w:tcW w:w="806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1、项目交付标准：满足采购人预算项目编制，确保采购人在软件填报及数据汇总等编制各环节，软件运行顺畅，数据提取无误。</w:t>
            </w:r>
          </w:p>
          <w:p>
            <w:pPr>
              <w:pageBreakBefore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2、项目验收时间：</w:t>
            </w:r>
            <w:r>
              <w:rPr>
                <w:rFonts w:hint="eastAsia" w:asciiTheme="minorEastAsia" w:hAnsiTheme="minorEastAsia" w:eastAsiaTheme="minorEastAsia" w:cstheme="minorEastAsia"/>
                <w:color w:val="auto"/>
                <w:sz w:val="21"/>
                <w:szCs w:val="21"/>
                <w:highlight w:val="none"/>
                <w:lang w:val="en-US" w:eastAsia="zh-CN"/>
              </w:rPr>
              <w:t>2023</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日前</w:t>
            </w:r>
            <w:r>
              <w:rPr>
                <w:rFonts w:hint="eastAsia" w:asciiTheme="minorEastAsia" w:hAnsiTheme="minorEastAsia" w:eastAsiaTheme="minorEastAsia" w:cstheme="minorEastAsia"/>
                <w:color w:val="auto"/>
                <w:sz w:val="21"/>
                <w:szCs w:val="21"/>
                <w:highlight w:val="none"/>
                <w:lang w:eastAsia="zh-CN"/>
              </w:rPr>
              <w:t>完成项目</w:t>
            </w:r>
            <w:r>
              <w:rPr>
                <w:rFonts w:hint="eastAsia" w:asciiTheme="minorEastAsia" w:hAnsiTheme="minorEastAsia" w:eastAsiaTheme="minorEastAsia" w:cstheme="minorEastAsia"/>
                <w:color w:val="auto"/>
                <w:sz w:val="21"/>
                <w:szCs w:val="21"/>
                <w:highlight w:val="none"/>
              </w:rPr>
              <w:t>验收</w:t>
            </w:r>
            <w:r>
              <w:rPr>
                <w:rFonts w:hint="eastAsia" w:asciiTheme="minorEastAsia" w:hAnsiTheme="minorEastAsia" w:eastAsiaTheme="minorEastAsia" w:cstheme="minorEastAsia"/>
                <w:color w:val="auto"/>
                <w:sz w:val="21"/>
                <w:szCs w:val="21"/>
                <w:highlight w:val="none"/>
                <w:lang w:eastAsia="zh-CN"/>
              </w:rPr>
              <w:t>。</w:t>
            </w:r>
          </w:p>
        </w:tc>
      </w:tr>
      <w:bookmarkEnd w:id="68"/>
    </w:tbl>
    <w:p>
      <w:pPr>
        <w:pStyle w:val="2"/>
        <w:spacing w:after="0" w:line="400" w:lineRule="exact"/>
        <w:rPr>
          <w:rFonts w:asciiTheme="minorEastAsia" w:hAnsiTheme="minorEastAsia" w:eastAsiaTheme="minorEastAsia" w:cstheme="minorEastAsia"/>
          <w:color w:val="auto"/>
          <w:kern w:val="0"/>
          <w:sz w:val="24"/>
          <w:highlight w:val="none"/>
        </w:rPr>
      </w:pPr>
    </w:p>
    <w:sectPr>
      <w:headerReference r:id="rId8" w:type="first"/>
      <w:footerReference r:id="rId11" w:type="first"/>
      <w:headerReference r:id="rId7" w:type="default"/>
      <w:footerReference r:id="rId9" w:type="default"/>
      <w:footerReference r:id="rId10" w:type="even"/>
      <w:pgSz w:w="11906" w:h="16838"/>
      <w:pgMar w:top="1134" w:right="1134" w:bottom="1134" w:left="1134" w:header="680" w:footer="680" w:gutter="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560" w:hanging="560"/>
      <w:jc w:val="center"/>
    </w:pPr>
  </w:p>
  <w:p>
    <w:pPr>
      <w:pStyle w:val="25"/>
      <w:ind w:left="560" w:hanging="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560" w:hanging="560"/>
      <w:jc w:val="center"/>
    </w:pPr>
    <w: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560" w:hanging="560"/>
      <w:jc w:val="center"/>
    </w:pPr>
    <w:r>
      <w:pict>
        <v:shape id="_x0000_s1031" o:spid="_x0000_s1031" o:spt="202" type="#_x0000_t202" style="position:absolute;left:0pt;margin-top:0pt;height:11.65pt;width:241.35pt;mso-position-horizontal:right;mso-position-horizontal-relative:margin;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LNihLjTAQAApQMAAA4AAAAAAAAAAQAgAAAAHwEA&#10;AGRycy9lMm9Eb2MueG1sUEsFBgAAAAAGAAYAWQEAAGQFAAAAAA==&#10;">
          <v:path/>
          <v:fill on="f" focussize="0,0"/>
          <v:stroke on="f" joinstyle="miter"/>
          <v:imagedata o:title=""/>
          <o:lock v:ext="edit"/>
          <v:textbox inset="0mm,0mm,0mm,0mm" style="mso-fit-shape-to-text:t;">
            <w:txbxContent>
              <w:p>
                <w:pPr>
                  <w:pStyle w:val="25"/>
                  <w:ind w:left="560" w:hanging="560"/>
                </w:pPr>
                <w:r>
                  <w:fldChar w:fldCharType="begin"/>
                </w:r>
                <w:r>
                  <w:instrText xml:space="preserve"> PAGE  \* MERGEFORMAT </w:instrText>
                </w:r>
                <w:r>
                  <w:fldChar w:fldCharType="separate"/>
                </w:r>
                <w:r>
                  <w:t>9</w:t>
                </w:r>
                <w:r>
                  <w:fldChar w:fldCharType="end"/>
                </w:r>
              </w:p>
            </w:txbxContent>
          </v:textbox>
        </v:shape>
      </w:pict>
    </w:r>
  </w:p>
  <w:p>
    <w:pPr>
      <w:pStyle w:val="25"/>
      <w:ind w:left="560" w:hanging="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pict>
        <v:shape id="文本框 1027"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K9Ic8BAACq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uEr0hzwEAAKoDAAAOAAAAAAAAAAEAIAAAAB4BAABkcnMv&#10;ZTJvRG9jLnhtbFBLBQYAAAAABgAGAFkBAABfBQAAAAA=&#10;">
          <v:path/>
          <v:fill on="f" focussize="0,0"/>
          <v:stroke on="f" joinstyle="miter"/>
          <v:imagedata o:title=""/>
          <o:lock v:ext="edit"/>
          <v:textbox inset="0mm,0mm,0mm,0mm" style="mso-fit-shape-to-text:t;">
            <w:txbxContent>
              <w:p>
                <w:pPr>
                  <w:pStyle w:val="25"/>
                  <w:jc w:val="center"/>
                </w:pPr>
                <w:r>
                  <w:fldChar w:fldCharType="begin"/>
                </w:r>
                <w:r>
                  <w:instrText xml:space="preserve"> PAGE   \* MERGEFORMAT </w:instrText>
                </w:r>
                <w:r>
                  <w:fldChar w:fldCharType="separate"/>
                </w:r>
                <w:r>
                  <w:rPr>
                    <w:lang w:val="zh-CN"/>
                  </w:rPr>
                  <w:t>65</w:t>
                </w:r>
                <w:r>
                  <w:fldChar w:fldCharType="end"/>
                </w:r>
              </w:p>
            </w:txbxContent>
          </v:textbox>
        </v:shape>
      </w:pict>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文本框 1028" o:spid="_x0000_s1027" o:spt="202" type="#_x0000_t202" style="position:absolute;left:0pt;margin-top:0pt;height:11.65pt;width:4.4pt;mso-position-horizontal:center;mso-position-horizontal-relative:margin;mso-wrap-distance-bottom:0pt;mso-wrap-distance-left:0pt;mso-wrap-distance-right:0pt;mso-wrap-distance-top:0pt;z-index:251659264;mso-width-relative:page;mso-height-relative:page;" filled="f" stroked="f" coordsize="21600,21600" o:allowincell="f" o:gfxdata="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WgqqbTAAAAAgEAAA8AAAAAAAAAAQAgAAAAIgAAAGRycy9kb3ducmV2LnhtbFBLAQIU&#10;ABQAAAAIAIdO4kDEtU8jvwEAAIEDAAAOAAAAAAAAAAEAIAAAACIBAABkcnMvZTJvRG9jLnhtbFBL&#10;BQYAAAAABgAGAFkBAABTBQAAAAA=&#10;">
          <v:path/>
          <v:fill on="f" focussize="0,0"/>
          <v:stroke on="f" joinstyle="miter"/>
          <v:imagedata o:title=""/>
          <o:lock v:ext="edit"/>
          <v:textbox inset="0mm,0mm,0mm,0mm">
            <w:txbxContent>
              <w:p>
                <w:pPr>
                  <w:pStyle w:val="25"/>
                  <w:rPr>
                    <w:rStyle w:val="48"/>
                  </w:rPr>
                </w:pPr>
                <w:r>
                  <w:rPr>
                    <w:rStyle w:val="48"/>
                  </w:rPr>
                  <w:fldChar w:fldCharType="begin"/>
                </w:r>
                <w:r>
                  <w:rPr>
                    <w:rStyle w:val="48"/>
                  </w:rPr>
                  <w:instrText xml:space="preserve">PAGE  </w:instrText>
                </w:r>
                <w:r>
                  <w:rPr>
                    <w:rStyle w:val="48"/>
                  </w:rPr>
                  <w:fldChar w:fldCharType="separate"/>
                </w:r>
                <w:r>
                  <w:rPr>
                    <w:rStyle w:val="48"/>
                  </w:rPr>
                  <w:t>1</w:t>
                </w:r>
                <w:r>
                  <w:rPr>
                    <w:rStyle w:val="48"/>
                  </w:rPr>
                  <w:fldChar w:fldCharType="end"/>
                </w:r>
              </w:p>
            </w:txbxContent>
          </v:textbox>
          <w10:wrap type="squar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pict>
        <v:shape id="文本框 1026"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GRyM8BAACqAwAADgAAAGRycy9lMm9Eb2MueG1srVPNjtMwEL4j8Q6W&#10;7zRph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NWdWGHrwy4/vl5+/L7++sWW5&#10;ukkK9R4rKrz3VBqHt26gvZnjSMFEfGiDSV+ixChP+p6v+sIQmUyX1qv1uqSUpNzsEH7xcN0HjO/A&#10;GZaMmgd6wKyrOH3AOJbOJambdXdK6/yI2v4VIMwxAnkLptuJyThxsuKwHyZ6e9eciV1Pm1BzS4vP&#10;mX5vSei0NLMRZmM/G0cf1KHLW5W6o39zjDRSnjR1GGGJYXLoCTPXad3Sjjz2c9XDL7b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csZHIzwEAAKoDAAAOAAAAAAAAAAEAIAAAAB4BAABkcnMv&#10;ZTJvRG9jLnhtbFBLBQYAAAAABgAGAFkBAABfBQAAAAA=&#10;">
          <v:path/>
          <v:fill on="f" focussize="0,0"/>
          <v:stroke on="f" joinstyle="miter"/>
          <v:imagedata o:title=""/>
          <o:lock v:ext="edit"/>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0"/>
        <w:tab w:val="lef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1980"/>
      <w:jc w:val="right"/>
      <w:rPr>
        <w:rFonts w:ascii="方正仿宋简体" w:hAns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91805"/>
    <w:multiLevelType w:val="multilevel"/>
    <w:tmpl w:val="20B91805"/>
    <w:lvl w:ilvl="0" w:tentative="0">
      <w:start w:val="1"/>
      <w:numFmt w:val="decimal"/>
      <w:lvlText w:val="%1"/>
      <w:lvlJc w:val="left"/>
      <w:pPr>
        <w:tabs>
          <w:tab w:val="left" w:pos="432"/>
        </w:tabs>
        <w:ind w:left="432" w:hanging="432"/>
      </w:pPr>
      <w:rPr>
        <w:rFonts w:hint="eastAsia"/>
        <w:b/>
      </w:rPr>
    </w:lvl>
    <w:lvl w:ilvl="1" w:tentative="0">
      <w:start w:val="1"/>
      <w:numFmt w:val="decimal"/>
      <w:lvlText w:val="%1.%2"/>
      <w:lvlJc w:val="left"/>
      <w:pPr>
        <w:tabs>
          <w:tab w:val="left" w:pos="3128"/>
        </w:tabs>
        <w:ind w:left="3128" w:hanging="576"/>
      </w:pPr>
      <w:rPr>
        <w:rFonts w:hint="eastAsia"/>
      </w:rPr>
    </w:lvl>
    <w:lvl w:ilvl="2" w:tentative="0">
      <w:start w:val="1"/>
      <w:numFmt w:val="decimal"/>
      <w:lvlText w:val="%1.%2.%3"/>
      <w:lvlJc w:val="left"/>
      <w:pPr>
        <w:tabs>
          <w:tab w:val="left" w:pos="900"/>
        </w:tabs>
        <w:ind w:left="900" w:hanging="720"/>
      </w:pPr>
      <w:rPr>
        <w:rFonts w:hint="eastAsia"/>
      </w:rPr>
    </w:lvl>
    <w:lvl w:ilvl="3" w:tentative="0">
      <w:start w:val="1"/>
      <w:numFmt w:val="decimal"/>
      <w:lvlText w:val="%1.%2.%3.%4"/>
      <w:lvlJc w:val="left"/>
      <w:pPr>
        <w:tabs>
          <w:tab w:val="left" w:pos="864"/>
        </w:tabs>
        <w:ind w:left="2495" w:hanging="2211"/>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1A03701"/>
    <w:multiLevelType w:val="multilevel"/>
    <w:tmpl w:val="51A03701"/>
    <w:lvl w:ilvl="0" w:tentative="0">
      <w:start w:val="1"/>
      <w:numFmt w:val="japaneseCounting"/>
      <w:lvlText w:val="(%1)"/>
      <w:lvlJc w:val="left"/>
      <w:pPr>
        <w:tabs>
          <w:tab w:val="left" w:pos="645"/>
        </w:tabs>
        <w:ind w:left="645" w:hanging="64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2M0MzFlYzgwNzRkZTQ0NjFjODEzZWFjM2I4MDhiNjMifQ=="/>
  </w:docVars>
  <w:rsids>
    <w:rsidRoot w:val="00172A27"/>
    <w:rsid w:val="00000960"/>
    <w:rsid w:val="00003934"/>
    <w:rsid w:val="000046D1"/>
    <w:rsid w:val="000142D2"/>
    <w:rsid w:val="00014708"/>
    <w:rsid w:val="0001578C"/>
    <w:rsid w:val="00015E99"/>
    <w:rsid w:val="00017405"/>
    <w:rsid w:val="00021194"/>
    <w:rsid w:val="00021FCF"/>
    <w:rsid w:val="00022B7F"/>
    <w:rsid w:val="00022CFD"/>
    <w:rsid w:val="0002357F"/>
    <w:rsid w:val="0002410C"/>
    <w:rsid w:val="00025159"/>
    <w:rsid w:val="0002718B"/>
    <w:rsid w:val="000273A6"/>
    <w:rsid w:val="000306A9"/>
    <w:rsid w:val="00033F59"/>
    <w:rsid w:val="00037F93"/>
    <w:rsid w:val="000407F6"/>
    <w:rsid w:val="00041C5B"/>
    <w:rsid w:val="00042260"/>
    <w:rsid w:val="000428A6"/>
    <w:rsid w:val="00043F1A"/>
    <w:rsid w:val="000450BF"/>
    <w:rsid w:val="00045C94"/>
    <w:rsid w:val="00045FCF"/>
    <w:rsid w:val="00046A9C"/>
    <w:rsid w:val="00046C4E"/>
    <w:rsid w:val="00047520"/>
    <w:rsid w:val="000537B9"/>
    <w:rsid w:val="0005400C"/>
    <w:rsid w:val="000551F9"/>
    <w:rsid w:val="00055B11"/>
    <w:rsid w:val="0005713B"/>
    <w:rsid w:val="000577C1"/>
    <w:rsid w:val="0006022C"/>
    <w:rsid w:val="00061984"/>
    <w:rsid w:val="00065FDD"/>
    <w:rsid w:val="00070B9D"/>
    <w:rsid w:val="00072475"/>
    <w:rsid w:val="00074F7C"/>
    <w:rsid w:val="00075373"/>
    <w:rsid w:val="00075756"/>
    <w:rsid w:val="00076F2E"/>
    <w:rsid w:val="0008771B"/>
    <w:rsid w:val="00087E83"/>
    <w:rsid w:val="0009232A"/>
    <w:rsid w:val="00094CF1"/>
    <w:rsid w:val="00094DE1"/>
    <w:rsid w:val="00095950"/>
    <w:rsid w:val="000972D3"/>
    <w:rsid w:val="000A06DB"/>
    <w:rsid w:val="000A09C2"/>
    <w:rsid w:val="000A10AD"/>
    <w:rsid w:val="000A24A8"/>
    <w:rsid w:val="000A31E5"/>
    <w:rsid w:val="000A3CB3"/>
    <w:rsid w:val="000A4217"/>
    <w:rsid w:val="000A4669"/>
    <w:rsid w:val="000A4A74"/>
    <w:rsid w:val="000B232F"/>
    <w:rsid w:val="000B2A1B"/>
    <w:rsid w:val="000B35F9"/>
    <w:rsid w:val="000B5DE0"/>
    <w:rsid w:val="000B5F88"/>
    <w:rsid w:val="000B60AB"/>
    <w:rsid w:val="000B74D6"/>
    <w:rsid w:val="000B7917"/>
    <w:rsid w:val="000C0F9C"/>
    <w:rsid w:val="000C4CED"/>
    <w:rsid w:val="000D0531"/>
    <w:rsid w:val="000D4435"/>
    <w:rsid w:val="000D4A3D"/>
    <w:rsid w:val="000E0CD4"/>
    <w:rsid w:val="000E632D"/>
    <w:rsid w:val="000F1938"/>
    <w:rsid w:val="000F23E8"/>
    <w:rsid w:val="000F3111"/>
    <w:rsid w:val="000F532A"/>
    <w:rsid w:val="000F5C3C"/>
    <w:rsid w:val="000F600E"/>
    <w:rsid w:val="000F7E48"/>
    <w:rsid w:val="001010AD"/>
    <w:rsid w:val="00101A39"/>
    <w:rsid w:val="001026ED"/>
    <w:rsid w:val="00102DE9"/>
    <w:rsid w:val="00103508"/>
    <w:rsid w:val="0010421E"/>
    <w:rsid w:val="00105F0C"/>
    <w:rsid w:val="0010767E"/>
    <w:rsid w:val="00113C18"/>
    <w:rsid w:val="00114D66"/>
    <w:rsid w:val="00114F05"/>
    <w:rsid w:val="0011654B"/>
    <w:rsid w:val="00121BDF"/>
    <w:rsid w:val="001223B1"/>
    <w:rsid w:val="0012250B"/>
    <w:rsid w:val="001239EB"/>
    <w:rsid w:val="001266AC"/>
    <w:rsid w:val="0013021D"/>
    <w:rsid w:val="001321B0"/>
    <w:rsid w:val="001331EA"/>
    <w:rsid w:val="00146C0D"/>
    <w:rsid w:val="00150F3C"/>
    <w:rsid w:val="0015199A"/>
    <w:rsid w:val="001536C8"/>
    <w:rsid w:val="00155472"/>
    <w:rsid w:val="001632C9"/>
    <w:rsid w:val="00163355"/>
    <w:rsid w:val="00165006"/>
    <w:rsid w:val="00171026"/>
    <w:rsid w:val="00172A27"/>
    <w:rsid w:val="001733A3"/>
    <w:rsid w:val="00174813"/>
    <w:rsid w:val="00174F3B"/>
    <w:rsid w:val="0017557A"/>
    <w:rsid w:val="00177125"/>
    <w:rsid w:val="00177132"/>
    <w:rsid w:val="00180171"/>
    <w:rsid w:val="00181513"/>
    <w:rsid w:val="00183C2B"/>
    <w:rsid w:val="00184AC7"/>
    <w:rsid w:val="00184E2B"/>
    <w:rsid w:val="0018575E"/>
    <w:rsid w:val="00185A2A"/>
    <w:rsid w:val="0018797D"/>
    <w:rsid w:val="00191E07"/>
    <w:rsid w:val="001921DE"/>
    <w:rsid w:val="00192C6A"/>
    <w:rsid w:val="00192C88"/>
    <w:rsid w:val="00192F7E"/>
    <w:rsid w:val="001939EE"/>
    <w:rsid w:val="001A0B6F"/>
    <w:rsid w:val="001A407A"/>
    <w:rsid w:val="001A6CCF"/>
    <w:rsid w:val="001B239D"/>
    <w:rsid w:val="001B2A1F"/>
    <w:rsid w:val="001B3678"/>
    <w:rsid w:val="001B43CB"/>
    <w:rsid w:val="001B43F9"/>
    <w:rsid w:val="001B59EA"/>
    <w:rsid w:val="001B6E16"/>
    <w:rsid w:val="001C0123"/>
    <w:rsid w:val="001C1B95"/>
    <w:rsid w:val="001C48BA"/>
    <w:rsid w:val="001C64A3"/>
    <w:rsid w:val="001C67E0"/>
    <w:rsid w:val="001C749A"/>
    <w:rsid w:val="001D3642"/>
    <w:rsid w:val="001D3BEA"/>
    <w:rsid w:val="001D6B85"/>
    <w:rsid w:val="001E0038"/>
    <w:rsid w:val="001E0EE8"/>
    <w:rsid w:val="001E123D"/>
    <w:rsid w:val="001E2172"/>
    <w:rsid w:val="001E3426"/>
    <w:rsid w:val="001E40A9"/>
    <w:rsid w:val="001E42A5"/>
    <w:rsid w:val="001E45FD"/>
    <w:rsid w:val="001F0359"/>
    <w:rsid w:val="001F050A"/>
    <w:rsid w:val="001F2A66"/>
    <w:rsid w:val="001F55B7"/>
    <w:rsid w:val="001F6BCF"/>
    <w:rsid w:val="001F7378"/>
    <w:rsid w:val="001F7F94"/>
    <w:rsid w:val="002046DE"/>
    <w:rsid w:val="00204D53"/>
    <w:rsid w:val="0021170C"/>
    <w:rsid w:val="00212F28"/>
    <w:rsid w:val="0021341F"/>
    <w:rsid w:val="00215ED1"/>
    <w:rsid w:val="002161BC"/>
    <w:rsid w:val="002217BE"/>
    <w:rsid w:val="00225101"/>
    <w:rsid w:val="00226238"/>
    <w:rsid w:val="002275C5"/>
    <w:rsid w:val="00227B5F"/>
    <w:rsid w:val="002312CF"/>
    <w:rsid w:val="00231531"/>
    <w:rsid w:val="00231BD2"/>
    <w:rsid w:val="00231DA6"/>
    <w:rsid w:val="00231F3C"/>
    <w:rsid w:val="0023229F"/>
    <w:rsid w:val="00232460"/>
    <w:rsid w:val="002332C2"/>
    <w:rsid w:val="002338EA"/>
    <w:rsid w:val="00234799"/>
    <w:rsid w:val="00235C65"/>
    <w:rsid w:val="0023774B"/>
    <w:rsid w:val="00237865"/>
    <w:rsid w:val="00237AB5"/>
    <w:rsid w:val="002412C8"/>
    <w:rsid w:val="00241912"/>
    <w:rsid w:val="00242780"/>
    <w:rsid w:val="002448DF"/>
    <w:rsid w:val="002456EF"/>
    <w:rsid w:val="00250F63"/>
    <w:rsid w:val="00251173"/>
    <w:rsid w:val="00251DFC"/>
    <w:rsid w:val="00251E91"/>
    <w:rsid w:val="00252B76"/>
    <w:rsid w:val="0025309D"/>
    <w:rsid w:val="002541E9"/>
    <w:rsid w:val="00255B80"/>
    <w:rsid w:val="00257541"/>
    <w:rsid w:val="0026048F"/>
    <w:rsid w:val="002619DF"/>
    <w:rsid w:val="002631F8"/>
    <w:rsid w:val="00263B6D"/>
    <w:rsid w:val="00265D56"/>
    <w:rsid w:val="00265E27"/>
    <w:rsid w:val="00270871"/>
    <w:rsid w:val="002721D1"/>
    <w:rsid w:val="002725EE"/>
    <w:rsid w:val="00272E0D"/>
    <w:rsid w:val="002731F6"/>
    <w:rsid w:val="00276C9F"/>
    <w:rsid w:val="00277413"/>
    <w:rsid w:val="002800FA"/>
    <w:rsid w:val="002806B0"/>
    <w:rsid w:val="00280B0B"/>
    <w:rsid w:val="0028581C"/>
    <w:rsid w:val="00286CEF"/>
    <w:rsid w:val="00287855"/>
    <w:rsid w:val="00290306"/>
    <w:rsid w:val="00290A14"/>
    <w:rsid w:val="002925F7"/>
    <w:rsid w:val="00292FE2"/>
    <w:rsid w:val="002941F9"/>
    <w:rsid w:val="002951DC"/>
    <w:rsid w:val="002A3424"/>
    <w:rsid w:val="002A392A"/>
    <w:rsid w:val="002A3EED"/>
    <w:rsid w:val="002A5179"/>
    <w:rsid w:val="002B0F69"/>
    <w:rsid w:val="002B51A0"/>
    <w:rsid w:val="002B5FDF"/>
    <w:rsid w:val="002C03F9"/>
    <w:rsid w:val="002C3239"/>
    <w:rsid w:val="002C54B9"/>
    <w:rsid w:val="002C6AE0"/>
    <w:rsid w:val="002C7A90"/>
    <w:rsid w:val="002D1C4F"/>
    <w:rsid w:val="002D4D6A"/>
    <w:rsid w:val="002D584E"/>
    <w:rsid w:val="002D5C2E"/>
    <w:rsid w:val="002D690A"/>
    <w:rsid w:val="002E0238"/>
    <w:rsid w:val="002E048B"/>
    <w:rsid w:val="002E270A"/>
    <w:rsid w:val="002E29FC"/>
    <w:rsid w:val="002E2E60"/>
    <w:rsid w:val="002E3CDF"/>
    <w:rsid w:val="002E4E6E"/>
    <w:rsid w:val="002E7EC2"/>
    <w:rsid w:val="002F1614"/>
    <w:rsid w:val="002F17F3"/>
    <w:rsid w:val="002F4F40"/>
    <w:rsid w:val="0030206C"/>
    <w:rsid w:val="00304234"/>
    <w:rsid w:val="00304A81"/>
    <w:rsid w:val="00304BA2"/>
    <w:rsid w:val="00305C86"/>
    <w:rsid w:val="0030771C"/>
    <w:rsid w:val="00307DC5"/>
    <w:rsid w:val="00310172"/>
    <w:rsid w:val="0031577C"/>
    <w:rsid w:val="003162DB"/>
    <w:rsid w:val="003201A1"/>
    <w:rsid w:val="00322210"/>
    <w:rsid w:val="0032478C"/>
    <w:rsid w:val="0032731A"/>
    <w:rsid w:val="00327522"/>
    <w:rsid w:val="00331B36"/>
    <w:rsid w:val="003342E3"/>
    <w:rsid w:val="00337B20"/>
    <w:rsid w:val="00340B4C"/>
    <w:rsid w:val="00343058"/>
    <w:rsid w:val="003432ED"/>
    <w:rsid w:val="00343DED"/>
    <w:rsid w:val="00344B87"/>
    <w:rsid w:val="00346332"/>
    <w:rsid w:val="00346B05"/>
    <w:rsid w:val="00347A69"/>
    <w:rsid w:val="003514B5"/>
    <w:rsid w:val="00351912"/>
    <w:rsid w:val="003543CA"/>
    <w:rsid w:val="00356326"/>
    <w:rsid w:val="00361526"/>
    <w:rsid w:val="003637C2"/>
    <w:rsid w:val="00370A92"/>
    <w:rsid w:val="0037135D"/>
    <w:rsid w:val="003714D2"/>
    <w:rsid w:val="003735D6"/>
    <w:rsid w:val="00373739"/>
    <w:rsid w:val="00373D5F"/>
    <w:rsid w:val="00374D50"/>
    <w:rsid w:val="00375816"/>
    <w:rsid w:val="00376208"/>
    <w:rsid w:val="003767DE"/>
    <w:rsid w:val="00377947"/>
    <w:rsid w:val="00381D20"/>
    <w:rsid w:val="00384A87"/>
    <w:rsid w:val="00385816"/>
    <w:rsid w:val="0039036C"/>
    <w:rsid w:val="0039087F"/>
    <w:rsid w:val="00391A8A"/>
    <w:rsid w:val="003926AE"/>
    <w:rsid w:val="00392D34"/>
    <w:rsid w:val="0039314E"/>
    <w:rsid w:val="003932BC"/>
    <w:rsid w:val="00393554"/>
    <w:rsid w:val="00393FFC"/>
    <w:rsid w:val="00397158"/>
    <w:rsid w:val="00397360"/>
    <w:rsid w:val="003A0914"/>
    <w:rsid w:val="003A0D8C"/>
    <w:rsid w:val="003A2D25"/>
    <w:rsid w:val="003A453D"/>
    <w:rsid w:val="003A4DF7"/>
    <w:rsid w:val="003A57FD"/>
    <w:rsid w:val="003A5CA4"/>
    <w:rsid w:val="003A66FD"/>
    <w:rsid w:val="003A7614"/>
    <w:rsid w:val="003A7B97"/>
    <w:rsid w:val="003B02EE"/>
    <w:rsid w:val="003B2A80"/>
    <w:rsid w:val="003B38FD"/>
    <w:rsid w:val="003B5C24"/>
    <w:rsid w:val="003B7539"/>
    <w:rsid w:val="003C0C65"/>
    <w:rsid w:val="003C1D03"/>
    <w:rsid w:val="003C402C"/>
    <w:rsid w:val="003C5091"/>
    <w:rsid w:val="003C7C0C"/>
    <w:rsid w:val="003D1C01"/>
    <w:rsid w:val="003D21F0"/>
    <w:rsid w:val="003D5297"/>
    <w:rsid w:val="003E10B1"/>
    <w:rsid w:val="003E2B5D"/>
    <w:rsid w:val="003E3083"/>
    <w:rsid w:val="003E3208"/>
    <w:rsid w:val="003E358C"/>
    <w:rsid w:val="003E3AD0"/>
    <w:rsid w:val="003E76DC"/>
    <w:rsid w:val="003E7B69"/>
    <w:rsid w:val="003F04C6"/>
    <w:rsid w:val="003F0CC3"/>
    <w:rsid w:val="003F2182"/>
    <w:rsid w:val="003F3877"/>
    <w:rsid w:val="003F3D99"/>
    <w:rsid w:val="003F537C"/>
    <w:rsid w:val="003F5775"/>
    <w:rsid w:val="003F60AA"/>
    <w:rsid w:val="003F6FB2"/>
    <w:rsid w:val="004007C2"/>
    <w:rsid w:val="00403ACB"/>
    <w:rsid w:val="00404B35"/>
    <w:rsid w:val="004063DB"/>
    <w:rsid w:val="00412357"/>
    <w:rsid w:val="00413BF1"/>
    <w:rsid w:val="004142F3"/>
    <w:rsid w:val="004148E4"/>
    <w:rsid w:val="00415B26"/>
    <w:rsid w:val="00416B0F"/>
    <w:rsid w:val="004206BA"/>
    <w:rsid w:val="00420BB4"/>
    <w:rsid w:val="00421BF3"/>
    <w:rsid w:val="004231BE"/>
    <w:rsid w:val="00424C14"/>
    <w:rsid w:val="004255A1"/>
    <w:rsid w:val="00425786"/>
    <w:rsid w:val="00432D1B"/>
    <w:rsid w:val="00433EE2"/>
    <w:rsid w:val="00435EDF"/>
    <w:rsid w:val="0043617F"/>
    <w:rsid w:val="00436235"/>
    <w:rsid w:val="0043675D"/>
    <w:rsid w:val="004368F0"/>
    <w:rsid w:val="004404C1"/>
    <w:rsid w:val="00441F42"/>
    <w:rsid w:val="00443154"/>
    <w:rsid w:val="004433E7"/>
    <w:rsid w:val="00443B6C"/>
    <w:rsid w:val="00445710"/>
    <w:rsid w:val="00445E17"/>
    <w:rsid w:val="00446DA4"/>
    <w:rsid w:val="004503AF"/>
    <w:rsid w:val="00450ED6"/>
    <w:rsid w:val="00451A42"/>
    <w:rsid w:val="00452491"/>
    <w:rsid w:val="004524E2"/>
    <w:rsid w:val="00452B03"/>
    <w:rsid w:val="0045342F"/>
    <w:rsid w:val="004545B6"/>
    <w:rsid w:val="004547FC"/>
    <w:rsid w:val="004549E0"/>
    <w:rsid w:val="004576BB"/>
    <w:rsid w:val="00460930"/>
    <w:rsid w:val="00461248"/>
    <w:rsid w:val="00462E7E"/>
    <w:rsid w:val="00463408"/>
    <w:rsid w:val="00465E4E"/>
    <w:rsid w:val="004663B2"/>
    <w:rsid w:val="004664C6"/>
    <w:rsid w:val="00467160"/>
    <w:rsid w:val="00473E7D"/>
    <w:rsid w:val="0048190A"/>
    <w:rsid w:val="00485167"/>
    <w:rsid w:val="0048749D"/>
    <w:rsid w:val="00487E46"/>
    <w:rsid w:val="00490498"/>
    <w:rsid w:val="00491CBD"/>
    <w:rsid w:val="0049318F"/>
    <w:rsid w:val="00494B94"/>
    <w:rsid w:val="004958A1"/>
    <w:rsid w:val="00496112"/>
    <w:rsid w:val="004973C7"/>
    <w:rsid w:val="004A1144"/>
    <w:rsid w:val="004A20D8"/>
    <w:rsid w:val="004B0A78"/>
    <w:rsid w:val="004B42EE"/>
    <w:rsid w:val="004B5C32"/>
    <w:rsid w:val="004B5CE4"/>
    <w:rsid w:val="004C16BB"/>
    <w:rsid w:val="004C214D"/>
    <w:rsid w:val="004C2176"/>
    <w:rsid w:val="004C3576"/>
    <w:rsid w:val="004C5463"/>
    <w:rsid w:val="004C5ADF"/>
    <w:rsid w:val="004C655C"/>
    <w:rsid w:val="004C76AF"/>
    <w:rsid w:val="004D1420"/>
    <w:rsid w:val="004D2E46"/>
    <w:rsid w:val="004D3259"/>
    <w:rsid w:val="004D326F"/>
    <w:rsid w:val="004D412B"/>
    <w:rsid w:val="004D5383"/>
    <w:rsid w:val="004E38E6"/>
    <w:rsid w:val="004E61CF"/>
    <w:rsid w:val="004E6F3E"/>
    <w:rsid w:val="004F07A5"/>
    <w:rsid w:val="004F0C60"/>
    <w:rsid w:val="004F2286"/>
    <w:rsid w:val="00503206"/>
    <w:rsid w:val="0050470E"/>
    <w:rsid w:val="00510164"/>
    <w:rsid w:val="00511EE4"/>
    <w:rsid w:val="00516D65"/>
    <w:rsid w:val="0052201E"/>
    <w:rsid w:val="0053115F"/>
    <w:rsid w:val="005328E3"/>
    <w:rsid w:val="005334B2"/>
    <w:rsid w:val="00535142"/>
    <w:rsid w:val="005352A6"/>
    <w:rsid w:val="00536795"/>
    <w:rsid w:val="00536CDB"/>
    <w:rsid w:val="00537CE9"/>
    <w:rsid w:val="00540CDA"/>
    <w:rsid w:val="00545C33"/>
    <w:rsid w:val="005479EF"/>
    <w:rsid w:val="00547ACC"/>
    <w:rsid w:val="00550638"/>
    <w:rsid w:val="00553217"/>
    <w:rsid w:val="005553D5"/>
    <w:rsid w:val="00556177"/>
    <w:rsid w:val="0055688A"/>
    <w:rsid w:val="00556A6B"/>
    <w:rsid w:val="00557310"/>
    <w:rsid w:val="00561D85"/>
    <w:rsid w:val="00563159"/>
    <w:rsid w:val="005647E9"/>
    <w:rsid w:val="00564CE8"/>
    <w:rsid w:val="00566865"/>
    <w:rsid w:val="00566A1D"/>
    <w:rsid w:val="0057165E"/>
    <w:rsid w:val="005722FB"/>
    <w:rsid w:val="00573A73"/>
    <w:rsid w:val="00574209"/>
    <w:rsid w:val="00574696"/>
    <w:rsid w:val="00577D13"/>
    <w:rsid w:val="00580CEC"/>
    <w:rsid w:val="00580DAD"/>
    <w:rsid w:val="00583E39"/>
    <w:rsid w:val="00584289"/>
    <w:rsid w:val="005848C6"/>
    <w:rsid w:val="005857B8"/>
    <w:rsid w:val="00587602"/>
    <w:rsid w:val="0058765A"/>
    <w:rsid w:val="00592295"/>
    <w:rsid w:val="00592B33"/>
    <w:rsid w:val="00594E4E"/>
    <w:rsid w:val="00595408"/>
    <w:rsid w:val="005976BB"/>
    <w:rsid w:val="005A2ACA"/>
    <w:rsid w:val="005A403A"/>
    <w:rsid w:val="005A4B7E"/>
    <w:rsid w:val="005A5A85"/>
    <w:rsid w:val="005A616E"/>
    <w:rsid w:val="005A62DF"/>
    <w:rsid w:val="005B1187"/>
    <w:rsid w:val="005B4176"/>
    <w:rsid w:val="005B4AB1"/>
    <w:rsid w:val="005B5E3A"/>
    <w:rsid w:val="005B5FA2"/>
    <w:rsid w:val="005C24E2"/>
    <w:rsid w:val="005C43B1"/>
    <w:rsid w:val="005C49EA"/>
    <w:rsid w:val="005C6648"/>
    <w:rsid w:val="005C7EA5"/>
    <w:rsid w:val="005D1FAF"/>
    <w:rsid w:val="005D2705"/>
    <w:rsid w:val="005D2E42"/>
    <w:rsid w:val="005D2F91"/>
    <w:rsid w:val="005D4399"/>
    <w:rsid w:val="005D6E65"/>
    <w:rsid w:val="005E259B"/>
    <w:rsid w:val="005E3506"/>
    <w:rsid w:val="005E7C5C"/>
    <w:rsid w:val="005E7EB2"/>
    <w:rsid w:val="005F0B39"/>
    <w:rsid w:val="005F1E51"/>
    <w:rsid w:val="005F524C"/>
    <w:rsid w:val="005F65D1"/>
    <w:rsid w:val="006007A8"/>
    <w:rsid w:val="00600F3F"/>
    <w:rsid w:val="00602378"/>
    <w:rsid w:val="00605DEB"/>
    <w:rsid w:val="006061C8"/>
    <w:rsid w:val="00606E84"/>
    <w:rsid w:val="00611A13"/>
    <w:rsid w:val="00613429"/>
    <w:rsid w:val="00613D41"/>
    <w:rsid w:val="00614DF2"/>
    <w:rsid w:val="0061564E"/>
    <w:rsid w:val="00615AC0"/>
    <w:rsid w:val="00616293"/>
    <w:rsid w:val="0062357D"/>
    <w:rsid w:val="00623A74"/>
    <w:rsid w:val="00624245"/>
    <w:rsid w:val="00624796"/>
    <w:rsid w:val="00624BA8"/>
    <w:rsid w:val="00630813"/>
    <w:rsid w:val="00634C1D"/>
    <w:rsid w:val="00635291"/>
    <w:rsid w:val="00635A43"/>
    <w:rsid w:val="00635F17"/>
    <w:rsid w:val="00640FB8"/>
    <w:rsid w:val="0064182E"/>
    <w:rsid w:val="00642481"/>
    <w:rsid w:val="00644328"/>
    <w:rsid w:val="00652F4B"/>
    <w:rsid w:val="00655FFE"/>
    <w:rsid w:val="006569DE"/>
    <w:rsid w:val="00665F6E"/>
    <w:rsid w:val="00670462"/>
    <w:rsid w:val="0067061D"/>
    <w:rsid w:val="00670A7F"/>
    <w:rsid w:val="00670C9C"/>
    <w:rsid w:val="00673E7A"/>
    <w:rsid w:val="00674A72"/>
    <w:rsid w:val="00675057"/>
    <w:rsid w:val="00675CC0"/>
    <w:rsid w:val="006763C2"/>
    <w:rsid w:val="00677346"/>
    <w:rsid w:val="00683123"/>
    <w:rsid w:val="0068437B"/>
    <w:rsid w:val="0068637D"/>
    <w:rsid w:val="006879B5"/>
    <w:rsid w:val="006906EB"/>
    <w:rsid w:val="006916CF"/>
    <w:rsid w:val="00691ABC"/>
    <w:rsid w:val="00691C62"/>
    <w:rsid w:val="00691E89"/>
    <w:rsid w:val="00691F68"/>
    <w:rsid w:val="00692276"/>
    <w:rsid w:val="006A060C"/>
    <w:rsid w:val="006A344C"/>
    <w:rsid w:val="006A5A3A"/>
    <w:rsid w:val="006A62DB"/>
    <w:rsid w:val="006A7033"/>
    <w:rsid w:val="006A7738"/>
    <w:rsid w:val="006B1642"/>
    <w:rsid w:val="006B1C9B"/>
    <w:rsid w:val="006B238F"/>
    <w:rsid w:val="006B2925"/>
    <w:rsid w:val="006B350C"/>
    <w:rsid w:val="006B4F71"/>
    <w:rsid w:val="006B63A7"/>
    <w:rsid w:val="006B794A"/>
    <w:rsid w:val="006C1ABC"/>
    <w:rsid w:val="006C2B78"/>
    <w:rsid w:val="006C635B"/>
    <w:rsid w:val="006C6FF8"/>
    <w:rsid w:val="006C7A71"/>
    <w:rsid w:val="006D0501"/>
    <w:rsid w:val="006D3C5D"/>
    <w:rsid w:val="006D4018"/>
    <w:rsid w:val="006E05BE"/>
    <w:rsid w:val="006E1662"/>
    <w:rsid w:val="006E2CCA"/>
    <w:rsid w:val="006E4A7B"/>
    <w:rsid w:val="006E4D26"/>
    <w:rsid w:val="006E4FD4"/>
    <w:rsid w:val="006E5221"/>
    <w:rsid w:val="006E675C"/>
    <w:rsid w:val="006F5049"/>
    <w:rsid w:val="00700327"/>
    <w:rsid w:val="00700E47"/>
    <w:rsid w:val="00700FE8"/>
    <w:rsid w:val="00701DBF"/>
    <w:rsid w:val="00703309"/>
    <w:rsid w:val="00703D06"/>
    <w:rsid w:val="007041B5"/>
    <w:rsid w:val="0071055F"/>
    <w:rsid w:val="007125C4"/>
    <w:rsid w:val="00716413"/>
    <w:rsid w:val="00720E80"/>
    <w:rsid w:val="00721587"/>
    <w:rsid w:val="007231BC"/>
    <w:rsid w:val="00723CCA"/>
    <w:rsid w:val="00724EF4"/>
    <w:rsid w:val="00727936"/>
    <w:rsid w:val="007317A0"/>
    <w:rsid w:val="00733CBF"/>
    <w:rsid w:val="00735188"/>
    <w:rsid w:val="007402CA"/>
    <w:rsid w:val="00740AB3"/>
    <w:rsid w:val="00741EDC"/>
    <w:rsid w:val="00744B5E"/>
    <w:rsid w:val="00746396"/>
    <w:rsid w:val="00750C3E"/>
    <w:rsid w:val="007517A1"/>
    <w:rsid w:val="00751DF6"/>
    <w:rsid w:val="00752440"/>
    <w:rsid w:val="00752F7B"/>
    <w:rsid w:val="00756017"/>
    <w:rsid w:val="007575C1"/>
    <w:rsid w:val="00760CA4"/>
    <w:rsid w:val="00760E7F"/>
    <w:rsid w:val="00763BA1"/>
    <w:rsid w:val="00764AC5"/>
    <w:rsid w:val="00765034"/>
    <w:rsid w:val="00767BBB"/>
    <w:rsid w:val="007714C8"/>
    <w:rsid w:val="0077346B"/>
    <w:rsid w:val="00775435"/>
    <w:rsid w:val="00775D69"/>
    <w:rsid w:val="00776DCD"/>
    <w:rsid w:val="00777F15"/>
    <w:rsid w:val="00781F2C"/>
    <w:rsid w:val="00787779"/>
    <w:rsid w:val="00787D84"/>
    <w:rsid w:val="00791AB6"/>
    <w:rsid w:val="00791EB9"/>
    <w:rsid w:val="007929D4"/>
    <w:rsid w:val="00793F35"/>
    <w:rsid w:val="007959E8"/>
    <w:rsid w:val="0079617B"/>
    <w:rsid w:val="007A0CE4"/>
    <w:rsid w:val="007A267B"/>
    <w:rsid w:val="007A7CD6"/>
    <w:rsid w:val="007B01DB"/>
    <w:rsid w:val="007B0B37"/>
    <w:rsid w:val="007B147C"/>
    <w:rsid w:val="007B23B8"/>
    <w:rsid w:val="007B274B"/>
    <w:rsid w:val="007B53E5"/>
    <w:rsid w:val="007B6C04"/>
    <w:rsid w:val="007B7EBF"/>
    <w:rsid w:val="007C0031"/>
    <w:rsid w:val="007C288F"/>
    <w:rsid w:val="007C2AC8"/>
    <w:rsid w:val="007C5B4C"/>
    <w:rsid w:val="007C5E07"/>
    <w:rsid w:val="007C5F3E"/>
    <w:rsid w:val="007C730E"/>
    <w:rsid w:val="007D0E8A"/>
    <w:rsid w:val="007D3408"/>
    <w:rsid w:val="007D5A8C"/>
    <w:rsid w:val="007D690D"/>
    <w:rsid w:val="007D696D"/>
    <w:rsid w:val="007E42D2"/>
    <w:rsid w:val="007E676B"/>
    <w:rsid w:val="007F01BA"/>
    <w:rsid w:val="007F0602"/>
    <w:rsid w:val="007F1CF2"/>
    <w:rsid w:val="007F29CF"/>
    <w:rsid w:val="007F3E98"/>
    <w:rsid w:val="007F6FAC"/>
    <w:rsid w:val="0080305C"/>
    <w:rsid w:val="008045D3"/>
    <w:rsid w:val="0081046D"/>
    <w:rsid w:val="008111E4"/>
    <w:rsid w:val="00815A01"/>
    <w:rsid w:val="0081671B"/>
    <w:rsid w:val="00816EE7"/>
    <w:rsid w:val="0081775B"/>
    <w:rsid w:val="00820D36"/>
    <w:rsid w:val="008218E4"/>
    <w:rsid w:val="00821D38"/>
    <w:rsid w:val="008257A5"/>
    <w:rsid w:val="00827786"/>
    <w:rsid w:val="00833B73"/>
    <w:rsid w:val="00834099"/>
    <w:rsid w:val="0083631D"/>
    <w:rsid w:val="00840843"/>
    <w:rsid w:val="00842AED"/>
    <w:rsid w:val="00850EA4"/>
    <w:rsid w:val="0085304B"/>
    <w:rsid w:val="008538E8"/>
    <w:rsid w:val="008568C2"/>
    <w:rsid w:val="008619D8"/>
    <w:rsid w:val="008659F5"/>
    <w:rsid w:val="00866035"/>
    <w:rsid w:val="0086765D"/>
    <w:rsid w:val="00870302"/>
    <w:rsid w:val="0087044E"/>
    <w:rsid w:val="00870C11"/>
    <w:rsid w:val="00873468"/>
    <w:rsid w:val="0087354E"/>
    <w:rsid w:val="00873C96"/>
    <w:rsid w:val="00880AB1"/>
    <w:rsid w:val="008820EE"/>
    <w:rsid w:val="0088603E"/>
    <w:rsid w:val="008877CE"/>
    <w:rsid w:val="00887A24"/>
    <w:rsid w:val="00887D47"/>
    <w:rsid w:val="00891A6E"/>
    <w:rsid w:val="00891CDD"/>
    <w:rsid w:val="00891E59"/>
    <w:rsid w:val="00892992"/>
    <w:rsid w:val="00894195"/>
    <w:rsid w:val="00894C91"/>
    <w:rsid w:val="00896117"/>
    <w:rsid w:val="00897BC2"/>
    <w:rsid w:val="008A34CF"/>
    <w:rsid w:val="008A6C9F"/>
    <w:rsid w:val="008A6EAE"/>
    <w:rsid w:val="008A7FBE"/>
    <w:rsid w:val="008B1220"/>
    <w:rsid w:val="008B315A"/>
    <w:rsid w:val="008B567D"/>
    <w:rsid w:val="008B74B2"/>
    <w:rsid w:val="008C14BC"/>
    <w:rsid w:val="008C543E"/>
    <w:rsid w:val="008C6CD4"/>
    <w:rsid w:val="008D23B0"/>
    <w:rsid w:val="008D45B6"/>
    <w:rsid w:val="008D5500"/>
    <w:rsid w:val="008D66C0"/>
    <w:rsid w:val="008D7B54"/>
    <w:rsid w:val="008E110B"/>
    <w:rsid w:val="008E2B92"/>
    <w:rsid w:val="008E34FD"/>
    <w:rsid w:val="008E5DE8"/>
    <w:rsid w:val="008F0524"/>
    <w:rsid w:val="008F08FE"/>
    <w:rsid w:val="008F155E"/>
    <w:rsid w:val="008F19C1"/>
    <w:rsid w:val="008F1B34"/>
    <w:rsid w:val="00900C6D"/>
    <w:rsid w:val="0090215A"/>
    <w:rsid w:val="00902B5D"/>
    <w:rsid w:val="00903526"/>
    <w:rsid w:val="00904233"/>
    <w:rsid w:val="009051B9"/>
    <w:rsid w:val="00914AF3"/>
    <w:rsid w:val="00914F20"/>
    <w:rsid w:val="009157B1"/>
    <w:rsid w:val="00915DDA"/>
    <w:rsid w:val="009167E8"/>
    <w:rsid w:val="009171F1"/>
    <w:rsid w:val="00917372"/>
    <w:rsid w:val="0092044A"/>
    <w:rsid w:val="00920DC1"/>
    <w:rsid w:val="00921361"/>
    <w:rsid w:val="00922511"/>
    <w:rsid w:val="00922970"/>
    <w:rsid w:val="0092332C"/>
    <w:rsid w:val="00923BF5"/>
    <w:rsid w:val="00924543"/>
    <w:rsid w:val="009245AE"/>
    <w:rsid w:val="009262E2"/>
    <w:rsid w:val="00930C89"/>
    <w:rsid w:val="00932F4D"/>
    <w:rsid w:val="0093397E"/>
    <w:rsid w:val="009340E0"/>
    <w:rsid w:val="00935075"/>
    <w:rsid w:val="009351E8"/>
    <w:rsid w:val="0093552F"/>
    <w:rsid w:val="009369D7"/>
    <w:rsid w:val="00937E74"/>
    <w:rsid w:val="009407E1"/>
    <w:rsid w:val="009407E3"/>
    <w:rsid w:val="00940A5D"/>
    <w:rsid w:val="00940E1F"/>
    <w:rsid w:val="00942C5C"/>
    <w:rsid w:val="00945EA0"/>
    <w:rsid w:val="0095001E"/>
    <w:rsid w:val="00950417"/>
    <w:rsid w:val="0095091B"/>
    <w:rsid w:val="00950937"/>
    <w:rsid w:val="0095354D"/>
    <w:rsid w:val="00953B07"/>
    <w:rsid w:val="0095606D"/>
    <w:rsid w:val="009561A0"/>
    <w:rsid w:val="00957C3C"/>
    <w:rsid w:val="0096129C"/>
    <w:rsid w:val="00961D33"/>
    <w:rsid w:val="009626AB"/>
    <w:rsid w:val="009669FD"/>
    <w:rsid w:val="00967F11"/>
    <w:rsid w:val="00970B19"/>
    <w:rsid w:val="00971884"/>
    <w:rsid w:val="00972A65"/>
    <w:rsid w:val="009743F1"/>
    <w:rsid w:val="009748E2"/>
    <w:rsid w:val="00982B91"/>
    <w:rsid w:val="00983820"/>
    <w:rsid w:val="009845D1"/>
    <w:rsid w:val="00984FA4"/>
    <w:rsid w:val="00985F17"/>
    <w:rsid w:val="009910F2"/>
    <w:rsid w:val="00993D82"/>
    <w:rsid w:val="009945C3"/>
    <w:rsid w:val="00996E8B"/>
    <w:rsid w:val="009A16D6"/>
    <w:rsid w:val="009A2EAF"/>
    <w:rsid w:val="009A31AA"/>
    <w:rsid w:val="009A4562"/>
    <w:rsid w:val="009A4D45"/>
    <w:rsid w:val="009A71AC"/>
    <w:rsid w:val="009A7FEB"/>
    <w:rsid w:val="009B016D"/>
    <w:rsid w:val="009B0A4E"/>
    <w:rsid w:val="009B22A5"/>
    <w:rsid w:val="009B2F60"/>
    <w:rsid w:val="009B52D9"/>
    <w:rsid w:val="009C008E"/>
    <w:rsid w:val="009C27F4"/>
    <w:rsid w:val="009C6BE5"/>
    <w:rsid w:val="009C7FBE"/>
    <w:rsid w:val="009D05A0"/>
    <w:rsid w:val="009D0A85"/>
    <w:rsid w:val="009D1487"/>
    <w:rsid w:val="009D2416"/>
    <w:rsid w:val="009D41C3"/>
    <w:rsid w:val="009E0DC1"/>
    <w:rsid w:val="009E18B7"/>
    <w:rsid w:val="009E299D"/>
    <w:rsid w:val="009E4FA6"/>
    <w:rsid w:val="009E644E"/>
    <w:rsid w:val="009F030A"/>
    <w:rsid w:val="009F0563"/>
    <w:rsid w:val="009F310A"/>
    <w:rsid w:val="009F393E"/>
    <w:rsid w:val="009F3E0D"/>
    <w:rsid w:val="009F44C2"/>
    <w:rsid w:val="009F5287"/>
    <w:rsid w:val="009F7988"/>
    <w:rsid w:val="00A01E30"/>
    <w:rsid w:val="00A02658"/>
    <w:rsid w:val="00A06AB4"/>
    <w:rsid w:val="00A06ACA"/>
    <w:rsid w:val="00A06DED"/>
    <w:rsid w:val="00A07A6E"/>
    <w:rsid w:val="00A119F2"/>
    <w:rsid w:val="00A1255F"/>
    <w:rsid w:val="00A15738"/>
    <w:rsid w:val="00A16804"/>
    <w:rsid w:val="00A171F0"/>
    <w:rsid w:val="00A172F6"/>
    <w:rsid w:val="00A17575"/>
    <w:rsid w:val="00A17B9D"/>
    <w:rsid w:val="00A208B6"/>
    <w:rsid w:val="00A20FB5"/>
    <w:rsid w:val="00A22FC6"/>
    <w:rsid w:val="00A30D37"/>
    <w:rsid w:val="00A3341F"/>
    <w:rsid w:val="00A335A7"/>
    <w:rsid w:val="00A35228"/>
    <w:rsid w:val="00A370EC"/>
    <w:rsid w:val="00A376BD"/>
    <w:rsid w:val="00A379BB"/>
    <w:rsid w:val="00A405DD"/>
    <w:rsid w:val="00A407D1"/>
    <w:rsid w:val="00A43071"/>
    <w:rsid w:val="00A43785"/>
    <w:rsid w:val="00A44400"/>
    <w:rsid w:val="00A4650B"/>
    <w:rsid w:val="00A46B96"/>
    <w:rsid w:val="00A46CD4"/>
    <w:rsid w:val="00A47081"/>
    <w:rsid w:val="00A47953"/>
    <w:rsid w:val="00A53FAB"/>
    <w:rsid w:val="00A56B0D"/>
    <w:rsid w:val="00A56F48"/>
    <w:rsid w:val="00A573E9"/>
    <w:rsid w:val="00A57BCD"/>
    <w:rsid w:val="00A57CE6"/>
    <w:rsid w:val="00A6086E"/>
    <w:rsid w:val="00A647A9"/>
    <w:rsid w:val="00A65061"/>
    <w:rsid w:val="00A652D0"/>
    <w:rsid w:val="00A675B9"/>
    <w:rsid w:val="00A70043"/>
    <w:rsid w:val="00A71677"/>
    <w:rsid w:val="00A71E6D"/>
    <w:rsid w:val="00A74CF5"/>
    <w:rsid w:val="00A753D3"/>
    <w:rsid w:val="00A76424"/>
    <w:rsid w:val="00A7679D"/>
    <w:rsid w:val="00A767B6"/>
    <w:rsid w:val="00A76EDD"/>
    <w:rsid w:val="00A77EF6"/>
    <w:rsid w:val="00A8143C"/>
    <w:rsid w:val="00A82103"/>
    <w:rsid w:val="00A84ECE"/>
    <w:rsid w:val="00A871EA"/>
    <w:rsid w:val="00A8759C"/>
    <w:rsid w:val="00A9051C"/>
    <w:rsid w:val="00A90881"/>
    <w:rsid w:val="00A916E2"/>
    <w:rsid w:val="00A919F0"/>
    <w:rsid w:val="00A922A3"/>
    <w:rsid w:val="00A95664"/>
    <w:rsid w:val="00A96E37"/>
    <w:rsid w:val="00A96E8B"/>
    <w:rsid w:val="00A97B90"/>
    <w:rsid w:val="00AA2735"/>
    <w:rsid w:val="00AA2F82"/>
    <w:rsid w:val="00AA3ACC"/>
    <w:rsid w:val="00AA61AC"/>
    <w:rsid w:val="00AA716D"/>
    <w:rsid w:val="00AB1743"/>
    <w:rsid w:val="00AB4CE8"/>
    <w:rsid w:val="00AB62EC"/>
    <w:rsid w:val="00AC07F4"/>
    <w:rsid w:val="00AC0ECA"/>
    <w:rsid w:val="00AC2499"/>
    <w:rsid w:val="00AC2A5E"/>
    <w:rsid w:val="00AC4097"/>
    <w:rsid w:val="00AC5AAF"/>
    <w:rsid w:val="00AD1994"/>
    <w:rsid w:val="00AD6E44"/>
    <w:rsid w:val="00AD774E"/>
    <w:rsid w:val="00AE2C94"/>
    <w:rsid w:val="00AE39C1"/>
    <w:rsid w:val="00AE4566"/>
    <w:rsid w:val="00AE4CF3"/>
    <w:rsid w:val="00AE559D"/>
    <w:rsid w:val="00AE55A6"/>
    <w:rsid w:val="00AF1650"/>
    <w:rsid w:val="00AF35D6"/>
    <w:rsid w:val="00AF62B9"/>
    <w:rsid w:val="00AF6B2D"/>
    <w:rsid w:val="00B02C35"/>
    <w:rsid w:val="00B03B87"/>
    <w:rsid w:val="00B056D9"/>
    <w:rsid w:val="00B057AC"/>
    <w:rsid w:val="00B0714E"/>
    <w:rsid w:val="00B10BCB"/>
    <w:rsid w:val="00B13583"/>
    <w:rsid w:val="00B13CF9"/>
    <w:rsid w:val="00B13D86"/>
    <w:rsid w:val="00B1414E"/>
    <w:rsid w:val="00B20D17"/>
    <w:rsid w:val="00B2107E"/>
    <w:rsid w:val="00B2168D"/>
    <w:rsid w:val="00B219F0"/>
    <w:rsid w:val="00B21EF5"/>
    <w:rsid w:val="00B22FAD"/>
    <w:rsid w:val="00B23720"/>
    <w:rsid w:val="00B24BB2"/>
    <w:rsid w:val="00B255DD"/>
    <w:rsid w:val="00B26FEF"/>
    <w:rsid w:val="00B27C3E"/>
    <w:rsid w:val="00B27C6E"/>
    <w:rsid w:val="00B30270"/>
    <w:rsid w:val="00B31CCE"/>
    <w:rsid w:val="00B326E3"/>
    <w:rsid w:val="00B33538"/>
    <w:rsid w:val="00B33C20"/>
    <w:rsid w:val="00B3746C"/>
    <w:rsid w:val="00B37D3A"/>
    <w:rsid w:val="00B41327"/>
    <w:rsid w:val="00B4169B"/>
    <w:rsid w:val="00B42153"/>
    <w:rsid w:val="00B42DF9"/>
    <w:rsid w:val="00B45AEB"/>
    <w:rsid w:val="00B46A09"/>
    <w:rsid w:val="00B55E47"/>
    <w:rsid w:val="00B56037"/>
    <w:rsid w:val="00B562F0"/>
    <w:rsid w:val="00B6043D"/>
    <w:rsid w:val="00B60D88"/>
    <w:rsid w:val="00B61B55"/>
    <w:rsid w:val="00B622BE"/>
    <w:rsid w:val="00B637D8"/>
    <w:rsid w:val="00B6596D"/>
    <w:rsid w:val="00B728F1"/>
    <w:rsid w:val="00B73473"/>
    <w:rsid w:val="00B738D5"/>
    <w:rsid w:val="00B74D75"/>
    <w:rsid w:val="00B750A9"/>
    <w:rsid w:val="00B76104"/>
    <w:rsid w:val="00B80EF1"/>
    <w:rsid w:val="00B80EFF"/>
    <w:rsid w:val="00B844E6"/>
    <w:rsid w:val="00B85AF5"/>
    <w:rsid w:val="00B85EF0"/>
    <w:rsid w:val="00B90035"/>
    <w:rsid w:val="00B91E3F"/>
    <w:rsid w:val="00B91FC3"/>
    <w:rsid w:val="00B933B4"/>
    <w:rsid w:val="00BA0071"/>
    <w:rsid w:val="00BA24D7"/>
    <w:rsid w:val="00BA3DF8"/>
    <w:rsid w:val="00BA4BD6"/>
    <w:rsid w:val="00BA6B6C"/>
    <w:rsid w:val="00BB0B16"/>
    <w:rsid w:val="00BB43CA"/>
    <w:rsid w:val="00BC1570"/>
    <w:rsid w:val="00BC4916"/>
    <w:rsid w:val="00BC52C5"/>
    <w:rsid w:val="00BC586A"/>
    <w:rsid w:val="00BC5BED"/>
    <w:rsid w:val="00BC7762"/>
    <w:rsid w:val="00BD1900"/>
    <w:rsid w:val="00BD1F95"/>
    <w:rsid w:val="00BD1FAD"/>
    <w:rsid w:val="00BD3FDB"/>
    <w:rsid w:val="00BD427A"/>
    <w:rsid w:val="00BE0A19"/>
    <w:rsid w:val="00BE0DA3"/>
    <w:rsid w:val="00BE2263"/>
    <w:rsid w:val="00BE3139"/>
    <w:rsid w:val="00BE3E8D"/>
    <w:rsid w:val="00BE4BC5"/>
    <w:rsid w:val="00BE526F"/>
    <w:rsid w:val="00BE6B4C"/>
    <w:rsid w:val="00BE747D"/>
    <w:rsid w:val="00BE7797"/>
    <w:rsid w:val="00BE782D"/>
    <w:rsid w:val="00BE7C41"/>
    <w:rsid w:val="00BF0992"/>
    <w:rsid w:val="00BF359A"/>
    <w:rsid w:val="00BF46C3"/>
    <w:rsid w:val="00C02DCF"/>
    <w:rsid w:val="00C03EA4"/>
    <w:rsid w:val="00C05368"/>
    <w:rsid w:val="00C053D9"/>
    <w:rsid w:val="00C05D97"/>
    <w:rsid w:val="00C060A8"/>
    <w:rsid w:val="00C10903"/>
    <w:rsid w:val="00C11A6E"/>
    <w:rsid w:val="00C12D1A"/>
    <w:rsid w:val="00C136AE"/>
    <w:rsid w:val="00C15A01"/>
    <w:rsid w:val="00C17544"/>
    <w:rsid w:val="00C21345"/>
    <w:rsid w:val="00C21BD8"/>
    <w:rsid w:val="00C21DB2"/>
    <w:rsid w:val="00C2733C"/>
    <w:rsid w:val="00C30E57"/>
    <w:rsid w:val="00C3244E"/>
    <w:rsid w:val="00C355F5"/>
    <w:rsid w:val="00C35BD1"/>
    <w:rsid w:val="00C35E4D"/>
    <w:rsid w:val="00C3605F"/>
    <w:rsid w:val="00C36092"/>
    <w:rsid w:val="00C361E6"/>
    <w:rsid w:val="00C4046B"/>
    <w:rsid w:val="00C415FB"/>
    <w:rsid w:val="00C4385E"/>
    <w:rsid w:val="00C4492B"/>
    <w:rsid w:val="00C44DEE"/>
    <w:rsid w:val="00C45E79"/>
    <w:rsid w:val="00C46241"/>
    <w:rsid w:val="00C46CD0"/>
    <w:rsid w:val="00C475BF"/>
    <w:rsid w:val="00C528D1"/>
    <w:rsid w:val="00C52F53"/>
    <w:rsid w:val="00C55236"/>
    <w:rsid w:val="00C56087"/>
    <w:rsid w:val="00C568C5"/>
    <w:rsid w:val="00C57E52"/>
    <w:rsid w:val="00C60162"/>
    <w:rsid w:val="00C73177"/>
    <w:rsid w:val="00C740BC"/>
    <w:rsid w:val="00C74502"/>
    <w:rsid w:val="00C745EE"/>
    <w:rsid w:val="00C75ECA"/>
    <w:rsid w:val="00C77A6C"/>
    <w:rsid w:val="00C80D86"/>
    <w:rsid w:val="00C82089"/>
    <w:rsid w:val="00C82B07"/>
    <w:rsid w:val="00C8674D"/>
    <w:rsid w:val="00C8729F"/>
    <w:rsid w:val="00C90AA1"/>
    <w:rsid w:val="00C90F1C"/>
    <w:rsid w:val="00C91244"/>
    <w:rsid w:val="00C913A9"/>
    <w:rsid w:val="00C92E47"/>
    <w:rsid w:val="00C96124"/>
    <w:rsid w:val="00C96CB3"/>
    <w:rsid w:val="00C96DB7"/>
    <w:rsid w:val="00C9714A"/>
    <w:rsid w:val="00C974C6"/>
    <w:rsid w:val="00CA0455"/>
    <w:rsid w:val="00CA0979"/>
    <w:rsid w:val="00CA2EC9"/>
    <w:rsid w:val="00CA3FF1"/>
    <w:rsid w:val="00CA4C39"/>
    <w:rsid w:val="00CA502C"/>
    <w:rsid w:val="00CA5C50"/>
    <w:rsid w:val="00CA7400"/>
    <w:rsid w:val="00CA7EC1"/>
    <w:rsid w:val="00CB0328"/>
    <w:rsid w:val="00CB0379"/>
    <w:rsid w:val="00CB2278"/>
    <w:rsid w:val="00CB4BCE"/>
    <w:rsid w:val="00CB754B"/>
    <w:rsid w:val="00CB7F26"/>
    <w:rsid w:val="00CC03F2"/>
    <w:rsid w:val="00CC2ED1"/>
    <w:rsid w:val="00CC318E"/>
    <w:rsid w:val="00CC3687"/>
    <w:rsid w:val="00CC39DF"/>
    <w:rsid w:val="00CC3B7D"/>
    <w:rsid w:val="00CC4D58"/>
    <w:rsid w:val="00CC637D"/>
    <w:rsid w:val="00CC6DCD"/>
    <w:rsid w:val="00CD0B56"/>
    <w:rsid w:val="00CD104A"/>
    <w:rsid w:val="00CD2692"/>
    <w:rsid w:val="00CD28E2"/>
    <w:rsid w:val="00CD38BE"/>
    <w:rsid w:val="00CD3B78"/>
    <w:rsid w:val="00CD3ED0"/>
    <w:rsid w:val="00CD65AD"/>
    <w:rsid w:val="00CD75C2"/>
    <w:rsid w:val="00CE3180"/>
    <w:rsid w:val="00CE3A48"/>
    <w:rsid w:val="00CE3A6F"/>
    <w:rsid w:val="00CE5182"/>
    <w:rsid w:val="00CE51BB"/>
    <w:rsid w:val="00CE5FC1"/>
    <w:rsid w:val="00CE7B40"/>
    <w:rsid w:val="00CF02C9"/>
    <w:rsid w:val="00CF06F8"/>
    <w:rsid w:val="00CF11D1"/>
    <w:rsid w:val="00CF2583"/>
    <w:rsid w:val="00CF421C"/>
    <w:rsid w:val="00CF5E5C"/>
    <w:rsid w:val="00CF6DB0"/>
    <w:rsid w:val="00D051CC"/>
    <w:rsid w:val="00D0669C"/>
    <w:rsid w:val="00D07B02"/>
    <w:rsid w:val="00D07D28"/>
    <w:rsid w:val="00D07F66"/>
    <w:rsid w:val="00D1043A"/>
    <w:rsid w:val="00D205C9"/>
    <w:rsid w:val="00D21DE5"/>
    <w:rsid w:val="00D22F30"/>
    <w:rsid w:val="00D23CE6"/>
    <w:rsid w:val="00D23FA5"/>
    <w:rsid w:val="00D3019A"/>
    <w:rsid w:val="00D30D8A"/>
    <w:rsid w:val="00D30EE2"/>
    <w:rsid w:val="00D31567"/>
    <w:rsid w:val="00D32F72"/>
    <w:rsid w:val="00D33663"/>
    <w:rsid w:val="00D33822"/>
    <w:rsid w:val="00D34606"/>
    <w:rsid w:val="00D3680D"/>
    <w:rsid w:val="00D37EE1"/>
    <w:rsid w:val="00D40446"/>
    <w:rsid w:val="00D43B93"/>
    <w:rsid w:val="00D45F42"/>
    <w:rsid w:val="00D50CC9"/>
    <w:rsid w:val="00D51F9E"/>
    <w:rsid w:val="00D525EA"/>
    <w:rsid w:val="00D534A3"/>
    <w:rsid w:val="00D5354D"/>
    <w:rsid w:val="00D5392E"/>
    <w:rsid w:val="00D54920"/>
    <w:rsid w:val="00D56E24"/>
    <w:rsid w:val="00D60ACE"/>
    <w:rsid w:val="00D652AF"/>
    <w:rsid w:val="00D65A79"/>
    <w:rsid w:val="00D65D9F"/>
    <w:rsid w:val="00D6745C"/>
    <w:rsid w:val="00D7013A"/>
    <w:rsid w:val="00D71987"/>
    <w:rsid w:val="00D72684"/>
    <w:rsid w:val="00D72A23"/>
    <w:rsid w:val="00D73045"/>
    <w:rsid w:val="00D74385"/>
    <w:rsid w:val="00D75947"/>
    <w:rsid w:val="00D7633F"/>
    <w:rsid w:val="00D804D4"/>
    <w:rsid w:val="00D80926"/>
    <w:rsid w:val="00D815FF"/>
    <w:rsid w:val="00D84225"/>
    <w:rsid w:val="00D940E9"/>
    <w:rsid w:val="00DA1041"/>
    <w:rsid w:val="00DA1913"/>
    <w:rsid w:val="00DA28B1"/>
    <w:rsid w:val="00DA6C19"/>
    <w:rsid w:val="00DA6F28"/>
    <w:rsid w:val="00DA78FA"/>
    <w:rsid w:val="00DB32D4"/>
    <w:rsid w:val="00DB3E1E"/>
    <w:rsid w:val="00DB5015"/>
    <w:rsid w:val="00DB5D6F"/>
    <w:rsid w:val="00DB64BF"/>
    <w:rsid w:val="00DC0364"/>
    <w:rsid w:val="00DC055E"/>
    <w:rsid w:val="00DC06ED"/>
    <w:rsid w:val="00DC21F3"/>
    <w:rsid w:val="00DC2A88"/>
    <w:rsid w:val="00DC5B5B"/>
    <w:rsid w:val="00DC6AC3"/>
    <w:rsid w:val="00DC7B2E"/>
    <w:rsid w:val="00DC7E78"/>
    <w:rsid w:val="00DD0A7A"/>
    <w:rsid w:val="00DD1BAC"/>
    <w:rsid w:val="00DD2722"/>
    <w:rsid w:val="00DD400A"/>
    <w:rsid w:val="00DD51FA"/>
    <w:rsid w:val="00DD7452"/>
    <w:rsid w:val="00DE01D2"/>
    <w:rsid w:val="00DE1CFE"/>
    <w:rsid w:val="00DE3011"/>
    <w:rsid w:val="00DE3841"/>
    <w:rsid w:val="00DE3A79"/>
    <w:rsid w:val="00DE4331"/>
    <w:rsid w:val="00DE46E6"/>
    <w:rsid w:val="00DF0033"/>
    <w:rsid w:val="00DF1C74"/>
    <w:rsid w:val="00DF34CA"/>
    <w:rsid w:val="00DF3F6A"/>
    <w:rsid w:val="00DF56A3"/>
    <w:rsid w:val="00DF6E3C"/>
    <w:rsid w:val="00DF704C"/>
    <w:rsid w:val="00E007CB"/>
    <w:rsid w:val="00E0113C"/>
    <w:rsid w:val="00E02BB1"/>
    <w:rsid w:val="00E053D0"/>
    <w:rsid w:val="00E05960"/>
    <w:rsid w:val="00E05CBB"/>
    <w:rsid w:val="00E05D80"/>
    <w:rsid w:val="00E103D7"/>
    <w:rsid w:val="00E10A5C"/>
    <w:rsid w:val="00E13570"/>
    <w:rsid w:val="00E13C58"/>
    <w:rsid w:val="00E1459D"/>
    <w:rsid w:val="00E14B7A"/>
    <w:rsid w:val="00E1532B"/>
    <w:rsid w:val="00E154FF"/>
    <w:rsid w:val="00E20CEB"/>
    <w:rsid w:val="00E21647"/>
    <w:rsid w:val="00E2242F"/>
    <w:rsid w:val="00E3275D"/>
    <w:rsid w:val="00E3299F"/>
    <w:rsid w:val="00E367DB"/>
    <w:rsid w:val="00E37C61"/>
    <w:rsid w:val="00E40250"/>
    <w:rsid w:val="00E425A4"/>
    <w:rsid w:val="00E43CB6"/>
    <w:rsid w:val="00E512CA"/>
    <w:rsid w:val="00E54236"/>
    <w:rsid w:val="00E54D6C"/>
    <w:rsid w:val="00E576DB"/>
    <w:rsid w:val="00E61291"/>
    <w:rsid w:val="00E615A4"/>
    <w:rsid w:val="00E62D08"/>
    <w:rsid w:val="00E64213"/>
    <w:rsid w:val="00E6512A"/>
    <w:rsid w:val="00E73082"/>
    <w:rsid w:val="00E731EE"/>
    <w:rsid w:val="00E74089"/>
    <w:rsid w:val="00E742A0"/>
    <w:rsid w:val="00E76848"/>
    <w:rsid w:val="00E77840"/>
    <w:rsid w:val="00E8188B"/>
    <w:rsid w:val="00E8342D"/>
    <w:rsid w:val="00E84A2E"/>
    <w:rsid w:val="00E850A7"/>
    <w:rsid w:val="00E8755E"/>
    <w:rsid w:val="00E918F0"/>
    <w:rsid w:val="00E936B7"/>
    <w:rsid w:val="00E946F1"/>
    <w:rsid w:val="00E97230"/>
    <w:rsid w:val="00E97EB9"/>
    <w:rsid w:val="00EA03A8"/>
    <w:rsid w:val="00EA2BAC"/>
    <w:rsid w:val="00EA3434"/>
    <w:rsid w:val="00EA4590"/>
    <w:rsid w:val="00EA7002"/>
    <w:rsid w:val="00EA7722"/>
    <w:rsid w:val="00EB074F"/>
    <w:rsid w:val="00EB0BD3"/>
    <w:rsid w:val="00EB1553"/>
    <w:rsid w:val="00EB3F98"/>
    <w:rsid w:val="00EB4870"/>
    <w:rsid w:val="00EB605B"/>
    <w:rsid w:val="00EB6C8A"/>
    <w:rsid w:val="00EB7190"/>
    <w:rsid w:val="00EC05DC"/>
    <w:rsid w:val="00EC1044"/>
    <w:rsid w:val="00EC34A9"/>
    <w:rsid w:val="00EC5162"/>
    <w:rsid w:val="00EC7D02"/>
    <w:rsid w:val="00EC7DD2"/>
    <w:rsid w:val="00ED40FF"/>
    <w:rsid w:val="00ED6381"/>
    <w:rsid w:val="00ED6AAC"/>
    <w:rsid w:val="00ED7F15"/>
    <w:rsid w:val="00EE12BB"/>
    <w:rsid w:val="00EE346C"/>
    <w:rsid w:val="00EE680D"/>
    <w:rsid w:val="00EE756F"/>
    <w:rsid w:val="00EF186F"/>
    <w:rsid w:val="00EF3A61"/>
    <w:rsid w:val="00EF3A70"/>
    <w:rsid w:val="00EF52F1"/>
    <w:rsid w:val="00F005AC"/>
    <w:rsid w:val="00F01CB3"/>
    <w:rsid w:val="00F033EC"/>
    <w:rsid w:val="00F03BB8"/>
    <w:rsid w:val="00F05049"/>
    <w:rsid w:val="00F05ACA"/>
    <w:rsid w:val="00F105B2"/>
    <w:rsid w:val="00F10B78"/>
    <w:rsid w:val="00F117B3"/>
    <w:rsid w:val="00F11E32"/>
    <w:rsid w:val="00F12E19"/>
    <w:rsid w:val="00F13D8F"/>
    <w:rsid w:val="00F16D1F"/>
    <w:rsid w:val="00F20796"/>
    <w:rsid w:val="00F21376"/>
    <w:rsid w:val="00F23A55"/>
    <w:rsid w:val="00F25E0C"/>
    <w:rsid w:val="00F3029B"/>
    <w:rsid w:val="00F331ED"/>
    <w:rsid w:val="00F33D91"/>
    <w:rsid w:val="00F33F00"/>
    <w:rsid w:val="00F348B0"/>
    <w:rsid w:val="00F34EA3"/>
    <w:rsid w:val="00F3567F"/>
    <w:rsid w:val="00F35E02"/>
    <w:rsid w:val="00F367F5"/>
    <w:rsid w:val="00F36881"/>
    <w:rsid w:val="00F40C93"/>
    <w:rsid w:val="00F45862"/>
    <w:rsid w:val="00F467D0"/>
    <w:rsid w:val="00F5043A"/>
    <w:rsid w:val="00F50CDF"/>
    <w:rsid w:val="00F517E7"/>
    <w:rsid w:val="00F53388"/>
    <w:rsid w:val="00F53C43"/>
    <w:rsid w:val="00F557B0"/>
    <w:rsid w:val="00F57B45"/>
    <w:rsid w:val="00F61650"/>
    <w:rsid w:val="00F62801"/>
    <w:rsid w:val="00F67180"/>
    <w:rsid w:val="00F679A3"/>
    <w:rsid w:val="00F73F2B"/>
    <w:rsid w:val="00F75ED3"/>
    <w:rsid w:val="00F80747"/>
    <w:rsid w:val="00F81620"/>
    <w:rsid w:val="00F869BD"/>
    <w:rsid w:val="00F87406"/>
    <w:rsid w:val="00F90614"/>
    <w:rsid w:val="00F92B0A"/>
    <w:rsid w:val="00F93A3F"/>
    <w:rsid w:val="00F93BA6"/>
    <w:rsid w:val="00F94B95"/>
    <w:rsid w:val="00F96497"/>
    <w:rsid w:val="00F96F80"/>
    <w:rsid w:val="00FA044B"/>
    <w:rsid w:val="00FA37B8"/>
    <w:rsid w:val="00FA37D9"/>
    <w:rsid w:val="00FA3843"/>
    <w:rsid w:val="00FA5B2D"/>
    <w:rsid w:val="00FB0EF5"/>
    <w:rsid w:val="00FB1D84"/>
    <w:rsid w:val="00FB21FD"/>
    <w:rsid w:val="00FB4589"/>
    <w:rsid w:val="00FB6A89"/>
    <w:rsid w:val="00FC025D"/>
    <w:rsid w:val="00FC0905"/>
    <w:rsid w:val="00FC1C98"/>
    <w:rsid w:val="00FC2455"/>
    <w:rsid w:val="00FC24FD"/>
    <w:rsid w:val="00FC4FB4"/>
    <w:rsid w:val="00FC5152"/>
    <w:rsid w:val="00FC520C"/>
    <w:rsid w:val="00FD0807"/>
    <w:rsid w:val="00FD2231"/>
    <w:rsid w:val="00FD4433"/>
    <w:rsid w:val="00FD4ECA"/>
    <w:rsid w:val="00FD5ADD"/>
    <w:rsid w:val="00FD7E69"/>
    <w:rsid w:val="00FE0B05"/>
    <w:rsid w:val="00FE0FDB"/>
    <w:rsid w:val="00FE1466"/>
    <w:rsid w:val="00FE19E5"/>
    <w:rsid w:val="00FE2170"/>
    <w:rsid w:val="00FE2181"/>
    <w:rsid w:val="00FE2F65"/>
    <w:rsid w:val="00FE56F3"/>
    <w:rsid w:val="00FE5D1D"/>
    <w:rsid w:val="00FE6B9F"/>
    <w:rsid w:val="00FF2B20"/>
    <w:rsid w:val="00FF2D70"/>
    <w:rsid w:val="00FF40AC"/>
    <w:rsid w:val="00FF5456"/>
    <w:rsid w:val="00FF7472"/>
    <w:rsid w:val="01046724"/>
    <w:rsid w:val="010F3B4F"/>
    <w:rsid w:val="012D2EC5"/>
    <w:rsid w:val="014A4B87"/>
    <w:rsid w:val="015A0376"/>
    <w:rsid w:val="015C0A67"/>
    <w:rsid w:val="015C230F"/>
    <w:rsid w:val="01635C49"/>
    <w:rsid w:val="017D14E1"/>
    <w:rsid w:val="018207C5"/>
    <w:rsid w:val="01866661"/>
    <w:rsid w:val="018F6336"/>
    <w:rsid w:val="01A8004E"/>
    <w:rsid w:val="01AE3368"/>
    <w:rsid w:val="01C11008"/>
    <w:rsid w:val="01CA216C"/>
    <w:rsid w:val="01F134FE"/>
    <w:rsid w:val="01FE1C4E"/>
    <w:rsid w:val="020411DA"/>
    <w:rsid w:val="020715C0"/>
    <w:rsid w:val="02281ACB"/>
    <w:rsid w:val="022C0F8C"/>
    <w:rsid w:val="023E5953"/>
    <w:rsid w:val="023F2E8C"/>
    <w:rsid w:val="02683BFC"/>
    <w:rsid w:val="026E518C"/>
    <w:rsid w:val="028E4F47"/>
    <w:rsid w:val="02A35ADD"/>
    <w:rsid w:val="02A53259"/>
    <w:rsid w:val="02CA601E"/>
    <w:rsid w:val="02D07463"/>
    <w:rsid w:val="02D84A36"/>
    <w:rsid w:val="02F93F6A"/>
    <w:rsid w:val="03013312"/>
    <w:rsid w:val="03215DBB"/>
    <w:rsid w:val="032B3EDA"/>
    <w:rsid w:val="032B76C9"/>
    <w:rsid w:val="03492D42"/>
    <w:rsid w:val="034E4CD5"/>
    <w:rsid w:val="03655802"/>
    <w:rsid w:val="0374238F"/>
    <w:rsid w:val="037F54DC"/>
    <w:rsid w:val="038D5656"/>
    <w:rsid w:val="03960557"/>
    <w:rsid w:val="03A33348"/>
    <w:rsid w:val="03BB4DD3"/>
    <w:rsid w:val="03BD27FE"/>
    <w:rsid w:val="03E033DF"/>
    <w:rsid w:val="03F340CA"/>
    <w:rsid w:val="04066C4F"/>
    <w:rsid w:val="04071455"/>
    <w:rsid w:val="04094FA1"/>
    <w:rsid w:val="041F5699"/>
    <w:rsid w:val="04267B2D"/>
    <w:rsid w:val="042934D9"/>
    <w:rsid w:val="042E209F"/>
    <w:rsid w:val="043751C1"/>
    <w:rsid w:val="044D1A30"/>
    <w:rsid w:val="04713603"/>
    <w:rsid w:val="047343F5"/>
    <w:rsid w:val="048C54B6"/>
    <w:rsid w:val="04966335"/>
    <w:rsid w:val="049931E9"/>
    <w:rsid w:val="04AD01DD"/>
    <w:rsid w:val="04DF6E7A"/>
    <w:rsid w:val="04F512AE"/>
    <w:rsid w:val="04F55CCC"/>
    <w:rsid w:val="0506170D"/>
    <w:rsid w:val="0513049B"/>
    <w:rsid w:val="05357951"/>
    <w:rsid w:val="053611B5"/>
    <w:rsid w:val="0564417B"/>
    <w:rsid w:val="057A575A"/>
    <w:rsid w:val="05904AE5"/>
    <w:rsid w:val="05B51136"/>
    <w:rsid w:val="05E13666"/>
    <w:rsid w:val="05E4299A"/>
    <w:rsid w:val="05EC445F"/>
    <w:rsid w:val="05EE2D3C"/>
    <w:rsid w:val="06043DDA"/>
    <w:rsid w:val="06051ED1"/>
    <w:rsid w:val="06076ACF"/>
    <w:rsid w:val="061816F7"/>
    <w:rsid w:val="061D3517"/>
    <w:rsid w:val="063956A6"/>
    <w:rsid w:val="063B6DE4"/>
    <w:rsid w:val="063F1604"/>
    <w:rsid w:val="064908D3"/>
    <w:rsid w:val="06562220"/>
    <w:rsid w:val="067C1487"/>
    <w:rsid w:val="068943A3"/>
    <w:rsid w:val="068C1203"/>
    <w:rsid w:val="068E1EF4"/>
    <w:rsid w:val="06AF3EC0"/>
    <w:rsid w:val="06C113BF"/>
    <w:rsid w:val="06C54CB0"/>
    <w:rsid w:val="06D5473A"/>
    <w:rsid w:val="06D82C35"/>
    <w:rsid w:val="06D849E3"/>
    <w:rsid w:val="06DE46EF"/>
    <w:rsid w:val="070B6B66"/>
    <w:rsid w:val="072E6CF9"/>
    <w:rsid w:val="07313D72"/>
    <w:rsid w:val="073A5D06"/>
    <w:rsid w:val="074327A4"/>
    <w:rsid w:val="07620132"/>
    <w:rsid w:val="0763320F"/>
    <w:rsid w:val="076B2344"/>
    <w:rsid w:val="07701841"/>
    <w:rsid w:val="07921036"/>
    <w:rsid w:val="079C1EB4"/>
    <w:rsid w:val="07A174CB"/>
    <w:rsid w:val="07A25101"/>
    <w:rsid w:val="07A46044"/>
    <w:rsid w:val="07A75779"/>
    <w:rsid w:val="07D478A0"/>
    <w:rsid w:val="07E03283"/>
    <w:rsid w:val="07E36F2F"/>
    <w:rsid w:val="07E6158B"/>
    <w:rsid w:val="081B70E2"/>
    <w:rsid w:val="081D1247"/>
    <w:rsid w:val="081D144E"/>
    <w:rsid w:val="08324EFA"/>
    <w:rsid w:val="08397703"/>
    <w:rsid w:val="084D31AF"/>
    <w:rsid w:val="084E325B"/>
    <w:rsid w:val="08586570"/>
    <w:rsid w:val="08664722"/>
    <w:rsid w:val="087210F5"/>
    <w:rsid w:val="08892065"/>
    <w:rsid w:val="088B26A9"/>
    <w:rsid w:val="08A15F80"/>
    <w:rsid w:val="08A50F20"/>
    <w:rsid w:val="08BA0844"/>
    <w:rsid w:val="08BB1B88"/>
    <w:rsid w:val="08C30259"/>
    <w:rsid w:val="08D631A4"/>
    <w:rsid w:val="08EC29C7"/>
    <w:rsid w:val="09105882"/>
    <w:rsid w:val="0916003C"/>
    <w:rsid w:val="095443A2"/>
    <w:rsid w:val="0958411A"/>
    <w:rsid w:val="096C41C6"/>
    <w:rsid w:val="098B21E0"/>
    <w:rsid w:val="0995305F"/>
    <w:rsid w:val="09A426F2"/>
    <w:rsid w:val="09A45050"/>
    <w:rsid w:val="09B434E5"/>
    <w:rsid w:val="09B64B81"/>
    <w:rsid w:val="09C545F1"/>
    <w:rsid w:val="09FE0C04"/>
    <w:rsid w:val="0A085BCC"/>
    <w:rsid w:val="0A401C14"/>
    <w:rsid w:val="0A613935"/>
    <w:rsid w:val="0A7B1588"/>
    <w:rsid w:val="0A8248C7"/>
    <w:rsid w:val="0A880F73"/>
    <w:rsid w:val="0A8D2745"/>
    <w:rsid w:val="0ABB456B"/>
    <w:rsid w:val="0AD25578"/>
    <w:rsid w:val="0AD329BB"/>
    <w:rsid w:val="0AE6579C"/>
    <w:rsid w:val="0AEA2F37"/>
    <w:rsid w:val="0B323947"/>
    <w:rsid w:val="0B37192D"/>
    <w:rsid w:val="0B3C3E6E"/>
    <w:rsid w:val="0B4765DB"/>
    <w:rsid w:val="0B5E54D2"/>
    <w:rsid w:val="0B953549"/>
    <w:rsid w:val="0B971310"/>
    <w:rsid w:val="0B9974CC"/>
    <w:rsid w:val="0B9C4D21"/>
    <w:rsid w:val="0BA143F0"/>
    <w:rsid w:val="0BBF6493"/>
    <w:rsid w:val="0BC27D09"/>
    <w:rsid w:val="0BD37B23"/>
    <w:rsid w:val="0BE03407"/>
    <w:rsid w:val="0BE24A03"/>
    <w:rsid w:val="0BE6560D"/>
    <w:rsid w:val="0BF94486"/>
    <w:rsid w:val="0BF95F1B"/>
    <w:rsid w:val="0C0661EF"/>
    <w:rsid w:val="0C3E344F"/>
    <w:rsid w:val="0C4B5C57"/>
    <w:rsid w:val="0C5E57F4"/>
    <w:rsid w:val="0C6C13F0"/>
    <w:rsid w:val="0C923886"/>
    <w:rsid w:val="0C931AD8"/>
    <w:rsid w:val="0C961E3C"/>
    <w:rsid w:val="0CB101B0"/>
    <w:rsid w:val="0CB82A8F"/>
    <w:rsid w:val="0CCA51A5"/>
    <w:rsid w:val="0CD93263"/>
    <w:rsid w:val="0CE80310"/>
    <w:rsid w:val="0CFB40D6"/>
    <w:rsid w:val="0D033E3A"/>
    <w:rsid w:val="0D2941EA"/>
    <w:rsid w:val="0D2F2A34"/>
    <w:rsid w:val="0D4234FE"/>
    <w:rsid w:val="0D813AA8"/>
    <w:rsid w:val="0D8460E5"/>
    <w:rsid w:val="0D927FE1"/>
    <w:rsid w:val="0D990F99"/>
    <w:rsid w:val="0DBA12E6"/>
    <w:rsid w:val="0DCE517E"/>
    <w:rsid w:val="0DCF202E"/>
    <w:rsid w:val="0DFE5677"/>
    <w:rsid w:val="0E1924B1"/>
    <w:rsid w:val="0E1A69D0"/>
    <w:rsid w:val="0E232996"/>
    <w:rsid w:val="0E372618"/>
    <w:rsid w:val="0E5F16BF"/>
    <w:rsid w:val="0E6D7980"/>
    <w:rsid w:val="0E845210"/>
    <w:rsid w:val="0EA612FA"/>
    <w:rsid w:val="0EDD23BC"/>
    <w:rsid w:val="0EF632FA"/>
    <w:rsid w:val="0EFD148A"/>
    <w:rsid w:val="0F0517F9"/>
    <w:rsid w:val="0F087E2F"/>
    <w:rsid w:val="0F20786F"/>
    <w:rsid w:val="0F2E1D22"/>
    <w:rsid w:val="0F313033"/>
    <w:rsid w:val="0F3B6457"/>
    <w:rsid w:val="0F4E5291"/>
    <w:rsid w:val="0F5258A1"/>
    <w:rsid w:val="0F5C5D99"/>
    <w:rsid w:val="0F622E98"/>
    <w:rsid w:val="0F733B7E"/>
    <w:rsid w:val="0F73556C"/>
    <w:rsid w:val="0F7D25CB"/>
    <w:rsid w:val="0F802C2A"/>
    <w:rsid w:val="0F9931A8"/>
    <w:rsid w:val="0FA52275"/>
    <w:rsid w:val="0FAB538A"/>
    <w:rsid w:val="0FB277A7"/>
    <w:rsid w:val="0FCF0106"/>
    <w:rsid w:val="0FF71687"/>
    <w:rsid w:val="0FFC7994"/>
    <w:rsid w:val="10073A12"/>
    <w:rsid w:val="10534F50"/>
    <w:rsid w:val="10567490"/>
    <w:rsid w:val="10756549"/>
    <w:rsid w:val="10924860"/>
    <w:rsid w:val="10993885"/>
    <w:rsid w:val="109E4EEF"/>
    <w:rsid w:val="10B25489"/>
    <w:rsid w:val="10B77D5E"/>
    <w:rsid w:val="10C948EA"/>
    <w:rsid w:val="10D770AE"/>
    <w:rsid w:val="10FB5E9E"/>
    <w:rsid w:val="110F29EB"/>
    <w:rsid w:val="11154DB3"/>
    <w:rsid w:val="11186236"/>
    <w:rsid w:val="111C620F"/>
    <w:rsid w:val="1125578F"/>
    <w:rsid w:val="1142151C"/>
    <w:rsid w:val="114952B5"/>
    <w:rsid w:val="11584547"/>
    <w:rsid w:val="116457F1"/>
    <w:rsid w:val="116752E1"/>
    <w:rsid w:val="118C11EC"/>
    <w:rsid w:val="11936FD1"/>
    <w:rsid w:val="11B74C56"/>
    <w:rsid w:val="11B75974"/>
    <w:rsid w:val="11B803E3"/>
    <w:rsid w:val="11E313AE"/>
    <w:rsid w:val="12110957"/>
    <w:rsid w:val="1211524D"/>
    <w:rsid w:val="121F5337"/>
    <w:rsid w:val="122431D2"/>
    <w:rsid w:val="122D2087"/>
    <w:rsid w:val="123316D9"/>
    <w:rsid w:val="12370282"/>
    <w:rsid w:val="124F0F2C"/>
    <w:rsid w:val="126161D4"/>
    <w:rsid w:val="12700445"/>
    <w:rsid w:val="129850BF"/>
    <w:rsid w:val="12985786"/>
    <w:rsid w:val="12B97DBE"/>
    <w:rsid w:val="12C922EB"/>
    <w:rsid w:val="12F92FCD"/>
    <w:rsid w:val="12FE3A23"/>
    <w:rsid w:val="131436AB"/>
    <w:rsid w:val="13163595"/>
    <w:rsid w:val="132C67E2"/>
    <w:rsid w:val="13347A20"/>
    <w:rsid w:val="134A3213"/>
    <w:rsid w:val="13520775"/>
    <w:rsid w:val="135544CB"/>
    <w:rsid w:val="13AD07AC"/>
    <w:rsid w:val="13EB21F9"/>
    <w:rsid w:val="13F50E66"/>
    <w:rsid w:val="14032BEA"/>
    <w:rsid w:val="140A5109"/>
    <w:rsid w:val="140E6FD4"/>
    <w:rsid w:val="14257D29"/>
    <w:rsid w:val="14261A0B"/>
    <w:rsid w:val="142838C5"/>
    <w:rsid w:val="1439119C"/>
    <w:rsid w:val="145A4EB4"/>
    <w:rsid w:val="145E7FA1"/>
    <w:rsid w:val="14627B07"/>
    <w:rsid w:val="14753F33"/>
    <w:rsid w:val="14777FBE"/>
    <w:rsid w:val="147F0940"/>
    <w:rsid w:val="14902DA1"/>
    <w:rsid w:val="1495642C"/>
    <w:rsid w:val="14A91FC6"/>
    <w:rsid w:val="14B44CE1"/>
    <w:rsid w:val="14D503D0"/>
    <w:rsid w:val="14DE562A"/>
    <w:rsid w:val="14E51C16"/>
    <w:rsid w:val="14EA3B12"/>
    <w:rsid w:val="14F41582"/>
    <w:rsid w:val="14F564FC"/>
    <w:rsid w:val="14FB7CE6"/>
    <w:rsid w:val="15436065"/>
    <w:rsid w:val="15995C85"/>
    <w:rsid w:val="159A56D1"/>
    <w:rsid w:val="15A379E8"/>
    <w:rsid w:val="15AF3F51"/>
    <w:rsid w:val="15BB5BFB"/>
    <w:rsid w:val="15DD32CF"/>
    <w:rsid w:val="15DF7B3C"/>
    <w:rsid w:val="15E772F2"/>
    <w:rsid w:val="15ED499E"/>
    <w:rsid w:val="161C56E2"/>
    <w:rsid w:val="16377998"/>
    <w:rsid w:val="164A105E"/>
    <w:rsid w:val="164C2546"/>
    <w:rsid w:val="16621811"/>
    <w:rsid w:val="16812655"/>
    <w:rsid w:val="16B54C35"/>
    <w:rsid w:val="16B9038D"/>
    <w:rsid w:val="16D50880"/>
    <w:rsid w:val="16EE5052"/>
    <w:rsid w:val="16F77107"/>
    <w:rsid w:val="16F9460E"/>
    <w:rsid w:val="17010E58"/>
    <w:rsid w:val="17051824"/>
    <w:rsid w:val="17605A59"/>
    <w:rsid w:val="17732C32"/>
    <w:rsid w:val="17776CCA"/>
    <w:rsid w:val="178A1D29"/>
    <w:rsid w:val="17B52555"/>
    <w:rsid w:val="17BE5E36"/>
    <w:rsid w:val="17D67188"/>
    <w:rsid w:val="17E70F2A"/>
    <w:rsid w:val="17EE05A8"/>
    <w:rsid w:val="18273A1C"/>
    <w:rsid w:val="18274990"/>
    <w:rsid w:val="18346094"/>
    <w:rsid w:val="185B5474"/>
    <w:rsid w:val="187327BD"/>
    <w:rsid w:val="187A77EE"/>
    <w:rsid w:val="187D2346"/>
    <w:rsid w:val="18825DCA"/>
    <w:rsid w:val="189A41EE"/>
    <w:rsid w:val="189F60DC"/>
    <w:rsid w:val="18A11F85"/>
    <w:rsid w:val="18B76B4E"/>
    <w:rsid w:val="18BB236B"/>
    <w:rsid w:val="18C10D8C"/>
    <w:rsid w:val="18C354F3"/>
    <w:rsid w:val="18C64FE3"/>
    <w:rsid w:val="18D034C0"/>
    <w:rsid w:val="18D33856"/>
    <w:rsid w:val="18E401B4"/>
    <w:rsid w:val="18EB67F8"/>
    <w:rsid w:val="19033B41"/>
    <w:rsid w:val="19233AB4"/>
    <w:rsid w:val="194A0DEE"/>
    <w:rsid w:val="19515F00"/>
    <w:rsid w:val="19720CC7"/>
    <w:rsid w:val="19731ACA"/>
    <w:rsid w:val="198C7FDB"/>
    <w:rsid w:val="19940F13"/>
    <w:rsid w:val="199B6470"/>
    <w:rsid w:val="19A05834"/>
    <w:rsid w:val="19AD62C4"/>
    <w:rsid w:val="19B80DD0"/>
    <w:rsid w:val="19B9490E"/>
    <w:rsid w:val="19C1474B"/>
    <w:rsid w:val="19C16617"/>
    <w:rsid w:val="19CF77AC"/>
    <w:rsid w:val="19D607CF"/>
    <w:rsid w:val="19D9534F"/>
    <w:rsid w:val="19E60A93"/>
    <w:rsid w:val="19EC4058"/>
    <w:rsid w:val="1A192F67"/>
    <w:rsid w:val="1A1D50D7"/>
    <w:rsid w:val="1A2A2353"/>
    <w:rsid w:val="1A3D2403"/>
    <w:rsid w:val="1A55661F"/>
    <w:rsid w:val="1A5959E3"/>
    <w:rsid w:val="1A5D3725"/>
    <w:rsid w:val="1A662FB1"/>
    <w:rsid w:val="1A7016AA"/>
    <w:rsid w:val="1A7C77D9"/>
    <w:rsid w:val="1A8B2040"/>
    <w:rsid w:val="1AA66E7A"/>
    <w:rsid w:val="1AA80E44"/>
    <w:rsid w:val="1AA95B4C"/>
    <w:rsid w:val="1AC02F34"/>
    <w:rsid w:val="1AE407D4"/>
    <w:rsid w:val="1AE87493"/>
    <w:rsid w:val="1B09565B"/>
    <w:rsid w:val="1B157ABC"/>
    <w:rsid w:val="1B2304CB"/>
    <w:rsid w:val="1B350F77"/>
    <w:rsid w:val="1B3568BA"/>
    <w:rsid w:val="1B450C16"/>
    <w:rsid w:val="1B48781E"/>
    <w:rsid w:val="1B534286"/>
    <w:rsid w:val="1B5779D5"/>
    <w:rsid w:val="1B5A05FF"/>
    <w:rsid w:val="1B5F2B71"/>
    <w:rsid w:val="1B5F5BC3"/>
    <w:rsid w:val="1B6457BA"/>
    <w:rsid w:val="1B662708"/>
    <w:rsid w:val="1B742AD4"/>
    <w:rsid w:val="1B7435BE"/>
    <w:rsid w:val="1B886580"/>
    <w:rsid w:val="1B974A15"/>
    <w:rsid w:val="1BA27980"/>
    <w:rsid w:val="1BA553F0"/>
    <w:rsid w:val="1BA70DE8"/>
    <w:rsid w:val="1BA91E9F"/>
    <w:rsid w:val="1BAA0BEC"/>
    <w:rsid w:val="1BAC3858"/>
    <w:rsid w:val="1BB235FD"/>
    <w:rsid w:val="1BB6538A"/>
    <w:rsid w:val="1BD45C69"/>
    <w:rsid w:val="1BDE2644"/>
    <w:rsid w:val="1C056887"/>
    <w:rsid w:val="1C0A0F65"/>
    <w:rsid w:val="1C4A7CD9"/>
    <w:rsid w:val="1C534A25"/>
    <w:rsid w:val="1C5C2829"/>
    <w:rsid w:val="1C5F0C09"/>
    <w:rsid w:val="1C6110A8"/>
    <w:rsid w:val="1C6136F5"/>
    <w:rsid w:val="1C67088B"/>
    <w:rsid w:val="1C6963B1"/>
    <w:rsid w:val="1C6C3E02"/>
    <w:rsid w:val="1C6C3F05"/>
    <w:rsid w:val="1C6C40F3"/>
    <w:rsid w:val="1C803656"/>
    <w:rsid w:val="1C8036FB"/>
    <w:rsid w:val="1C904157"/>
    <w:rsid w:val="1C940F54"/>
    <w:rsid w:val="1CAE64BA"/>
    <w:rsid w:val="1CCC7816"/>
    <w:rsid w:val="1CE2791E"/>
    <w:rsid w:val="1CE3453F"/>
    <w:rsid w:val="1CF7783C"/>
    <w:rsid w:val="1CF850F8"/>
    <w:rsid w:val="1D047E88"/>
    <w:rsid w:val="1D0C4EF2"/>
    <w:rsid w:val="1D2B14A4"/>
    <w:rsid w:val="1D2D14EE"/>
    <w:rsid w:val="1D2D3883"/>
    <w:rsid w:val="1D523EBC"/>
    <w:rsid w:val="1D5864FD"/>
    <w:rsid w:val="1D7262CF"/>
    <w:rsid w:val="1D7B7EAB"/>
    <w:rsid w:val="1DA833DE"/>
    <w:rsid w:val="1DAB47A7"/>
    <w:rsid w:val="1DAC507B"/>
    <w:rsid w:val="1DB77EC3"/>
    <w:rsid w:val="1DC04F9F"/>
    <w:rsid w:val="1DEB181E"/>
    <w:rsid w:val="1E0E75D4"/>
    <w:rsid w:val="1E1A3531"/>
    <w:rsid w:val="1E3D18A3"/>
    <w:rsid w:val="1E4002A6"/>
    <w:rsid w:val="1E4055E5"/>
    <w:rsid w:val="1E4C75DC"/>
    <w:rsid w:val="1E71154D"/>
    <w:rsid w:val="1E7F257C"/>
    <w:rsid w:val="1E914041"/>
    <w:rsid w:val="1E930A45"/>
    <w:rsid w:val="1EAC1126"/>
    <w:rsid w:val="1EAC679B"/>
    <w:rsid w:val="1EAD5731"/>
    <w:rsid w:val="1EC0236C"/>
    <w:rsid w:val="1ECF0652"/>
    <w:rsid w:val="1EDD4E34"/>
    <w:rsid w:val="1EE75CB3"/>
    <w:rsid w:val="1EED3903"/>
    <w:rsid w:val="1EFA7794"/>
    <w:rsid w:val="1F0B5B77"/>
    <w:rsid w:val="1F1C0141"/>
    <w:rsid w:val="1F3F0D5D"/>
    <w:rsid w:val="1F652BCD"/>
    <w:rsid w:val="1F6B2440"/>
    <w:rsid w:val="1F707A57"/>
    <w:rsid w:val="1F746F81"/>
    <w:rsid w:val="1F787F4B"/>
    <w:rsid w:val="1F8452B0"/>
    <w:rsid w:val="1F96177A"/>
    <w:rsid w:val="1F9B395F"/>
    <w:rsid w:val="1FA013B8"/>
    <w:rsid w:val="1FBC0EEE"/>
    <w:rsid w:val="1FCB7383"/>
    <w:rsid w:val="1FD46237"/>
    <w:rsid w:val="1FD9384E"/>
    <w:rsid w:val="1FED2B80"/>
    <w:rsid w:val="1FFB37C4"/>
    <w:rsid w:val="20032679"/>
    <w:rsid w:val="20354072"/>
    <w:rsid w:val="203B62B7"/>
    <w:rsid w:val="203C38FA"/>
    <w:rsid w:val="20452C91"/>
    <w:rsid w:val="20487A22"/>
    <w:rsid w:val="204B2662"/>
    <w:rsid w:val="205E0EA8"/>
    <w:rsid w:val="206316B5"/>
    <w:rsid w:val="207B2B57"/>
    <w:rsid w:val="208539D6"/>
    <w:rsid w:val="209F0895"/>
    <w:rsid w:val="20AA2037"/>
    <w:rsid w:val="20D12777"/>
    <w:rsid w:val="20D22B9B"/>
    <w:rsid w:val="20DA0DBE"/>
    <w:rsid w:val="20FD531A"/>
    <w:rsid w:val="210B1554"/>
    <w:rsid w:val="21135088"/>
    <w:rsid w:val="21156B39"/>
    <w:rsid w:val="21635684"/>
    <w:rsid w:val="216900D7"/>
    <w:rsid w:val="21782E02"/>
    <w:rsid w:val="21880846"/>
    <w:rsid w:val="21AF72FD"/>
    <w:rsid w:val="21C45B13"/>
    <w:rsid w:val="21C66054"/>
    <w:rsid w:val="21CC5BCB"/>
    <w:rsid w:val="21E06736"/>
    <w:rsid w:val="21E36C06"/>
    <w:rsid w:val="21FD34F6"/>
    <w:rsid w:val="220162EC"/>
    <w:rsid w:val="220472DB"/>
    <w:rsid w:val="22254C4D"/>
    <w:rsid w:val="223E7944"/>
    <w:rsid w:val="22576682"/>
    <w:rsid w:val="22582656"/>
    <w:rsid w:val="225D1039"/>
    <w:rsid w:val="22605614"/>
    <w:rsid w:val="226A4799"/>
    <w:rsid w:val="22970399"/>
    <w:rsid w:val="22B24A96"/>
    <w:rsid w:val="22B660C8"/>
    <w:rsid w:val="22FE594F"/>
    <w:rsid w:val="230B5CEC"/>
    <w:rsid w:val="232474D6"/>
    <w:rsid w:val="232A11FC"/>
    <w:rsid w:val="232D22B0"/>
    <w:rsid w:val="232D3F23"/>
    <w:rsid w:val="2332351B"/>
    <w:rsid w:val="233510EB"/>
    <w:rsid w:val="2338088B"/>
    <w:rsid w:val="233D2450"/>
    <w:rsid w:val="23430C50"/>
    <w:rsid w:val="235002CB"/>
    <w:rsid w:val="23505A2B"/>
    <w:rsid w:val="235C0A1E"/>
    <w:rsid w:val="2368614C"/>
    <w:rsid w:val="238A38FD"/>
    <w:rsid w:val="23906722"/>
    <w:rsid w:val="23964150"/>
    <w:rsid w:val="23A06920"/>
    <w:rsid w:val="23CE7442"/>
    <w:rsid w:val="23D06D16"/>
    <w:rsid w:val="23DD452A"/>
    <w:rsid w:val="23F20755"/>
    <w:rsid w:val="23F8159E"/>
    <w:rsid w:val="23FC5D5D"/>
    <w:rsid w:val="24004303"/>
    <w:rsid w:val="2403533D"/>
    <w:rsid w:val="24101808"/>
    <w:rsid w:val="24145536"/>
    <w:rsid w:val="241767A2"/>
    <w:rsid w:val="2423582F"/>
    <w:rsid w:val="24264393"/>
    <w:rsid w:val="24265FB9"/>
    <w:rsid w:val="24416CE3"/>
    <w:rsid w:val="244E3994"/>
    <w:rsid w:val="2460453E"/>
    <w:rsid w:val="24713D8A"/>
    <w:rsid w:val="247955FF"/>
    <w:rsid w:val="247C577A"/>
    <w:rsid w:val="247E3093"/>
    <w:rsid w:val="247F5174"/>
    <w:rsid w:val="24822706"/>
    <w:rsid w:val="24981C1B"/>
    <w:rsid w:val="249B5576"/>
    <w:rsid w:val="24AD2296"/>
    <w:rsid w:val="24DA64B5"/>
    <w:rsid w:val="250E3F9A"/>
    <w:rsid w:val="2522399C"/>
    <w:rsid w:val="252B6B5B"/>
    <w:rsid w:val="25317C88"/>
    <w:rsid w:val="25333A00"/>
    <w:rsid w:val="25357778"/>
    <w:rsid w:val="254327E0"/>
    <w:rsid w:val="256A384A"/>
    <w:rsid w:val="257829F7"/>
    <w:rsid w:val="258C7EDA"/>
    <w:rsid w:val="25AC55EF"/>
    <w:rsid w:val="25C076DC"/>
    <w:rsid w:val="25DD52F2"/>
    <w:rsid w:val="261D245F"/>
    <w:rsid w:val="26270381"/>
    <w:rsid w:val="262B471E"/>
    <w:rsid w:val="262F1EEF"/>
    <w:rsid w:val="264650B1"/>
    <w:rsid w:val="26543C2E"/>
    <w:rsid w:val="26604556"/>
    <w:rsid w:val="26630315"/>
    <w:rsid w:val="26953D9E"/>
    <w:rsid w:val="26B266E2"/>
    <w:rsid w:val="26CF22BE"/>
    <w:rsid w:val="26D42403"/>
    <w:rsid w:val="26D468DF"/>
    <w:rsid w:val="26DE72B5"/>
    <w:rsid w:val="26EF621A"/>
    <w:rsid w:val="27061801"/>
    <w:rsid w:val="270846C4"/>
    <w:rsid w:val="270B43EA"/>
    <w:rsid w:val="270F5DA7"/>
    <w:rsid w:val="271632FA"/>
    <w:rsid w:val="27421CD9"/>
    <w:rsid w:val="274261F5"/>
    <w:rsid w:val="27440760"/>
    <w:rsid w:val="274836A8"/>
    <w:rsid w:val="274C2C9A"/>
    <w:rsid w:val="276E6E06"/>
    <w:rsid w:val="27840543"/>
    <w:rsid w:val="2786250D"/>
    <w:rsid w:val="2793048E"/>
    <w:rsid w:val="27A21BA5"/>
    <w:rsid w:val="27A75FE0"/>
    <w:rsid w:val="27AC3F6A"/>
    <w:rsid w:val="27B23302"/>
    <w:rsid w:val="27BA21B7"/>
    <w:rsid w:val="27C43035"/>
    <w:rsid w:val="27C75DAF"/>
    <w:rsid w:val="27C900F3"/>
    <w:rsid w:val="27CE5C62"/>
    <w:rsid w:val="27D012B3"/>
    <w:rsid w:val="27DC36B5"/>
    <w:rsid w:val="27E05A24"/>
    <w:rsid w:val="27E106FE"/>
    <w:rsid w:val="27E70979"/>
    <w:rsid w:val="27E92A9C"/>
    <w:rsid w:val="28173165"/>
    <w:rsid w:val="281E47ED"/>
    <w:rsid w:val="28216FD2"/>
    <w:rsid w:val="2830013E"/>
    <w:rsid w:val="284C2B12"/>
    <w:rsid w:val="287C746C"/>
    <w:rsid w:val="288325A9"/>
    <w:rsid w:val="288C0DA8"/>
    <w:rsid w:val="28AD1946"/>
    <w:rsid w:val="28B27007"/>
    <w:rsid w:val="28B60BD0"/>
    <w:rsid w:val="28C130D1"/>
    <w:rsid w:val="28EA3406"/>
    <w:rsid w:val="28EF38E5"/>
    <w:rsid w:val="29006482"/>
    <w:rsid w:val="290336EA"/>
    <w:rsid w:val="290C02AF"/>
    <w:rsid w:val="292656AF"/>
    <w:rsid w:val="29425C46"/>
    <w:rsid w:val="294D5D55"/>
    <w:rsid w:val="29597F12"/>
    <w:rsid w:val="296E3259"/>
    <w:rsid w:val="29741B40"/>
    <w:rsid w:val="297D4D3B"/>
    <w:rsid w:val="29915199"/>
    <w:rsid w:val="29BC7BB3"/>
    <w:rsid w:val="29BE36B4"/>
    <w:rsid w:val="29C4731D"/>
    <w:rsid w:val="29D97536"/>
    <w:rsid w:val="29F23E8A"/>
    <w:rsid w:val="2A10072A"/>
    <w:rsid w:val="2A3323A7"/>
    <w:rsid w:val="2A336250"/>
    <w:rsid w:val="2A375D41"/>
    <w:rsid w:val="2A436327"/>
    <w:rsid w:val="2A470BC4"/>
    <w:rsid w:val="2A546C19"/>
    <w:rsid w:val="2A624569"/>
    <w:rsid w:val="2A682B5C"/>
    <w:rsid w:val="2A6C52BE"/>
    <w:rsid w:val="2A77438F"/>
    <w:rsid w:val="2A95784F"/>
    <w:rsid w:val="2A9B6C10"/>
    <w:rsid w:val="2AC07B49"/>
    <w:rsid w:val="2AC463B4"/>
    <w:rsid w:val="2AD76BDC"/>
    <w:rsid w:val="2ADF3CE2"/>
    <w:rsid w:val="2AE0599B"/>
    <w:rsid w:val="2AE13EFE"/>
    <w:rsid w:val="2B364C3B"/>
    <w:rsid w:val="2B3E0F1E"/>
    <w:rsid w:val="2B4D2282"/>
    <w:rsid w:val="2B5B4633"/>
    <w:rsid w:val="2B63714B"/>
    <w:rsid w:val="2B651FA4"/>
    <w:rsid w:val="2B7900FB"/>
    <w:rsid w:val="2B853484"/>
    <w:rsid w:val="2B862C9E"/>
    <w:rsid w:val="2B9952EB"/>
    <w:rsid w:val="2BA7274F"/>
    <w:rsid w:val="2BB55721"/>
    <w:rsid w:val="2BD4634C"/>
    <w:rsid w:val="2BDA4BD6"/>
    <w:rsid w:val="2C170833"/>
    <w:rsid w:val="2C204E94"/>
    <w:rsid w:val="2C2737F0"/>
    <w:rsid w:val="2C296585"/>
    <w:rsid w:val="2C3649BE"/>
    <w:rsid w:val="2C3C5F50"/>
    <w:rsid w:val="2C4617FF"/>
    <w:rsid w:val="2C4F5E7E"/>
    <w:rsid w:val="2C544F4B"/>
    <w:rsid w:val="2C574478"/>
    <w:rsid w:val="2C6A3874"/>
    <w:rsid w:val="2C952E57"/>
    <w:rsid w:val="2C9810A7"/>
    <w:rsid w:val="2CAE0B17"/>
    <w:rsid w:val="2CB203AC"/>
    <w:rsid w:val="2CEA239D"/>
    <w:rsid w:val="2CED21B3"/>
    <w:rsid w:val="2D0C6072"/>
    <w:rsid w:val="2D0D0FDB"/>
    <w:rsid w:val="2D134D45"/>
    <w:rsid w:val="2D1C121E"/>
    <w:rsid w:val="2D2219EF"/>
    <w:rsid w:val="2D27747B"/>
    <w:rsid w:val="2D2F5925"/>
    <w:rsid w:val="2D343226"/>
    <w:rsid w:val="2D376058"/>
    <w:rsid w:val="2D3D4DD6"/>
    <w:rsid w:val="2D3F54E0"/>
    <w:rsid w:val="2D4010AF"/>
    <w:rsid w:val="2D434BC4"/>
    <w:rsid w:val="2D4C133D"/>
    <w:rsid w:val="2D6C3F53"/>
    <w:rsid w:val="2D994590"/>
    <w:rsid w:val="2D9D59EE"/>
    <w:rsid w:val="2DA134D1"/>
    <w:rsid w:val="2DA17AFE"/>
    <w:rsid w:val="2DA51213"/>
    <w:rsid w:val="2DBA2F11"/>
    <w:rsid w:val="2DD90EBD"/>
    <w:rsid w:val="2DE735DA"/>
    <w:rsid w:val="2DEA4459"/>
    <w:rsid w:val="2DEA48C3"/>
    <w:rsid w:val="2DF66D0E"/>
    <w:rsid w:val="2DF67CC1"/>
    <w:rsid w:val="2E02284B"/>
    <w:rsid w:val="2E132621"/>
    <w:rsid w:val="2E1B7662"/>
    <w:rsid w:val="2E1E5F27"/>
    <w:rsid w:val="2E2D383B"/>
    <w:rsid w:val="2E5418F8"/>
    <w:rsid w:val="2E635E79"/>
    <w:rsid w:val="2E8E6ACF"/>
    <w:rsid w:val="2EA51E87"/>
    <w:rsid w:val="2EB82F6E"/>
    <w:rsid w:val="2EBB5F72"/>
    <w:rsid w:val="2EBC27AA"/>
    <w:rsid w:val="2ED527B3"/>
    <w:rsid w:val="2ED718A0"/>
    <w:rsid w:val="2F3A280F"/>
    <w:rsid w:val="2F3A781F"/>
    <w:rsid w:val="2F3C1A2D"/>
    <w:rsid w:val="2F4A2787"/>
    <w:rsid w:val="2F522C18"/>
    <w:rsid w:val="2F5279CC"/>
    <w:rsid w:val="2F6B4286"/>
    <w:rsid w:val="2F782477"/>
    <w:rsid w:val="2F8337D6"/>
    <w:rsid w:val="2F884699"/>
    <w:rsid w:val="2F990904"/>
    <w:rsid w:val="2FA572A9"/>
    <w:rsid w:val="2FA84FEB"/>
    <w:rsid w:val="2FB56E77"/>
    <w:rsid w:val="2FEB7044"/>
    <w:rsid w:val="2FF14450"/>
    <w:rsid w:val="2FFB51B0"/>
    <w:rsid w:val="30052BF7"/>
    <w:rsid w:val="30423A77"/>
    <w:rsid w:val="30493B8F"/>
    <w:rsid w:val="3050190A"/>
    <w:rsid w:val="30543732"/>
    <w:rsid w:val="305C2C5A"/>
    <w:rsid w:val="30683D24"/>
    <w:rsid w:val="30716517"/>
    <w:rsid w:val="30724C45"/>
    <w:rsid w:val="307A5F46"/>
    <w:rsid w:val="308F23A0"/>
    <w:rsid w:val="30963C22"/>
    <w:rsid w:val="30B64A61"/>
    <w:rsid w:val="30CB0F91"/>
    <w:rsid w:val="30D53BBD"/>
    <w:rsid w:val="30EE7B24"/>
    <w:rsid w:val="30F75AD5"/>
    <w:rsid w:val="31221663"/>
    <w:rsid w:val="312C4ED8"/>
    <w:rsid w:val="312E0459"/>
    <w:rsid w:val="313205A1"/>
    <w:rsid w:val="313D44E3"/>
    <w:rsid w:val="315E1E05"/>
    <w:rsid w:val="318252F5"/>
    <w:rsid w:val="3190076F"/>
    <w:rsid w:val="31C76297"/>
    <w:rsid w:val="31CE0B2E"/>
    <w:rsid w:val="31DF196B"/>
    <w:rsid w:val="322F6D90"/>
    <w:rsid w:val="323A4870"/>
    <w:rsid w:val="323E59E8"/>
    <w:rsid w:val="324D017F"/>
    <w:rsid w:val="325029B8"/>
    <w:rsid w:val="32517AFD"/>
    <w:rsid w:val="32520100"/>
    <w:rsid w:val="32612242"/>
    <w:rsid w:val="32761481"/>
    <w:rsid w:val="328E4F76"/>
    <w:rsid w:val="32A63A63"/>
    <w:rsid w:val="32AD5A91"/>
    <w:rsid w:val="32B141B6"/>
    <w:rsid w:val="32EA22E0"/>
    <w:rsid w:val="32F43AC2"/>
    <w:rsid w:val="330737B2"/>
    <w:rsid w:val="330C5ADD"/>
    <w:rsid w:val="331704BD"/>
    <w:rsid w:val="331C66A1"/>
    <w:rsid w:val="33245CBD"/>
    <w:rsid w:val="3328091C"/>
    <w:rsid w:val="332A19CE"/>
    <w:rsid w:val="333077D1"/>
    <w:rsid w:val="33312C0E"/>
    <w:rsid w:val="33487687"/>
    <w:rsid w:val="3352708F"/>
    <w:rsid w:val="33562B12"/>
    <w:rsid w:val="335C4122"/>
    <w:rsid w:val="3369209D"/>
    <w:rsid w:val="33743B62"/>
    <w:rsid w:val="337641DE"/>
    <w:rsid w:val="33825082"/>
    <w:rsid w:val="338843BB"/>
    <w:rsid w:val="33BF2A46"/>
    <w:rsid w:val="33C64164"/>
    <w:rsid w:val="33EC43DC"/>
    <w:rsid w:val="33FB6A7E"/>
    <w:rsid w:val="340622E0"/>
    <w:rsid w:val="343B01DB"/>
    <w:rsid w:val="344113FF"/>
    <w:rsid w:val="347E456C"/>
    <w:rsid w:val="348A3DF0"/>
    <w:rsid w:val="34912EBC"/>
    <w:rsid w:val="34943D90"/>
    <w:rsid w:val="34B63D06"/>
    <w:rsid w:val="34BF5315"/>
    <w:rsid w:val="34CC5F5E"/>
    <w:rsid w:val="34D00573"/>
    <w:rsid w:val="34D0311F"/>
    <w:rsid w:val="34D93DE9"/>
    <w:rsid w:val="34EE1769"/>
    <w:rsid w:val="34FC4643"/>
    <w:rsid w:val="350D449E"/>
    <w:rsid w:val="35245113"/>
    <w:rsid w:val="35303AB8"/>
    <w:rsid w:val="355A2697"/>
    <w:rsid w:val="35893583"/>
    <w:rsid w:val="358B5193"/>
    <w:rsid w:val="35A344CB"/>
    <w:rsid w:val="35E816E7"/>
    <w:rsid w:val="36140CE4"/>
    <w:rsid w:val="36162CAE"/>
    <w:rsid w:val="3624379C"/>
    <w:rsid w:val="362A0508"/>
    <w:rsid w:val="36406334"/>
    <w:rsid w:val="364643F7"/>
    <w:rsid w:val="36471B76"/>
    <w:rsid w:val="365F4CCA"/>
    <w:rsid w:val="3660217B"/>
    <w:rsid w:val="366A55B9"/>
    <w:rsid w:val="3684359A"/>
    <w:rsid w:val="36957375"/>
    <w:rsid w:val="36990952"/>
    <w:rsid w:val="36A50685"/>
    <w:rsid w:val="36AF48BF"/>
    <w:rsid w:val="36B94F52"/>
    <w:rsid w:val="36C779A2"/>
    <w:rsid w:val="36CD4364"/>
    <w:rsid w:val="36D11DD1"/>
    <w:rsid w:val="36D60263"/>
    <w:rsid w:val="36DC1193"/>
    <w:rsid w:val="36E3011C"/>
    <w:rsid w:val="36EE67C0"/>
    <w:rsid w:val="36FB3646"/>
    <w:rsid w:val="370F4869"/>
    <w:rsid w:val="37110D4C"/>
    <w:rsid w:val="371A26C2"/>
    <w:rsid w:val="371D3114"/>
    <w:rsid w:val="37362EDC"/>
    <w:rsid w:val="373805A7"/>
    <w:rsid w:val="375555A5"/>
    <w:rsid w:val="37656A08"/>
    <w:rsid w:val="37751C56"/>
    <w:rsid w:val="37767AE9"/>
    <w:rsid w:val="37824373"/>
    <w:rsid w:val="37A10C9D"/>
    <w:rsid w:val="37B76AFF"/>
    <w:rsid w:val="37BD234A"/>
    <w:rsid w:val="37D3302F"/>
    <w:rsid w:val="37F70E62"/>
    <w:rsid w:val="380642E2"/>
    <w:rsid w:val="380A6843"/>
    <w:rsid w:val="380C3679"/>
    <w:rsid w:val="380D0661"/>
    <w:rsid w:val="38195C80"/>
    <w:rsid w:val="382F3840"/>
    <w:rsid w:val="382F44FB"/>
    <w:rsid w:val="38375CB1"/>
    <w:rsid w:val="3843357E"/>
    <w:rsid w:val="385C2CB7"/>
    <w:rsid w:val="38804D57"/>
    <w:rsid w:val="389761C4"/>
    <w:rsid w:val="3899398B"/>
    <w:rsid w:val="38997BC6"/>
    <w:rsid w:val="38D40BFF"/>
    <w:rsid w:val="38E16F84"/>
    <w:rsid w:val="38E43E04"/>
    <w:rsid w:val="38F60F50"/>
    <w:rsid w:val="38FE5C7B"/>
    <w:rsid w:val="39054506"/>
    <w:rsid w:val="390A63CE"/>
    <w:rsid w:val="391060DB"/>
    <w:rsid w:val="39202D31"/>
    <w:rsid w:val="3923093C"/>
    <w:rsid w:val="392D58ED"/>
    <w:rsid w:val="3931195D"/>
    <w:rsid w:val="393601CD"/>
    <w:rsid w:val="39507621"/>
    <w:rsid w:val="395204F4"/>
    <w:rsid w:val="395A099E"/>
    <w:rsid w:val="395D72F1"/>
    <w:rsid w:val="396D0E78"/>
    <w:rsid w:val="39785D68"/>
    <w:rsid w:val="397F2CB0"/>
    <w:rsid w:val="39883286"/>
    <w:rsid w:val="39957334"/>
    <w:rsid w:val="399C0CED"/>
    <w:rsid w:val="39B2192F"/>
    <w:rsid w:val="39C45CA1"/>
    <w:rsid w:val="39C577C8"/>
    <w:rsid w:val="39E249FB"/>
    <w:rsid w:val="39F16552"/>
    <w:rsid w:val="3A511C06"/>
    <w:rsid w:val="3A5A5A1A"/>
    <w:rsid w:val="3A5C6756"/>
    <w:rsid w:val="3A992100"/>
    <w:rsid w:val="3AB8583D"/>
    <w:rsid w:val="3AC510E9"/>
    <w:rsid w:val="3AC95017"/>
    <w:rsid w:val="3AEF1D20"/>
    <w:rsid w:val="3AF123D3"/>
    <w:rsid w:val="3AF35C5F"/>
    <w:rsid w:val="3B021A53"/>
    <w:rsid w:val="3B2001AC"/>
    <w:rsid w:val="3B2A5483"/>
    <w:rsid w:val="3B2D54EE"/>
    <w:rsid w:val="3B503504"/>
    <w:rsid w:val="3B832AE2"/>
    <w:rsid w:val="3BD0670F"/>
    <w:rsid w:val="3BDE4BA7"/>
    <w:rsid w:val="3BFC6D38"/>
    <w:rsid w:val="3C187054"/>
    <w:rsid w:val="3C3E7321"/>
    <w:rsid w:val="3C41552D"/>
    <w:rsid w:val="3C5F4C83"/>
    <w:rsid w:val="3C8041A7"/>
    <w:rsid w:val="3C875606"/>
    <w:rsid w:val="3CA3737D"/>
    <w:rsid w:val="3CB7686D"/>
    <w:rsid w:val="3CB92E18"/>
    <w:rsid w:val="3CBD44CF"/>
    <w:rsid w:val="3CC01321"/>
    <w:rsid w:val="3CC80A7A"/>
    <w:rsid w:val="3CC86AC9"/>
    <w:rsid w:val="3CD2683A"/>
    <w:rsid w:val="3CD81173"/>
    <w:rsid w:val="3CD9412D"/>
    <w:rsid w:val="3CE8111C"/>
    <w:rsid w:val="3CF25AF7"/>
    <w:rsid w:val="3CF54B95"/>
    <w:rsid w:val="3CFA5D8B"/>
    <w:rsid w:val="3CFE12CE"/>
    <w:rsid w:val="3D145A6E"/>
    <w:rsid w:val="3D146E96"/>
    <w:rsid w:val="3D20760B"/>
    <w:rsid w:val="3D234E82"/>
    <w:rsid w:val="3D2C1009"/>
    <w:rsid w:val="3D3E0D3C"/>
    <w:rsid w:val="3D6109E5"/>
    <w:rsid w:val="3D687B67"/>
    <w:rsid w:val="3D6C7658"/>
    <w:rsid w:val="3D6F0922"/>
    <w:rsid w:val="3D79226F"/>
    <w:rsid w:val="3D930B3B"/>
    <w:rsid w:val="3DA02F62"/>
    <w:rsid w:val="3DCC697B"/>
    <w:rsid w:val="3DEE62B1"/>
    <w:rsid w:val="3E19700D"/>
    <w:rsid w:val="3E1B341C"/>
    <w:rsid w:val="3E2148E6"/>
    <w:rsid w:val="3E247F32"/>
    <w:rsid w:val="3E3E4744"/>
    <w:rsid w:val="3E416AFE"/>
    <w:rsid w:val="3E452B90"/>
    <w:rsid w:val="3E454730"/>
    <w:rsid w:val="3E4C7A4A"/>
    <w:rsid w:val="3E5949D3"/>
    <w:rsid w:val="3E6B5B61"/>
    <w:rsid w:val="3E6E499A"/>
    <w:rsid w:val="3E7C27CE"/>
    <w:rsid w:val="3EB90AA2"/>
    <w:rsid w:val="3EBA1EE1"/>
    <w:rsid w:val="3EBA2508"/>
    <w:rsid w:val="3EDD647A"/>
    <w:rsid w:val="3EE63FF8"/>
    <w:rsid w:val="3F115748"/>
    <w:rsid w:val="3F123024"/>
    <w:rsid w:val="3F185CE9"/>
    <w:rsid w:val="3F1A7199"/>
    <w:rsid w:val="3F213454"/>
    <w:rsid w:val="3F322658"/>
    <w:rsid w:val="3F381343"/>
    <w:rsid w:val="3F387205"/>
    <w:rsid w:val="3F7C37F0"/>
    <w:rsid w:val="3F850EA5"/>
    <w:rsid w:val="3F942E96"/>
    <w:rsid w:val="3F9C4267"/>
    <w:rsid w:val="3FA96941"/>
    <w:rsid w:val="3FB1671B"/>
    <w:rsid w:val="3FBF43B6"/>
    <w:rsid w:val="3FC22361"/>
    <w:rsid w:val="3FF3587B"/>
    <w:rsid w:val="3FF878C8"/>
    <w:rsid w:val="400550D8"/>
    <w:rsid w:val="40055CC2"/>
    <w:rsid w:val="400920A8"/>
    <w:rsid w:val="400E0E9A"/>
    <w:rsid w:val="40153FD6"/>
    <w:rsid w:val="403C0ED4"/>
    <w:rsid w:val="403D4DEF"/>
    <w:rsid w:val="404261D3"/>
    <w:rsid w:val="40550D84"/>
    <w:rsid w:val="40585659"/>
    <w:rsid w:val="40664832"/>
    <w:rsid w:val="406E7B8B"/>
    <w:rsid w:val="408D0F28"/>
    <w:rsid w:val="40CB5DFE"/>
    <w:rsid w:val="40CE6B21"/>
    <w:rsid w:val="40E03CC0"/>
    <w:rsid w:val="40EB48AF"/>
    <w:rsid w:val="40EF645B"/>
    <w:rsid w:val="40F06099"/>
    <w:rsid w:val="40FF67DD"/>
    <w:rsid w:val="41006A35"/>
    <w:rsid w:val="41106EF3"/>
    <w:rsid w:val="4119163E"/>
    <w:rsid w:val="412344D1"/>
    <w:rsid w:val="41265D6F"/>
    <w:rsid w:val="412A4EB2"/>
    <w:rsid w:val="415154E2"/>
    <w:rsid w:val="415723CD"/>
    <w:rsid w:val="415D109C"/>
    <w:rsid w:val="416C6026"/>
    <w:rsid w:val="417534E0"/>
    <w:rsid w:val="41764F49"/>
    <w:rsid w:val="417D0085"/>
    <w:rsid w:val="417E425A"/>
    <w:rsid w:val="418D5BB6"/>
    <w:rsid w:val="41986C6D"/>
    <w:rsid w:val="419F1796"/>
    <w:rsid w:val="41B811FB"/>
    <w:rsid w:val="41B869B8"/>
    <w:rsid w:val="41C35EF5"/>
    <w:rsid w:val="41C7354F"/>
    <w:rsid w:val="41D576C0"/>
    <w:rsid w:val="41F041F6"/>
    <w:rsid w:val="41F64722"/>
    <w:rsid w:val="4218168B"/>
    <w:rsid w:val="422449A5"/>
    <w:rsid w:val="42254279"/>
    <w:rsid w:val="422C5607"/>
    <w:rsid w:val="42350960"/>
    <w:rsid w:val="424706A7"/>
    <w:rsid w:val="425C25C0"/>
    <w:rsid w:val="42700DB1"/>
    <w:rsid w:val="427E1F17"/>
    <w:rsid w:val="428E62C2"/>
    <w:rsid w:val="42927B60"/>
    <w:rsid w:val="42953BC5"/>
    <w:rsid w:val="42A15FF5"/>
    <w:rsid w:val="42A21B59"/>
    <w:rsid w:val="42A2552E"/>
    <w:rsid w:val="42B74B72"/>
    <w:rsid w:val="42CD4998"/>
    <w:rsid w:val="42F04887"/>
    <w:rsid w:val="43083F43"/>
    <w:rsid w:val="430A75B4"/>
    <w:rsid w:val="43152739"/>
    <w:rsid w:val="43211F27"/>
    <w:rsid w:val="43272DE2"/>
    <w:rsid w:val="43296D0F"/>
    <w:rsid w:val="43413633"/>
    <w:rsid w:val="43421586"/>
    <w:rsid w:val="43434FEC"/>
    <w:rsid w:val="43877624"/>
    <w:rsid w:val="43AF3D56"/>
    <w:rsid w:val="43B104BA"/>
    <w:rsid w:val="43B237DA"/>
    <w:rsid w:val="43E268C5"/>
    <w:rsid w:val="43EA542E"/>
    <w:rsid w:val="43F66A11"/>
    <w:rsid w:val="43F67539"/>
    <w:rsid w:val="440C17E1"/>
    <w:rsid w:val="440D7B75"/>
    <w:rsid w:val="440E1D91"/>
    <w:rsid w:val="444C3F55"/>
    <w:rsid w:val="44542398"/>
    <w:rsid w:val="445B21D4"/>
    <w:rsid w:val="445E65C3"/>
    <w:rsid w:val="44867251"/>
    <w:rsid w:val="44A80DF9"/>
    <w:rsid w:val="44AF034E"/>
    <w:rsid w:val="44B13A3F"/>
    <w:rsid w:val="44BF2DBC"/>
    <w:rsid w:val="44CA6470"/>
    <w:rsid w:val="44D34721"/>
    <w:rsid w:val="44F85B8E"/>
    <w:rsid w:val="44F92DD9"/>
    <w:rsid w:val="45091B37"/>
    <w:rsid w:val="451612EF"/>
    <w:rsid w:val="451C265C"/>
    <w:rsid w:val="452D0E88"/>
    <w:rsid w:val="452F2B51"/>
    <w:rsid w:val="452F5D1D"/>
    <w:rsid w:val="452F78E8"/>
    <w:rsid w:val="454427DD"/>
    <w:rsid w:val="454669E0"/>
    <w:rsid w:val="45704EA4"/>
    <w:rsid w:val="45725A27"/>
    <w:rsid w:val="45833790"/>
    <w:rsid w:val="45933D41"/>
    <w:rsid w:val="459B4F7E"/>
    <w:rsid w:val="459E3CA7"/>
    <w:rsid w:val="45A70684"/>
    <w:rsid w:val="45C612D4"/>
    <w:rsid w:val="45C7207A"/>
    <w:rsid w:val="45C73FC5"/>
    <w:rsid w:val="45CC2A41"/>
    <w:rsid w:val="45DB083F"/>
    <w:rsid w:val="45DB408C"/>
    <w:rsid w:val="45DF5D89"/>
    <w:rsid w:val="46184428"/>
    <w:rsid w:val="461B60BF"/>
    <w:rsid w:val="46317496"/>
    <w:rsid w:val="463F0F1F"/>
    <w:rsid w:val="46414AF3"/>
    <w:rsid w:val="46674E60"/>
    <w:rsid w:val="46676821"/>
    <w:rsid w:val="4668255C"/>
    <w:rsid w:val="4685178A"/>
    <w:rsid w:val="469B2D5C"/>
    <w:rsid w:val="469F0A9E"/>
    <w:rsid w:val="46AE27FB"/>
    <w:rsid w:val="46BE496C"/>
    <w:rsid w:val="46CC73B9"/>
    <w:rsid w:val="46D83FB0"/>
    <w:rsid w:val="46E53C65"/>
    <w:rsid w:val="46EB7044"/>
    <w:rsid w:val="46F05992"/>
    <w:rsid w:val="472B3A85"/>
    <w:rsid w:val="473A2B57"/>
    <w:rsid w:val="473B1332"/>
    <w:rsid w:val="474C147D"/>
    <w:rsid w:val="475C0D8B"/>
    <w:rsid w:val="475C24EB"/>
    <w:rsid w:val="476270E8"/>
    <w:rsid w:val="476615BC"/>
    <w:rsid w:val="47663A31"/>
    <w:rsid w:val="476D2079"/>
    <w:rsid w:val="477F0D17"/>
    <w:rsid w:val="478B4D5C"/>
    <w:rsid w:val="47997BB5"/>
    <w:rsid w:val="47B642F1"/>
    <w:rsid w:val="47CB7671"/>
    <w:rsid w:val="47F34FCF"/>
    <w:rsid w:val="47FD3CCE"/>
    <w:rsid w:val="48441761"/>
    <w:rsid w:val="485523F0"/>
    <w:rsid w:val="485E36FD"/>
    <w:rsid w:val="486378A9"/>
    <w:rsid w:val="487B2C47"/>
    <w:rsid w:val="488B6342"/>
    <w:rsid w:val="48B84099"/>
    <w:rsid w:val="48BC73C5"/>
    <w:rsid w:val="48F16D90"/>
    <w:rsid w:val="490177EE"/>
    <w:rsid w:val="491B2B29"/>
    <w:rsid w:val="49366D6C"/>
    <w:rsid w:val="49485B1B"/>
    <w:rsid w:val="49634037"/>
    <w:rsid w:val="497C50C6"/>
    <w:rsid w:val="49890F93"/>
    <w:rsid w:val="499A1E80"/>
    <w:rsid w:val="499A554C"/>
    <w:rsid w:val="49AE2DA6"/>
    <w:rsid w:val="49C6610C"/>
    <w:rsid w:val="4A0330F2"/>
    <w:rsid w:val="4A216B47"/>
    <w:rsid w:val="4A284CFD"/>
    <w:rsid w:val="4A375BAA"/>
    <w:rsid w:val="4A497770"/>
    <w:rsid w:val="4A703D85"/>
    <w:rsid w:val="4A791606"/>
    <w:rsid w:val="4A7A7858"/>
    <w:rsid w:val="4A845D3F"/>
    <w:rsid w:val="4A885C0F"/>
    <w:rsid w:val="4AB97C54"/>
    <w:rsid w:val="4ABF34BD"/>
    <w:rsid w:val="4ADA20A4"/>
    <w:rsid w:val="4AEE640C"/>
    <w:rsid w:val="4B036BB2"/>
    <w:rsid w:val="4B08297C"/>
    <w:rsid w:val="4B143B2C"/>
    <w:rsid w:val="4B234A68"/>
    <w:rsid w:val="4B2D23BE"/>
    <w:rsid w:val="4B321EE0"/>
    <w:rsid w:val="4B3667C1"/>
    <w:rsid w:val="4B412ACE"/>
    <w:rsid w:val="4B554F81"/>
    <w:rsid w:val="4B6B71A0"/>
    <w:rsid w:val="4B8A0110"/>
    <w:rsid w:val="4B8D0273"/>
    <w:rsid w:val="4B94068F"/>
    <w:rsid w:val="4B990A6A"/>
    <w:rsid w:val="4BA6467C"/>
    <w:rsid w:val="4BC126E2"/>
    <w:rsid w:val="4BCD7E5B"/>
    <w:rsid w:val="4BE90FB4"/>
    <w:rsid w:val="4BEC20E3"/>
    <w:rsid w:val="4C067202"/>
    <w:rsid w:val="4C196A63"/>
    <w:rsid w:val="4C28576B"/>
    <w:rsid w:val="4C2A2700"/>
    <w:rsid w:val="4C5D11DF"/>
    <w:rsid w:val="4C6E0E52"/>
    <w:rsid w:val="4C7843AA"/>
    <w:rsid w:val="4C7F3FDD"/>
    <w:rsid w:val="4C8F302E"/>
    <w:rsid w:val="4C8F6448"/>
    <w:rsid w:val="4C9B7C33"/>
    <w:rsid w:val="4C9C7C64"/>
    <w:rsid w:val="4CAA6630"/>
    <w:rsid w:val="4CAC5CC3"/>
    <w:rsid w:val="4CAF7561"/>
    <w:rsid w:val="4CB33AF1"/>
    <w:rsid w:val="4CC823D1"/>
    <w:rsid w:val="4CD72FB7"/>
    <w:rsid w:val="4CDC0EB7"/>
    <w:rsid w:val="4CDE3168"/>
    <w:rsid w:val="4CEB00CB"/>
    <w:rsid w:val="4CF846AC"/>
    <w:rsid w:val="4D0471C5"/>
    <w:rsid w:val="4D17698C"/>
    <w:rsid w:val="4D310D9A"/>
    <w:rsid w:val="4D3D2422"/>
    <w:rsid w:val="4D534EB7"/>
    <w:rsid w:val="4D5D6FBD"/>
    <w:rsid w:val="4D7560B4"/>
    <w:rsid w:val="4DA51238"/>
    <w:rsid w:val="4E014703"/>
    <w:rsid w:val="4E0336C0"/>
    <w:rsid w:val="4E037B64"/>
    <w:rsid w:val="4E2C4007"/>
    <w:rsid w:val="4E490FF5"/>
    <w:rsid w:val="4E505F64"/>
    <w:rsid w:val="4E761A7B"/>
    <w:rsid w:val="4E7C3473"/>
    <w:rsid w:val="4E7D24D8"/>
    <w:rsid w:val="4EAF3848"/>
    <w:rsid w:val="4EBD41B7"/>
    <w:rsid w:val="4ECD42F1"/>
    <w:rsid w:val="4ED14CE5"/>
    <w:rsid w:val="4EF710A8"/>
    <w:rsid w:val="4EF93941"/>
    <w:rsid w:val="4EFB3868"/>
    <w:rsid w:val="4EFF657E"/>
    <w:rsid w:val="4F054FD8"/>
    <w:rsid w:val="4F195165"/>
    <w:rsid w:val="4F2D365D"/>
    <w:rsid w:val="4F2E6E63"/>
    <w:rsid w:val="4F350A1A"/>
    <w:rsid w:val="4F3B50DC"/>
    <w:rsid w:val="4F3C2FF7"/>
    <w:rsid w:val="4F4B05A8"/>
    <w:rsid w:val="4F53402A"/>
    <w:rsid w:val="4F74239C"/>
    <w:rsid w:val="4F754C32"/>
    <w:rsid w:val="4F945B4C"/>
    <w:rsid w:val="4F9B383B"/>
    <w:rsid w:val="4FAF07F9"/>
    <w:rsid w:val="4FBA4253"/>
    <w:rsid w:val="4FCD5E1B"/>
    <w:rsid w:val="4FF37764"/>
    <w:rsid w:val="4FFC3800"/>
    <w:rsid w:val="4FFE11C1"/>
    <w:rsid w:val="4FFF3D42"/>
    <w:rsid w:val="50202AAA"/>
    <w:rsid w:val="50370D76"/>
    <w:rsid w:val="503E2D04"/>
    <w:rsid w:val="505C355C"/>
    <w:rsid w:val="505D7F2A"/>
    <w:rsid w:val="507837EB"/>
    <w:rsid w:val="50796F74"/>
    <w:rsid w:val="507B33EA"/>
    <w:rsid w:val="50911690"/>
    <w:rsid w:val="50A06038"/>
    <w:rsid w:val="50F11EF6"/>
    <w:rsid w:val="50FF6DFB"/>
    <w:rsid w:val="510E1558"/>
    <w:rsid w:val="51112598"/>
    <w:rsid w:val="51122B7B"/>
    <w:rsid w:val="511238D4"/>
    <w:rsid w:val="51167C06"/>
    <w:rsid w:val="512B4AB9"/>
    <w:rsid w:val="5135761B"/>
    <w:rsid w:val="515406D7"/>
    <w:rsid w:val="51803E48"/>
    <w:rsid w:val="518A6F8B"/>
    <w:rsid w:val="51A34ED7"/>
    <w:rsid w:val="51B80529"/>
    <w:rsid w:val="51CC1773"/>
    <w:rsid w:val="51DB28DE"/>
    <w:rsid w:val="51DD247A"/>
    <w:rsid w:val="51DE17D9"/>
    <w:rsid w:val="51E76C31"/>
    <w:rsid w:val="51ED6B61"/>
    <w:rsid w:val="51FA78CF"/>
    <w:rsid w:val="524349D3"/>
    <w:rsid w:val="52510E47"/>
    <w:rsid w:val="526C3842"/>
    <w:rsid w:val="52887ADE"/>
    <w:rsid w:val="528D3EA0"/>
    <w:rsid w:val="528F544B"/>
    <w:rsid w:val="52911BE2"/>
    <w:rsid w:val="52926C9E"/>
    <w:rsid w:val="529C0587"/>
    <w:rsid w:val="52A14BB8"/>
    <w:rsid w:val="52D57917"/>
    <w:rsid w:val="52EB5F0B"/>
    <w:rsid w:val="53206AC2"/>
    <w:rsid w:val="534A1D91"/>
    <w:rsid w:val="534A673B"/>
    <w:rsid w:val="535D3512"/>
    <w:rsid w:val="5372496A"/>
    <w:rsid w:val="537D469C"/>
    <w:rsid w:val="53820528"/>
    <w:rsid w:val="538945BA"/>
    <w:rsid w:val="53A414A2"/>
    <w:rsid w:val="53A4407C"/>
    <w:rsid w:val="53C175B3"/>
    <w:rsid w:val="53D578AD"/>
    <w:rsid w:val="53E800DF"/>
    <w:rsid w:val="53EC2500"/>
    <w:rsid w:val="54242C18"/>
    <w:rsid w:val="54324BBD"/>
    <w:rsid w:val="54364A4A"/>
    <w:rsid w:val="543842E0"/>
    <w:rsid w:val="54466608"/>
    <w:rsid w:val="54723C7D"/>
    <w:rsid w:val="5480697A"/>
    <w:rsid w:val="5486504B"/>
    <w:rsid w:val="548E3187"/>
    <w:rsid w:val="549166D2"/>
    <w:rsid w:val="549A4334"/>
    <w:rsid w:val="549F610D"/>
    <w:rsid w:val="54A026C9"/>
    <w:rsid w:val="54AC2398"/>
    <w:rsid w:val="54BE2A37"/>
    <w:rsid w:val="54F834E2"/>
    <w:rsid w:val="54F975CB"/>
    <w:rsid w:val="54FC32B1"/>
    <w:rsid w:val="55007A41"/>
    <w:rsid w:val="551634A5"/>
    <w:rsid w:val="552705DC"/>
    <w:rsid w:val="55344223"/>
    <w:rsid w:val="554A5678"/>
    <w:rsid w:val="555216BD"/>
    <w:rsid w:val="556F6521"/>
    <w:rsid w:val="55845C23"/>
    <w:rsid w:val="559A4FB7"/>
    <w:rsid w:val="55AA0013"/>
    <w:rsid w:val="55BD3804"/>
    <w:rsid w:val="55C448D4"/>
    <w:rsid w:val="55C44EF7"/>
    <w:rsid w:val="55D17BFC"/>
    <w:rsid w:val="55E4328D"/>
    <w:rsid w:val="55F12B2E"/>
    <w:rsid w:val="55F232E5"/>
    <w:rsid w:val="55F81F79"/>
    <w:rsid w:val="56033763"/>
    <w:rsid w:val="560D73A6"/>
    <w:rsid w:val="56153557"/>
    <w:rsid w:val="56161792"/>
    <w:rsid w:val="562070E7"/>
    <w:rsid w:val="562167E1"/>
    <w:rsid w:val="56256EE9"/>
    <w:rsid w:val="56287EA8"/>
    <w:rsid w:val="562A7457"/>
    <w:rsid w:val="562D4BB2"/>
    <w:rsid w:val="562D56EF"/>
    <w:rsid w:val="56391DCA"/>
    <w:rsid w:val="565E627F"/>
    <w:rsid w:val="566A512A"/>
    <w:rsid w:val="567100BB"/>
    <w:rsid w:val="56723153"/>
    <w:rsid w:val="56821731"/>
    <w:rsid w:val="569C7FF0"/>
    <w:rsid w:val="569E48CE"/>
    <w:rsid w:val="56A812A9"/>
    <w:rsid w:val="56B109A1"/>
    <w:rsid w:val="56B232BC"/>
    <w:rsid w:val="56BF1E44"/>
    <w:rsid w:val="56CE4A87"/>
    <w:rsid w:val="56D55E16"/>
    <w:rsid w:val="56FE35BF"/>
    <w:rsid w:val="57011DBA"/>
    <w:rsid w:val="575764EB"/>
    <w:rsid w:val="577A0069"/>
    <w:rsid w:val="578219C3"/>
    <w:rsid w:val="57931F59"/>
    <w:rsid w:val="57992FD2"/>
    <w:rsid w:val="579E1DC4"/>
    <w:rsid w:val="57A8352A"/>
    <w:rsid w:val="57A83A14"/>
    <w:rsid w:val="57A90050"/>
    <w:rsid w:val="57C11682"/>
    <w:rsid w:val="57CC0EB8"/>
    <w:rsid w:val="57F66044"/>
    <w:rsid w:val="58035F57"/>
    <w:rsid w:val="58043F47"/>
    <w:rsid w:val="580823FC"/>
    <w:rsid w:val="58421289"/>
    <w:rsid w:val="584314A7"/>
    <w:rsid w:val="584B76C7"/>
    <w:rsid w:val="584E74D1"/>
    <w:rsid w:val="58550FBC"/>
    <w:rsid w:val="5875340D"/>
    <w:rsid w:val="58835EC0"/>
    <w:rsid w:val="58B17683"/>
    <w:rsid w:val="58BE3493"/>
    <w:rsid w:val="58E96E68"/>
    <w:rsid w:val="58EB1FE8"/>
    <w:rsid w:val="58ED0CA6"/>
    <w:rsid w:val="591075D9"/>
    <w:rsid w:val="591C5BB6"/>
    <w:rsid w:val="591E27F1"/>
    <w:rsid w:val="59211CBC"/>
    <w:rsid w:val="592F4F24"/>
    <w:rsid w:val="59310F20"/>
    <w:rsid w:val="59432C66"/>
    <w:rsid w:val="5952308F"/>
    <w:rsid w:val="596B480F"/>
    <w:rsid w:val="597E2D83"/>
    <w:rsid w:val="5980489F"/>
    <w:rsid w:val="59916A3F"/>
    <w:rsid w:val="59976B63"/>
    <w:rsid w:val="59A214D7"/>
    <w:rsid w:val="59A538E7"/>
    <w:rsid w:val="59C22940"/>
    <w:rsid w:val="59D65113"/>
    <w:rsid w:val="59E05EE6"/>
    <w:rsid w:val="59EE7BAB"/>
    <w:rsid w:val="5A2A5C39"/>
    <w:rsid w:val="5A3120D1"/>
    <w:rsid w:val="5A44165C"/>
    <w:rsid w:val="5A464477"/>
    <w:rsid w:val="5A563893"/>
    <w:rsid w:val="5A5A0B0C"/>
    <w:rsid w:val="5A5F6122"/>
    <w:rsid w:val="5A6600D9"/>
    <w:rsid w:val="5A8913F1"/>
    <w:rsid w:val="5A8C2C8F"/>
    <w:rsid w:val="5AA1673B"/>
    <w:rsid w:val="5AC07F80"/>
    <w:rsid w:val="5AC70D29"/>
    <w:rsid w:val="5ACD0A91"/>
    <w:rsid w:val="5ADF1011"/>
    <w:rsid w:val="5AE26503"/>
    <w:rsid w:val="5AF578B7"/>
    <w:rsid w:val="5AFF16B3"/>
    <w:rsid w:val="5B023F69"/>
    <w:rsid w:val="5B0647F0"/>
    <w:rsid w:val="5B0A7A07"/>
    <w:rsid w:val="5B30636C"/>
    <w:rsid w:val="5B3D50CB"/>
    <w:rsid w:val="5B4125F7"/>
    <w:rsid w:val="5B445318"/>
    <w:rsid w:val="5B555777"/>
    <w:rsid w:val="5B5B6836"/>
    <w:rsid w:val="5B6431F1"/>
    <w:rsid w:val="5B731FC6"/>
    <w:rsid w:val="5B7C4AB2"/>
    <w:rsid w:val="5BC73AFD"/>
    <w:rsid w:val="5BEB5AAF"/>
    <w:rsid w:val="5BFD7EBA"/>
    <w:rsid w:val="5C0C052C"/>
    <w:rsid w:val="5C2D58E6"/>
    <w:rsid w:val="5C372D98"/>
    <w:rsid w:val="5C4752C6"/>
    <w:rsid w:val="5C515335"/>
    <w:rsid w:val="5C815359"/>
    <w:rsid w:val="5C9B0909"/>
    <w:rsid w:val="5C9E3FCC"/>
    <w:rsid w:val="5CA11E8A"/>
    <w:rsid w:val="5CBA154F"/>
    <w:rsid w:val="5CBA32C0"/>
    <w:rsid w:val="5CC00518"/>
    <w:rsid w:val="5CC13660"/>
    <w:rsid w:val="5CC81493"/>
    <w:rsid w:val="5CC93B72"/>
    <w:rsid w:val="5CED1A7A"/>
    <w:rsid w:val="5CFD2200"/>
    <w:rsid w:val="5D042824"/>
    <w:rsid w:val="5D1A3F53"/>
    <w:rsid w:val="5D2D5741"/>
    <w:rsid w:val="5D481659"/>
    <w:rsid w:val="5D59154F"/>
    <w:rsid w:val="5D6A3FC0"/>
    <w:rsid w:val="5D7A5B2F"/>
    <w:rsid w:val="5DA4656F"/>
    <w:rsid w:val="5DA84284"/>
    <w:rsid w:val="5DA909EB"/>
    <w:rsid w:val="5DAC3FA0"/>
    <w:rsid w:val="5DC13CAA"/>
    <w:rsid w:val="5DE762FC"/>
    <w:rsid w:val="5DF70D68"/>
    <w:rsid w:val="5DFF379D"/>
    <w:rsid w:val="5E0B5CFE"/>
    <w:rsid w:val="5E0F1C0D"/>
    <w:rsid w:val="5E174F66"/>
    <w:rsid w:val="5E1B3BAE"/>
    <w:rsid w:val="5E280F21"/>
    <w:rsid w:val="5E2D6118"/>
    <w:rsid w:val="5E330991"/>
    <w:rsid w:val="5E392978"/>
    <w:rsid w:val="5E3945AA"/>
    <w:rsid w:val="5E421FE3"/>
    <w:rsid w:val="5E5A4C7F"/>
    <w:rsid w:val="5E7D011C"/>
    <w:rsid w:val="5E8275B5"/>
    <w:rsid w:val="5E872B1F"/>
    <w:rsid w:val="5E87437C"/>
    <w:rsid w:val="5E927900"/>
    <w:rsid w:val="5E9329BE"/>
    <w:rsid w:val="5ED54C05"/>
    <w:rsid w:val="5EDF1CA2"/>
    <w:rsid w:val="5EE04E07"/>
    <w:rsid w:val="5EE57A15"/>
    <w:rsid w:val="5EED1B29"/>
    <w:rsid w:val="5EF31AA0"/>
    <w:rsid w:val="5F164E84"/>
    <w:rsid w:val="5F1843A7"/>
    <w:rsid w:val="5F1C2834"/>
    <w:rsid w:val="5F2D6262"/>
    <w:rsid w:val="5F2F5341"/>
    <w:rsid w:val="5F6D308F"/>
    <w:rsid w:val="5F6E62A4"/>
    <w:rsid w:val="5F797C86"/>
    <w:rsid w:val="5F87025A"/>
    <w:rsid w:val="5F9067A3"/>
    <w:rsid w:val="5FA07AED"/>
    <w:rsid w:val="5FA37316"/>
    <w:rsid w:val="5FAA4DEE"/>
    <w:rsid w:val="5FB05672"/>
    <w:rsid w:val="5FB05CDB"/>
    <w:rsid w:val="5FB61E72"/>
    <w:rsid w:val="5FBA3FF9"/>
    <w:rsid w:val="5FCA04E2"/>
    <w:rsid w:val="5FD71210"/>
    <w:rsid w:val="5FD959CF"/>
    <w:rsid w:val="5FDA624B"/>
    <w:rsid w:val="5FE155FF"/>
    <w:rsid w:val="600D2EB2"/>
    <w:rsid w:val="601B6F8F"/>
    <w:rsid w:val="603275F3"/>
    <w:rsid w:val="60352512"/>
    <w:rsid w:val="60384290"/>
    <w:rsid w:val="603E3EEA"/>
    <w:rsid w:val="6042387F"/>
    <w:rsid w:val="60427FF6"/>
    <w:rsid w:val="604F5CDD"/>
    <w:rsid w:val="605129B1"/>
    <w:rsid w:val="6065020A"/>
    <w:rsid w:val="6067647B"/>
    <w:rsid w:val="606B5493"/>
    <w:rsid w:val="60752AEC"/>
    <w:rsid w:val="60AA3E6F"/>
    <w:rsid w:val="61073070"/>
    <w:rsid w:val="611B6B1B"/>
    <w:rsid w:val="611E6450"/>
    <w:rsid w:val="61235D1E"/>
    <w:rsid w:val="61264E07"/>
    <w:rsid w:val="615564D1"/>
    <w:rsid w:val="615C1EA9"/>
    <w:rsid w:val="615D23FF"/>
    <w:rsid w:val="618E78A1"/>
    <w:rsid w:val="61CD595E"/>
    <w:rsid w:val="61D32D70"/>
    <w:rsid w:val="61E41603"/>
    <w:rsid w:val="61F50435"/>
    <w:rsid w:val="62022F83"/>
    <w:rsid w:val="62145A44"/>
    <w:rsid w:val="62257C51"/>
    <w:rsid w:val="622860E3"/>
    <w:rsid w:val="622D4D58"/>
    <w:rsid w:val="62561FAE"/>
    <w:rsid w:val="625E5251"/>
    <w:rsid w:val="62726998"/>
    <w:rsid w:val="62770119"/>
    <w:rsid w:val="62880EC0"/>
    <w:rsid w:val="628A41DC"/>
    <w:rsid w:val="62935A48"/>
    <w:rsid w:val="62B71088"/>
    <w:rsid w:val="62C0797A"/>
    <w:rsid w:val="62C62E97"/>
    <w:rsid w:val="62D653F0"/>
    <w:rsid w:val="62DB11F0"/>
    <w:rsid w:val="62DD09E9"/>
    <w:rsid w:val="62DD677E"/>
    <w:rsid w:val="630563D3"/>
    <w:rsid w:val="63071A4D"/>
    <w:rsid w:val="632B12AC"/>
    <w:rsid w:val="633C4320"/>
    <w:rsid w:val="63456615"/>
    <w:rsid w:val="636139BC"/>
    <w:rsid w:val="636634B1"/>
    <w:rsid w:val="63856EF8"/>
    <w:rsid w:val="63A31776"/>
    <w:rsid w:val="63A340B4"/>
    <w:rsid w:val="63BB6B84"/>
    <w:rsid w:val="63C67FF2"/>
    <w:rsid w:val="63DC2D6F"/>
    <w:rsid w:val="63E22063"/>
    <w:rsid w:val="63E63410"/>
    <w:rsid w:val="641937FE"/>
    <w:rsid w:val="641A755E"/>
    <w:rsid w:val="6432662E"/>
    <w:rsid w:val="643612D5"/>
    <w:rsid w:val="64436AB5"/>
    <w:rsid w:val="645B401F"/>
    <w:rsid w:val="64723338"/>
    <w:rsid w:val="64853AA3"/>
    <w:rsid w:val="64B52F53"/>
    <w:rsid w:val="64D26AD3"/>
    <w:rsid w:val="64D75396"/>
    <w:rsid w:val="64ED4EDD"/>
    <w:rsid w:val="64F74E03"/>
    <w:rsid w:val="64F8164D"/>
    <w:rsid w:val="6507003D"/>
    <w:rsid w:val="6508195B"/>
    <w:rsid w:val="65143FAD"/>
    <w:rsid w:val="651D2E62"/>
    <w:rsid w:val="652400B9"/>
    <w:rsid w:val="652B2769"/>
    <w:rsid w:val="6537177C"/>
    <w:rsid w:val="655B7E2E"/>
    <w:rsid w:val="65634EC4"/>
    <w:rsid w:val="656D7E67"/>
    <w:rsid w:val="658C06F5"/>
    <w:rsid w:val="658F4A7C"/>
    <w:rsid w:val="65CD68B1"/>
    <w:rsid w:val="65D17659"/>
    <w:rsid w:val="65D6123D"/>
    <w:rsid w:val="65EB4DAD"/>
    <w:rsid w:val="65F8742B"/>
    <w:rsid w:val="65FD4C4A"/>
    <w:rsid w:val="661C5E23"/>
    <w:rsid w:val="661E1329"/>
    <w:rsid w:val="66212E26"/>
    <w:rsid w:val="6657030C"/>
    <w:rsid w:val="668B222C"/>
    <w:rsid w:val="66903B07"/>
    <w:rsid w:val="66921EDB"/>
    <w:rsid w:val="66990C0E"/>
    <w:rsid w:val="669974C1"/>
    <w:rsid w:val="66A31FC0"/>
    <w:rsid w:val="66AF5135"/>
    <w:rsid w:val="66BE0674"/>
    <w:rsid w:val="66C65522"/>
    <w:rsid w:val="66CD0896"/>
    <w:rsid w:val="670920A4"/>
    <w:rsid w:val="67181701"/>
    <w:rsid w:val="673646AF"/>
    <w:rsid w:val="673964CD"/>
    <w:rsid w:val="673A112C"/>
    <w:rsid w:val="673C6884"/>
    <w:rsid w:val="674A63AC"/>
    <w:rsid w:val="67842F10"/>
    <w:rsid w:val="678C53BC"/>
    <w:rsid w:val="679134D8"/>
    <w:rsid w:val="67AC2BC3"/>
    <w:rsid w:val="67BB1F70"/>
    <w:rsid w:val="67C276FB"/>
    <w:rsid w:val="67D03EC5"/>
    <w:rsid w:val="67F65BEC"/>
    <w:rsid w:val="68047B83"/>
    <w:rsid w:val="680E73DC"/>
    <w:rsid w:val="68145ED0"/>
    <w:rsid w:val="68160735"/>
    <w:rsid w:val="681C781A"/>
    <w:rsid w:val="682050AC"/>
    <w:rsid w:val="683706DE"/>
    <w:rsid w:val="68376E17"/>
    <w:rsid w:val="6844375D"/>
    <w:rsid w:val="684A3079"/>
    <w:rsid w:val="685C0145"/>
    <w:rsid w:val="686D44C4"/>
    <w:rsid w:val="687207F3"/>
    <w:rsid w:val="68735425"/>
    <w:rsid w:val="68752646"/>
    <w:rsid w:val="68833924"/>
    <w:rsid w:val="68AF7D41"/>
    <w:rsid w:val="68BC796F"/>
    <w:rsid w:val="68DA1AD3"/>
    <w:rsid w:val="68E02B24"/>
    <w:rsid w:val="691C1660"/>
    <w:rsid w:val="6963589B"/>
    <w:rsid w:val="6967546C"/>
    <w:rsid w:val="69A52E3C"/>
    <w:rsid w:val="69B144DC"/>
    <w:rsid w:val="69C02B9B"/>
    <w:rsid w:val="69D112C7"/>
    <w:rsid w:val="69E0140D"/>
    <w:rsid w:val="69E631B0"/>
    <w:rsid w:val="69EA1359"/>
    <w:rsid w:val="69F81010"/>
    <w:rsid w:val="69FC1BE0"/>
    <w:rsid w:val="6A006040"/>
    <w:rsid w:val="6A015450"/>
    <w:rsid w:val="6A040BE3"/>
    <w:rsid w:val="6A246DCB"/>
    <w:rsid w:val="6A3A7047"/>
    <w:rsid w:val="6A5D1F52"/>
    <w:rsid w:val="6A8C5F62"/>
    <w:rsid w:val="6ABE2FE7"/>
    <w:rsid w:val="6AE65EDC"/>
    <w:rsid w:val="6AEE7670"/>
    <w:rsid w:val="6AF0035A"/>
    <w:rsid w:val="6AF723A7"/>
    <w:rsid w:val="6B06103C"/>
    <w:rsid w:val="6B084C38"/>
    <w:rsid w:val="6B273A5D"/>
    <w:rsid w:val="6B362ECF"/>
    <w:rsid w:val="6B4571E0"/>
    <w:rsid w:val="6B560413"/>
    <w:rsid w:val="6B596BBE"/>
    <w:rsid w:val="6B7D74C9"/>
    <w:rsid w:val="6B8838BE"/>
    <w:rsid w:val="6BAB1610"/>
    <w:rsid w:val="6BE0708C"/>
    <w:rsid w:val="6BEC7A32"/>
    <w:rsid w:val="6BEE250B"/>
    <w:rsid w:val="6BF17E60"/>
    <w:rsid w:val="6C02673A"/>
    <w:rsid w:val="6C1A459F"/>
    <w:rsid w:val="6C204753"/>
    <w:rsid w:val="6C2D3C64"/>
    <w:rsid w:val="6C425682"/>
    <w:rsid w:val="6C475B90"/>
    <w:rsid w:val="6C4B29AA"/>
    <w:rsid w:val="6C507FC1"/>
    <w:rsid w:val="6C575B38"/>
    <w:rsid w:val="6C6121CE"/>
    <w:rsid w:val="6C613F7C"/>
    <w:rsid w:val="6C6E6C0B"/>
    <w:rsid w:val="6C9E1B12"/>
    <w:rsid w:val="6CA156F2"/>
    <w:rsid w:val="6CA376C5"/>
    <w:rsid w:val="6CA96946"/>
    <w:rsid w:val="6CCB5899"/>
    <w:rsid w:val="6CDE55CC"/>
    <w:rsid w:val="6CF64439"/>
    <w:rsid w:val="6D05528D"/>
    <w:rsid w:val="6D066E01"/>
    <w:rsid w:val="6D1517AA"/>
    <w:rsid w:val="6D1E3C1B"/>
    <w:rsid w:val="6D2D1DF5"/>
    <w:rsid w:val="6D371181"/>
    <w:rsid w:val="6D3B2A1F"/>
    <w:rsid w:val="6D6A3ABB"/>
    <w:rsid w:val="6D760D35"/>
    <w:rsid w:val="6D8D6BA4"/>
    <w:rsid w:val="6D9B59B2"/>
    <w:rsid w:val="6DA474D8"/>
    <w:rsid w:val="6DB00151"/>
    <w:rsid w:val="6DC97648"/>
    <w:rsid w:val="6DE51FC5"/>
    <w:rsid w:val="6DF57072"/>
    <w:rsid w:val="6E0B694A"/>
    <w:rsid w:val="6E1D3ED8"/>
    <w:rsid w:val="6E1D611F"/>
    <w:rsid w:val="6E2D3BE1"/>
    <w:rsid w:val="6E351C6F"/>
    <w:rsid w:val="6E3D27C7"/>
    <w:rsid w:val="6E6805FA"/>
    <w:rsid w:val="6E79351A"/>
    <w:rsid w:val="6E810366"/>
    <w:rsid w:val="6EA2262A"/>
    <w:rsid w:val="6EAE74F5"/>
    <w:rsid w:val="6EBE7229"/>
    <w:rsid w:val="6ED13BBF"/>
    <w:rsid w:val="6ED547AD"/>
    <w:rsid w:val="6EE3336E"/>
    <w:rsid w:val="6F040F00"/>
    <w:rsid w:val="6F176B74"/>
    <w:rsid w:val="6F286FD3"/>
    <w:rsid w:val="6F44343D"/>
    <w:rsid w:val="6F490A63"/>
    <w:rsid w:val="6F6B01CB"/>
    <w:rsid w:val="6F814935"/>
    <w:rsid w:val="6F842AEE"/>
    <w:rsid w:val="6F850090"/>
    <w:rsid w:val="6F8850E0"/>
    <w:rsid w:val="6F92247E"/>
    <w:rsid w:val="6FD14068"/>
    <w:rsid w:val="6FD35191"/>
    <w:rsid w:val="6FD47568"/>
    <w:rsid w:val="6FD91F92"/>
    <w:rsid w:val="6FDC4B5E"/>
    <w:rsid w:val="6FF704AE"/>
    <w:rsid w:val="700853C0"/>
    <w:rsid w:val="70187047"/>
    <w:rsid w:val="701B2694"/>
    <w:rsid w:val="704C6CF1"/>
    <w:rsid w:val="70660EB7"/>
    <w:rsid w:val="706E36E0"/>
    <w:rsid w:val="707A7C41"/>
    <w:rsid w:val="708748E5"/>
    <w:rsid w:val="709661BE"/>
    <w:rsid w:val="7096798B"/>
    <w:rsid w:val="70967C65"/>
    <w:rsid w:val="709C192B"/>
    <w:rsid w:val="70A50814"/>
    <w:rsid w:val="70D04AA4"/>
    <w:rsid w:val="70E04D33"/>
    <w:rsid w:val="70E952FD"/>
    <w:rsid w:val="71125845"/>
    <w:rsid w:val="71237795"/>
    <w:rsid w:val="71285068"/>
    <w:rsid w:val="71397275"/>
    <w:rsid w:val="71463740"/>
    <w:rsid w:val="717C5416"/>
    <w:rsid w:val="71A62F79"/>
    <w:rsid w:val="71CF7671"/>
    <w:rsid w:val="71F54C9D"/>
    <w:rsid w:val="7213719C"/>
    <w:rsid w:val="7214383E"/>
    <w:rsid w:val="721455EC"/>
    <w:rsid w:val="72281098"/>
    <w:rsid w:val="723A0AD1"/>
    <w:rsid w:val="724179B2"/>
    <w:rsid w:val="72451726"/>
    <w:rsid w:val="72464B3F"/>
    <w:rsid w:val="724D5962"/>
    <w:rsid w:val="725337DC"/>
    <w:rsid w:val="7270316B"/>
    <w:rsid w:val="727442DD"/>
    <w:rsid w:val="72785B36"/>
    <w:rsid w:val="727B258E"/>
    <w:rsid w:val="72BF7445"/>
    <w:rsid w:val="72CD7E4D"/>
    <w:rsid w:val="72D92D0A"/>
    <w:rsid w:val="72DB34C4"/>
    <w:rsid w:val="72DB435C"/>
    <w:rsid w:val="730A7848"/>
    <w:rsid w:val="73185D08"/>
    <w:rsid w:val="732E2F07"/>
    <w:rsid w:val="7349215C"/>
    <w:rsid w:val="737A3B75"/>
    <w:rsid w:val="737C62B5"/>
    <w:rsid w:val="73962ABF"/>
    <w:rsid w:val="73B928EF"/>
    <w:rsid w:val="73B96F85"/>
    <w:rsid w:val="73C624BE"/>
    <w:rsid w:val="73C8686B"/>
    <w:rsid w:val="73C979D4"/>
    <w:rsid w:val="73CA68AB"/>
    <w:rsid w:val="73EC4A73"/>
    <w:rsid w:val="73ED149D"/>
    <w:rsid w:val="74104C27"/>
    <w:rsid w:val="74310172"/>
    <w:rsid w:val="74485B23"/>
    <w:rsid w:val="74623B10"/>
    <w:rsid w:val="747665BC"/>
    <w:rsid w:val="74805061"/>
    <w:rsid w:val="74820F33"/>
    <w:rsid w:val="749C2402"/>
    <w:rsid w:val="74A40EAA"/>
    <w:rsid w:val="74A92F89"/>
    <w:rsid w:val="74F21F8B"/>
    <w:rsid w:val="74F74DB9"/>
    <w:rsid w:val="74FF07D6"/>
    <w:rsid w:val="74FF5B3F"/>
    <w:rsid w:val="75007221"/>
    <w:rsid w:val="75075397"/>
    <w:rsid w:val="750B0F29"/>
    <w:rsid w:val="753D3114"/>
    <w:rsid w:val="754118DE"/>
    <w:rsid w:val="75414868"/>
    <w:rsid w:val="75491A51"/>
    <w:rsid w:val="75A40881"/>
    <w:rsid w:val="75B871F4"/>
    <w:rsid w:val="75BF7236"/>
    <w:rsid w:val="75C04997"/>
    <w:rsid w:val="75C10104"/>
    <w:rsid w:val="75C335B9"/>
    <w:rsid w:val="75C67E4C"/>
    <w:rsid w:val="75DA4F1B"/>
    <w:rsid w:val="75F04518"/>
    <w:rsid w:val="75F45093"/>
    <w:rsid w:val="76203BAF"/>
    <w:rsid w:val="76257DC8"/>
    <w:rsid w:val="763B2358"/>
    <w:rsid w:val="763E1C7A"/>
    <w:rsid w:val="76693413"/>
    <w:rsid w:val="76814153"/>
    <w:rsid w:val="76992E10"/>
    <w:rsid w:val="76B47E67"/>
    <w:rsid w:val="76D8044E"/>
    <w:rsid w:val="76EF0154"/>
    <w:rsid w:val="76F20D2B"/>
    <w:rsid w:val="76FB67DF"/>
    <w:rsid w:val="77376912"/>
    <w:rsid w:val="77452475"/>
    <w:rsid w:val="775D45FC"/>
    <w:rsid w:val="77690CCD"/>
    <w:rsid w:val="778F680C"/>
    <w:rsid w:val="7791148D"/>
    <w:rsid w:val="779A2CFD"/>
    <w:rsid w:val="779C055E"/>
    <w:rsid w:val="77A55F74"/>
    <w:rsid w:val="77B358A8"/>
    <w:rsid w:val="77CA72D0"/>
    <w:rsid w:val="77CB0941"/>
    <w:rsid w:val="77D46579"/>
    <w:rsid w:val="77D4794A"/>
    <w:rsid w:val="77DF47AD"/>
    <w:rsid w:val="77E571C9"/>
    <w:rsid w:val="77FC7A4D"/>
    <w:rsid w:val="782E03C8"/>
    <w:rsid w:val="783512AF"/>
    <w:rsid w:val="78357D36"/>
    <w:rsid w:val="784C764C"/>
    <w:rsid w:val="786910F4"/>
    <w:rsid w:val="786A41B8"/>
    <w:rsid w:val="787D5EDD"/>
    <w:rsid w:val="788462F9"/>
    <w:rsid w:val="78961637"/>
    <w:rsid w:val="78A20CB3"/>
    <w:rsid w:val="78CB4738"/>
    <w:rsid w:val="78D15FE5"/>
    <w:rsid w:val="78D3687E"/>
    <w:rsid w:val="78D976CD"/>
    <w:rsid w:val="78F36B4E"/>
    <w:rsid w:val="792A7AB9"/>
    <w:rsid w:val="794608FA"/>
    <w:rsid w:val="796C21B2"/>
    <w:rsid w:val="796C5D0E"/>
    <w:rsid w:val="796E3428"/>
    <w:rsid w:val="798968C0"/>
    <w:rsid w:val="799B6DE2"/>
    <w:rsid w:val="79A03796"/>
    <w:rsid w:val="79AE27CB"/>
    <w:rsid w:val="79CE2CAA"/>
    <w:rsid w:val="7A0D69FE"/>
    <w:rsid w:val="7A157E90"/>
    <w:rsid w:val="7A1F2BBC"/>
    <w:rsid w:val="7A2208E1"/>
    <w:rsid w:val="7A284148"/>
    <w:rsid w:val="7A2E1215"/>
    <w:rsid w:val="7A3007BF"/>
    <w:rsid w:val="7A3957DE"/>
    <w:rsid w:val="7A4B37A6"/>
    <w:rsid w:val="7A4F6B9C"/>
    <w:rsid w:val="7A543372"/>
    <w:rsid w:val="7A650BCD"/>
    <w:rsid w:val="7AB10BAE"/>
    <w:rsid w:val="7AB25C2E"/>
    <w:rsid w:val="7AC562B4"/>
    <w:rsid w:val="7ACA53E2"/>
    <w:rsid w:val="7AD42E32"/>
    <w:rsid w:val="7AD878CC"/>
    <w:rsid w:val="7AF94FE5"/>
    <w:rsid w:val="7AFD1314"/>
    <w:rsid w:val="7B0C09FC"/>
    <w:rsid w:val="7B2B06C7"/>
    <w:rsid w:val="7B2B779C"/>
    <w:rsid w:val="7B2F5245"/>
    <w:rsid w:val="7B32428B"/>
    <w:rsid w:val="7B557EB8"/>
    <w:rsid w:val="7B572A05"/>
    <w:rsid w:val="7B5A1010"/>
    <w:rsid w:val="7B6D0992"/>
    <w:rsid w:val="7B764D76"/>
    <w:rsid w:val="7B982EDA"/>
    <w:rsid w:val="7B9B28DB"/>
    <w:rsid w:val="7BA3117B"/>
    <w:rsid w:val="7BA93249"/>
    <w:rsid w:val="7BBD6C29"/>
    <w:rsid w:val="7BD767C5"/>
    <w:rsid w:val="7BE57F98"/>
    <w:rsid w:val="7C1C7EBF"/>
    <w:rsid w:val="7C400E79"/>
    <w:rsid w:val="7C483429"/>
    <w:rsid w:val="7C4F3DF1"/>
    <w:rsid w:val="7C605B15"/>
    <w:rsid w:val="7C783FFA"/>
    <w:rsid w:val="7CA22104"/>
    <w:rsid w:val="7CD20D26"/>
    <w:rsid w:val="7CE7227B"/>
    <w:rsid w:val="7CEC74B4"/>
    <w:rsid w:val="7CF63DE9"/>
    <w:rsid w:val="7CFC3068"/>
    <w:rsid w:val="7D006E99"/>
    <w:rsid w:val="7D0D15B6"/>
    <w:rsid w:val="7D0E5A5A"/>
    <w:rsid w:val="7D160D5D"/>
    <w:rsid w:val="7D2557AC"/>
    <w:rsid w:val="7D360B0D"/>
    <w:rsid w:val="7D3E6E97"/>
    <w:rsid w:val="7D4253F3"/>
    <w:rsid w:val="7D602B93"/>
    <w:rsid w:val="7D6E6F6F"/>
    <w:rsid w:val="7D9A5C22"/>
    <w:rsid w:val="7DBB5005"/>
    <w:rsid w:val="7DBD1D05"/>
    <w:rsid w:val="7DD64460"/>
    <w:rsid w:val="7DE70059"/>
    <w:rsid w:val="7DF86826"/>
    <w:rsid w:val="7DFD374E"/>
    <w:rsid w:val="7E0C1293"/>
    <w:rsid w:val="7E0E1A8A"/>
    <w:rsid w:val="7E133B6E"/>
    <w:rsid w:val="7E292420"/>
    <w:rsid w:val="7E2B6198"/>
    <w:rsid w:val="7E346B9D"/>
    <w:rsid w:val="7E512E1C"/>
    <w:rsid w:val="7E5C27F5"/>
    <w:rsid w:val="7E6671AF"/>
    <w:rsid w:val="7E817B69"/>
    <w:rsid w:val="7E863295"/>
    <w:rsid w:val="7EB40ACA"/>
    <w:rsid w:val="7EB775A1"/>
    <w:rsid w:val="7EB90B65"/>
    <w:rsid w:val="7EB97C47"/>
    <w:rsid w:val="7EC02D84"/>
    <w:rsid w:val="7EC86ECB"/>
    <w:rsid w:val="7F1F7466"/>
    <w:rsid w:val="7F397F15"/>
    <w:rsid w:val="7F5E42E0"/>
    <w:rsid w:val="7F613D86"/>
    <w:rsid w:val="7F637BB3"/>
    <w:rsid w:val="7F871AF4"/>
    <w:rsid w:val="7F8F50D7"/>
    <w:rsid w:val="7FBD0947"/>
    <w:rsid w:val="7FCE5950"/>
    <w:rsid w:val="7FD57F06"/>
    <w:rsid w:val="7FE80712"/>
    <w:rsid w:val="7FED3E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outlineLvl w:val="0"/>
    </w:pPr>
    <w:rPr>
      <w:rFonts w:eastAsia="华文新魏"/>
      <w:b/>
    </w:rPr>
  </w:style>
  <w:style w:type="paragraph" w:styleId="4">
    <w:name w:val="heading 2"/>
    <w:basedOn w:val="1"/>
    <w:next w:val="1"/>
    <w:link w:val="58"/>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59"/>
    <w:qFormat/>
    <w:uiPriority w:val="0"/>
    <w:pPr>
      <w:keepNext/>
      <w:keepLines/>
      <w:spacing w:before="260" w:after="260" w:line="415" w:lineRule="auto"/>
      <w:outlineLvl w:val="2"/>
    </w:pPr>
    <w:rPr>
      <w:rFonts w:eastAsia="华文新魏"/>
      <w:b/>
      <w:bCs/>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1"/>
    <w:qFormat/>
    <w:uiPriority w:val="0"/>
    <w:pPr>
      <w:keepNext/>
      <w:keepLines/>
      <w:spacing w:before="280" w:after="290" w:line="376" w:lineRule="auto"/>
      <w:outlineLvl w:val="4"/>
    </w:pPr>
    <w:rPr>
      <w:rFonts w:eastAsia="华文新魏"/>
      <w:b/>
      <w:sz w:val="28"/>
      <w:szCs w:val="20"/>
    </w:rPr>
  </w:style>
  <w:style w:type="paragraph" w:styleId="9">
    <w:name w:val="heading 6"/>
    <w:basedOn w:val="1"/>
    <w:next w:val="1"/>
    <w:link w:val="62"/>
    <w:qFormat/>
    <w:uiPriority w:val="0"/>
    <w:pPr>
      <w:keepNext/>
      <w:keepLines/>
      <w:spacing w:before="240" w:after="64" w:line="319" w:lineRule="auto"/>
      <w:outlineLvl w:val="5"/>
    </w:pPr>
    <w:rPr>
      <w:rFonts w:ascii="Arial" w:hAnsi="Arial" w:eastAsia="黑体"/>
      <w:b/>
      <w:sz w:val="24"/>
      <w:szCs w:val="20"/>
    </w:rPr>
  </w:style>
  <w:style w:type="paragraph" w:styleId="10">
    <w:name w:val="heading 7"/>
    <w:basedOn w:val="1"/>
    <w:next w:val="8"/>
    <w:link w:val="63"/>
    <w:qFormat/>
    <w:uiPriority w:val="0"/>
    <w:pPr>
      <w:keepNext/>
      <w:keepLines/>
      <w:spacing w:before="240" w:after="64" w:line="319" w:lineRule="auto"/>
      <w:outlineLvl w:val="6"/>
    </w:pPr>
    <w:rPr>
      <w:rFonts w:eastAsia="华文新魏"/>
      <w:b/>
      <w:sz w:val="24"/>
      <w:szCs w:val="20"/>
    </w:rPr>
  </w:style>
  <w:style w:type="paragraph" w:styleId="11">
    <w:name w:val="heading 8"/>
    <w:basedOn w:val="1"/>
    <w:next w:val="8"/>
    <w:link w:val="64"/>
    <w:qFormat/>
    <w:uiPriority w:val="0"/>
    <w:pPr>
      <w:keepNext/>
      <w:keepLines/>
      <w:spacing w:before="240" w:after="64" w:line="319" w:lineRule="auto"/>
      <w:outlineLvl w:val="7"/>
    </w:pPr>
    <w:rPr>
      <w:rFonts w:ascii="Arial" w:hAnsi="Arial" w:eastAsia="黑体"/>
      <w:sz w:val="24"/>
      <w:szCs w:val="20"/>
    </w:rPr>
  </w:style>
  <w:style w:type="paragraph" w:styleId="12">
    <w:name w:val="heading 9"/>
    <w:basedOn w:val="1"/>
    <w:next w:val="8"/>
    <w:link w:val="65"/>
    <w:qFormat/>
    <w:uiPriority w:val="0"/>
    <w:pPr>
      <w:keepNext/>
      <w:keepLines/>
      <w:spacing w:before="240" w:after="64" w:line="319"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0"/>
    <w:pPr>
      <w:spacing w:after="120"/>
    </w:pPr>
  </w:style>
  <w:style w:type="paragraph" w:styleId="8">
    <w:name w:val="Normal Indent"/>
    <w:basedOn w:val="1"/>
    <w:qFormat/>
    <w:uiPriority w:val="99"/>
    <w:pPr>
      <w:ind w:firstLine="420"/>
    </w:pPr>
    <w:rPr>
      <w:rFonts w:eastAsia="华文新魏"/>
      <w:szCs w:val="20"/>
    </w:rPr>
  </w:style>
  <w:style w:type="paragraph" w:styleId="13">
    <w:name w:val="toc 7"/>
    <w:basedOn w:val="1"/>
    <w:next w:val="1"/>
    <w:qFormat/>
    <w:uiPriority w:val="39"/>
    <w:pPr>
      <w:ind w:left="1260"/>
      <w:jc w:val="left"/>
    </w:pPr>
    <w:rPr>
      <w:rFonts w:ascii="等线" w:hAnsi="等线" w:eastAsia="等线"/>
      <w:sz w:val="18"/>
      <w:szCs w:val="18"/>
    </w:rPr>
  </w:style>
  <w:style w:type="paragraph" w:styleId="14">
    <w:name w:val="Document Map"/>
    <w:basedOn w:val="1"/>
    <w:link w:val="66"/>
    <w:qFormat/>
    <w:uiPriority w:val="99"/>
    <w:rPr>
      <w:rFonts w:ascii="宋体" w:eastAsia="华文新魏"/>
      <w:sz w:val="18"/>
      <w:szCs w:val="18"/>
    </w:rPr>
  </w:style>
  <w:style w:type="paragraph" w:styleId="15">
    <w:name w:val="annotation text"/>
    <w:basedOn w:val="1"/>
    <w:link w:val="67"/>
    <w:qFormat/>
    <w:uiPriority w:val="0"/>
    <w:pPr>
      <w:jc w:val="left"/>
    </w:pPr>
  </w:style>
  <w:style w:type="paragraph" w:styleId="16">
    <w:name w:val="Body Text Indent"/>
    <w:basedOn w:val="1"/>
    <w:next w:val="1"/>
    <w:link w:val="69"/>
    <w:qFormat/>
    <w:uiPriority w:val="99"/>
    <w:pPr>
      <w:spacing w:line="200" w:lineRule="exact"/>
      <w:ind w:firstLine="301"/>
    </w:pPr>
    <w:rPr>
      <w:rFonts w:ascii="宋体" w:eastAsia="华文新魏"/>
      <w:spacing w:val="-4"/>
      <w:sz w:val="18"/>
      <w:szCs w:val="20"/>
    </w:rPr>
  </w:style>
  <w:style w:type="paragraph" w:styleId="17">
    <w:name w:val="List 2"/>
    <w:basedOn w:val="1"/>
    <w:qFormat/>
    <w:uiPriority w:val="99"/>
    <w:pPr>
      <w:tabs>
        <w:tab w:val="left" w:pos="0"/>
      </w:tabs>
      <w:spacing w:line="360" w:lineRule="auto"/>
      <w:ind w:left="454"/>
    </w:pPr>
    <w:rPr>
      <w:rFonts w:eastAsia="华文新魏"/>
      <w:sz w:val="24"/>
    </w:rPr>
  </w:style>
  <w:style w:type="paragraph" w:styleId="18">
    <w:name w:val="toc 5"/>
    <w:basedOn w:val="1"/>
    <w:next w:val="1"/>
    <w:qFormat/>
    <w:uiPriority w:val="39"/>
    <w:pPr>
      <w:ind w:left="840"/>
      <w:jc w:val="left"/>
    </w:pPr>
    <w:rPr>
      <w:rFonts w:ascii="等线" w:hAnsi="等线" w:eastAsia="等线"/>
      <w:sz w:val="18"/>
      <w:szCs w:val="18"/>
    </w:rPr>
  </w:style>
  <w:style w:type="paragraph" w:styleId="19">
    <w:name w:val="toc 3"/>
    <w:basedOn w:val="1"/>
    <w:next w:val="1"/>
    <w:qFormat/>
    <w:uiPriority w:val="39"/>
    <w:pPr>
      <w:ind w:left="400" w:leftChars="400"/>
    </w:pPr>
    <w:rPr>
      <w:rFonts w:eastAsia="华文新魏"/>
    </w:rPr>
  </w:style>
  <w:style w:type="paragraph" w:styleId="20">
    <w:name w:val="Plain Text"/>
    <w:basedOn w:val="1"/>
    <w:next w:val="1"/>
    <w:link w:val="70"/>
    <w:qFormat/>
    <w:uiPriority w:val="0"/>
    <w:rPr>
      <w:rFonts w:ascii="宋体"/>
      <w:kern w:val="0"/>
      <w:sz w:val="20"/>
      <w:szCs w:val="20"/>
    </w:rPr>
  </w:style>
  <w:style w:type="paragraph" w:styleId="21">
    <w:name w:val="toc 8"/>
    <w:basedOn w:val="1"/>
    <w:next w:val="1"/>
    <w:qFormat/>
    <w:uiPriority w:val="39"/>
    <w:pPr>
      <w:ind w:left="1470"/>
      <w:jc w:val="left"/>
    </w:pPr>
    <w:rPr>
      <w:rFonts w:ascii="等线" w:hAnsi="等线" w:eastAsia="等线"/>
      <w:sz w:val="18"/>
      <w:szCs w:val="18"/>
    </w:rPr>
  </w:style>
  <w:style w:type="paragraph" w:styleId="22">
    <w:name w:val="Date"/>
    <w:basedOn w:val="1"/>
    <w:next w:val="1"/>
    <w:link w:val="71"/>
    <w:qFormat/>
    <w:uiPriority w:val="99"/>
    <w:pPr>
      <w:ind w:left="2500" w:leftChars="2500"/>
    </w:pPr>
    <w:rPr>
      <w:rFonts w:ascii="宋体" w:eastAsia="华文新魏"/>
      <w:bCs/>
      <w:sz w:val="24"/>
      <w:szCs w:val="20"/>
    </w:rPr>
  </w:style>
  <w:style w:type="paragraph" w:styleId="23">
    <w:name w:val="Body Text Indent 2"/>
    <w:basedOn w:val="1"/>
    <w:link w:val="72"/>
    <w:qFormat/>
    <w:uiPriority w:val="0"/>
    <w:pPr>
      <w:ind w:firstLine="196" w:firstLineChars="196"/>
    </w:pPr>
    <w:rPr>
      <w:rFonts w:eastAsia="华文新魏"/>
    </w:rPr>
  </w:style>
  <w:style w:type="paragraph" w:styleId="24">
    <w:name w:val="Balloon Text"/>
    <w:basedOn w:val="1"/>
    <w:link w:val="73"/>
    <w:qFormat/>
    <w:uiPriority w:val="99"/>
    <w:rPr>
      <w:rFonts w:eastAsia="华文新魏"/>
      <w:sz w:val="18"/>
      <w:szCs w:val="18"/>
    </w:rPr>
  </w:style>
  <w:style w:type="paragraph" w:styleId="25">
    <w:name w:val="footer"/>
    <w:basedOn w:val="1"/>
    <w:link w:val="74"/>
    <w:qFormat/>
    <w:uiPriority w:val="99"/>
    <w:pPr>
      <w:tabs>
        <w:tab w:val="center" w:pos="4153"/>
        <w:tab w:val="right" w:pos="8306"/>
      </w:tabs>
      <w:snapToGrid w:val="0"/>
      <w:jc w:val="left"/>
    </w:pPr>
    <w:rPr>
      <w:rFonts w:ascii="宋体"/>
      <w:kern w:val="0"/>
      <w:sz w:val="18"/>
      <w:szCs w:val="20"/>
    </w:rPr>
  </w:style>
  <w:style w:type="paragraph" w:styleId="26">
    <w:name w:val="header"/>
    <w:basedOn w:val="1"/>
    <w:link w:val="75"/>
    <w:qFormat/>
    <w:uiPriority w:val="99"/>
    <w:pPr>
      <w:pBdr>
        <w:bottom w:val="single" w:color="auto" w:sz="6" w:space="1"/>
      </w:pBdr>
      <w:tabs>
        <w:tab w:val="center" w:pos="4153"/>
        <w:tab w:val="right" w:pos="8306"/>
      </w:tabs>
      <w:snapToGrid w:val="0"/>
      <w:jc w:val="center"/>
    </w:pPr>
    <w:rPr>
      <w:rFonts w:ascii="宋体" w:eastAsia="华文新魏"/>
      <w:sz w:val="18"/>
      <w:szCs w:val="20"/>
    </w:rPr>
  </w:style>
  <w:style w:type="paragraph" w:styleId="27">
    <w:name w:val="toc 1"/>
    <w:basedOn w:val="1"/>
    <w:next w:val="1"/>
    <w:qFormat/>
    <w:uiPriority w:val="39"/>
    <w:pPr>
      <w:tabs>
        <w:tab w:val="right" w:leader="dot" w:pos="9628"/>
      </w:tabs>
      <w:spacing w:line="640" w:lineRule="exact"/>
    </w:pPr>
    <w:rPr>
      <w:rFonts w:ascii="宋体" w:hAnsi="宋体" w:eastAsia="黑体"/>
      <w:b/>
      <w:color w:val="FF0000"/>
      <w:sz w:val="32"/>
      <w:szCs w:val="32"/>
    </w:rPr>
  </w:style>
  <w:style w:type="paragraph" w:styleId="28">
    <w:name w:val="toc 4"/>
    <w:basedOn w:val="1"/>
    <w:next w:val="1"/>
    <w:qFormat/>
    <w:uiPriority w:val="39"/>
    <w:pPr>
      <w:ind w:left="630"/>
      <w:jc w:val="left"/>
    </w:pPr>
    <w:rPr>
      <w:rFonts w:ascii="等线" w:hAnsi="等线" w:eastAsia="等线"/>
      <w:sz w:val="18"/>
      <w:szCs w:val="18"/>
    </w:rPr>
  </w:style>
  <w:style w:type="paragraph" w:styleId="29">
    <w:name w:val="footnote text"/>
    <w:basedOn w:val="1"/>
    <w:link w:val="187"/>
    <w:unhideWhenUsed/>
    <w:qFormat/>
    <w:locked/>
    <w:uiPriority w:val="99"/>
    <w:pPr>
      <w:snapToGrid w:val="0"/>
      <w:jc w:val="left"/>
    </w:pPr>
    <w:rPr>
      <w:rFonts w:ascii="Calibri" w:hAnsi="Calibri"/>
      <w:sz w:val="18"/>
      <w:szCs w:val="18"/>
    </w:rPr>
  </w:style>
  <w:style w:type="paragraph" w:styleId="30">
    <w:name w:val="toc 6"/>
    <w:basedOn w:val="1"/>
    <w:next w:val="1"/>
    <w:qFormat/>
    <w:uiPriority w:val="39"/>
    <w:pPr>
      <w:ind w:left="1050"/>
      <w:jc w:val="left"/>
    </w:pPr>
    <w:rPr>
      <w:rFonts w:ascii="等线" w:hAnsi="等线" w:eastAsia="等线"/>
      <w:sz w:val="18"/>
      <w:szCs w:val="18"/>
    </w:rPr>
  </w:style>
  <w:style w:type="paragraph" w:styleId="31">
    <w:name w:val="Body Text Indent 3"/>
    <w:basedOn w:val="1"/>
    <w:link w:val="76"/>
    <w:qFormat/>
    <w:uiPriority w:val="99"/>
    <w:pPr>
      <w:spacing w:after="120"/>
      <w:ind w:left="200" w:leftChars="200"/>
    </w:pPr>
    <w:rPr>
      <w:rFonts w:eastAsia="华文新魏"/>
      <w:sz w:val="16"/>
      <w:szCs w:val="16"/>
    </w:rPr>
  </w:style>
  <w:style w:type="paragraph" w:styleId="32">
    <w:name w:val="toc 2"/>
    <w:basedOn w:val="1"/>
    <w:next w:val="1"/>
    <w:qFormat/>
    <w:uiPriority w:val="39"/>
    <w:rPr>
      <w:rFonts w:ascii="宋体" w:eastAsia="华文新魏" w:cs="Arial"/>
      <w:b/>
      <w:szCs w:val="21"/>
    </w:rPr>
  </w:style>
  <w:style w:type="paragraph" w:styleId="33">
    <w:name w:val="toc 9"/>
    <w:basedOn w:val="1"/>
    <w:next w:val="1"/>
    <w:qFormat/>
    <w:uiPriority w:val="39"/>
    <w:pPr>
      <w:ind w:left="1600" w:leftChars="1600"/>
    </w:pPr>
    <w:rPr>
      <w:rFonts w:eastAsia="华文新魏"/>
    </w:rPr>
  </w:style>
  <w:style w:type="paragraph" w:styleId="34">
    <w:name w:val="Body Text 2"/>
    <w:basedOn w:val="1"/>
    <w:link w:val="77"/>
    <w:qFormat/>
    <w:uiPriority w:val="99"/>
    <w:pPr>
      <w:spacing w:after="120" w:line="480" w:lineRule="auto"/>
    </w:pPr>
    <w:rPr>
      <w:rFonts w:eastAsia="华文新魏"/>
    </w:rPr>
  </w:style>
  <w:style w:type="paragraph" w:styleId="35">
    <w:name w:val="List 4"/>
    <w:basedOn w:val="1"/>
    <w:qFormat/>
    <w:uiPriority w:val="99"/>
    <w:pPr>
      <w:tabs>
        <w:tab w:val="left" w:pos="0"/>
      </w:tabs>
      <w:adjustRightInd w:val="0"/>
      <w:snapToGrid w:val="0"/>
      <w:spacing w:line="360" w:lineRule="auto"/>
      <w:ind w:left="1361"/>
    </w:pPr>
    <w:rPr>
      <w:rFonts w:eastAsia="华文新魏"/>
      <w:sz w:val="24"/>
    </w:rPr>
  </w:style>
  <w:style w:type="paragraph" w:styleId="36">
    <w:name w:val="HTML Preformatted"/>
    <w:basedOn w:val="1"/>
    <w:link w:val="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华文新魏" w:cs="Arial"/>
      <w:kern w:val="0"/>
      <w:szCs w:val="21"/>
    </w:rPr>
  </w:style>
  <w:style w:type="paragraph" w:styleId="37">
    <w:name w:val="Normal (Web)"/>
    <w:basedOn w:val="1"/>
    <w:qFormat/>
    <w:uiPriority w:val="99"/>
    <w:pPr>
      <w:widowControl/>
      <w:spacing w:before="100" w:beforeAutospacing="1" w:after="100" w:afterAutospacing="1"/>
      <w:jc w:val="left"/>
    </w:pPr>
    <w:rPr>
      <w:rFonts w:ascii="宋体" w:eastAsia="华文新魏"/>
      <w:kern w:val="0"/>
      <w:sz w:val="24"/>
    </w:rPr>
  </w:style>
  <w:style w:type="paragraph" w:styleId="38">
    <w:name w:val="index 1"/>
    <w:basedOn w:val="1"/>
    <w:next w:val="1"/>
    <w:qFormat/>
    <w:uiPriority w:val="99"/>
    <w:pPr>
      <w:spacing w:line="360" w:lineRule="auto"/>
    </w:pPr>
    <w:rPr>
      <w:rFonts w:ascii="宋体" w:eastAsia="华文新魏"/>
      <w:bCs/>
      <w:szCs w:val="21"/>
    </w:rPr>
  </w:style>
  <w:style w:type="paragraph" w:styleId="39">
    <w:name w:val="Title"/>
    <w:basedOn w:val="1"/>
    <w:link w:val="79"/>
    <w:qFormat/>
    <w:uiPriority w:val="0"/>
    <w:pPr>
      <w:spacing w:before="240" w:after="60"/>
      <w:jc w:val="center"/>
      <w:outlineLvl w:val="0"/>
    </w:pPr>
    <w:rPr>
      <w:rFonts w:ascii="Arial" w:hAnsi="Arial" w:eastAsia="华文新魏"/>
      <w:b/>
      <w:bCs/>
      <w:sz w:val="32"/>
      <w:szCs w:val="32"/>
    </w:rPr>
  </w:style>
  <w:style w:type="paragraph" w:styleId="40">
    <w:name w:val="annotation subject"/>
    <w:basedOn w:val="15"/>
    <w:next w:val="15"/>
    <w:link w:val="80"/>
    <w:qFormat/>
    <w:uiPriority w:val="99"/>
    <w:rPr>
      <w:rFonts w:eastAsia="华文新魏"/>
      <w:b/>
      <w:bCs/>
    </w:rPr>
  </w:style>
  <w:style w:type="paragraph" w:styleId="41">
    <w:name w:val="Body Text First Indent"/>
    <w:basedOn w:val="2"/>
    <w:link w:val="81"/>
    <w:qFormat/>
    <w:uiPriority w:val="99"/>
    <w:pPr>
      <w:ind w:firstLine="100" w:firstLineChars="100"/>
    </w:pPr>
  </w:style>
  <w:style w:type="paragraph" w:styleId="42">
    <w:name w:val="Body Text First Indent 2"/>
    <w:basedOn w:val="16"/>
    <w:next w:val="43"/>
    <w:link w:val="200"/>
    <w:unhideWhenUsed/>
    <w:qFormat/>
    <w:locked/>
    <w:uiPriority w:val="0"/>
    <w:pPr>
      <w:spacing w:after="120" w:line="360" w:lineRule="auto"/>
      <w:ind w:left="420" w:leftChars="200" w:firstLine="420" w:firstLineChars="200"/>
    </w:pPr>
    <w:rPr>
      <w:rFonts w:ascii="Times New Roman" w:eastAsia="宋体"/>
      <w:spacing w:val="0"/>
      <w:sz w:val="28"/>
      <w:szCs w:val="24"/>
    </w:rPr>
  </w:style>
  <w:style w:type="paragraph" w:styleId="43">
    <w:name w:val="Intense Quote"/>
    <w:basedOn w:val="1"/>
    <w:next w:val="1"/>
    <w:qFormat/>
    <w:uiPriority w:val="0"/>
    <w:pPr>
      <w:pBdr>
        <w:bottom w:val="single" w:color="4F81BD" w:sz="4" w:space="4"/>
      </w:pBdr>
      <w:spacing w:before="200" w:beforeLines="0" w:after="280" w:afterLines="0"/>
      <w:ind w:left="936" w:right="936"/>
    </w:pPr>
    <w:rPr>
      <w:rFonts w:ascii="Calibri" w:hAnsi="Calibri" w:eastAsia="宋体" w:cs="Times New Roman"/>
      <w:b/>
      <w:i/>
      <w:color w:val="4F81BD"/>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0"/>
    <w:rPr>
      <w:rFonts w:ascii="Times New Roman" w:hAnsi="Times New Roman" w:eastAsia="华文新魏" w:cs="Times New Roman"/>
      <w:b/>
    </w:rPr>
  </w:style>
  <w:style w:type="character" w:styleId="48">
    <w:name w:val="page number"/>
    <w:basedOn w:val="46"/>
    <w:qFormat/>
    <w:uiPriority w:val="0"/>
    <w:rPr>
      <w:rFonts w:ascii="Times New Roman" w:hAnsi="Times New Roman" w:eastAsia="华文新魏" w:cs="Times New Roman"/>
    </w:rPr>
  </w:style>
  <w:style w:type="character" w:styleId="49">
    <w:name w:val="FollowedHyperlink"/>
    <w:basedOn w:val="46"/>
    <w:qFormat/>
    <w:uiPriority w:val="99"/>
    <w:rPr>
      <w:rFonts w:ascii="Times New Roman" w:hAnsi="Times New Roman" w:eastAsia="华文新魏" w:cs="Times New Roman"/>
      <w:color w:val="800080"/>
      <w:u w:val="single"/>
    </w:rPr>
  </w:style>
  <w:style w:type="character" w:styleId="50">
    <w:name w:val="Emphasis"/>
    <w:qFormat/>
    <w:uiPriority w:val="20"/>
    <w:rPr>
      <w:color w:val="CC0000"/>
    </w:rPr>
  </w:style>
  <w:style w:type="character" w:styleId="51">
    <w:name w:val="line number"/>
    <w:basedOn w:val="46"/>
    <w:qFormat/>
    <w:uiPriority w:val="99"/>
    <w:rPr>
      <w:rFonts w:ascii="Times New Roman" w:hAnsi="Times New Roman" w:eastAsia="华文新魏" w:cs="Times New Roman"/>
    </w:rPr>
  </w:style>
  <w:style w:type="character" w:styleId="52">
    <w:name w:val="Hyperlink"/>
    <w:basedOn w:val="46"/>
    <w:qFormat/>
    <w:uiPriority w:val="99"/>
    <w:rPr>
      <w:rFonts w:ascii="Times New Roman" w:hAnsi="Times New Roman" w:eastAsia="华文新魏" w:cs="Times New Roman"/>
      <w:color w:val="0000FF"/>
      <w:u w:val="single"/>
    </w:rPr>
  </w:style>
  <w:style w:type="character" w:styleId="53">
    <w:name w:val="annotation reference"/>
    <w:basedOn w:val="46"/>
    <w:qFormat/>
    <w:uiPriority w:val="99"/>
    <w:rPr>
      <w:rFonts w:ascii="Times New Roman" w:hAnsi="Times New Roman" w:eastAsia="华文新魏" w:cs="Times New Roman"/>
      <w:sz w:val="21"/>
    </w:rPr>
  </w:style>
  <w:style w:type="character" w:styleId="54">
    <w:name w:val="footnote reference"/>
    <w:unhideWhenUsed/>
    <w:qFormat/>
    <w:locked/>
    <w:uiPriority w:val="99"/>
    <w:rPr>
      <w:vertAlign w:val="superscript"/>
    </w:rPr>
  </w:style>
  <w:style w:type="paragraph" w:customStyle="1" w:styleId="55">
    <w:name w:val="标题 5（有编号）（绿盟科技）"/>
    <w:basedOn w:val="1"/>
    <w:next w:val="56"/>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7">
    <w:name w:val="标题 1 Char"/>
    <w:basedOn w:val="46"/>
    <w:link w:val="3"/>
    <w:qFormat/>
    <w:locked/>
    <w:uiPriority w:val="99"/>
    <w:rPr>
      <w:rFonts w:ascii="Times New Roman" w:hAnsi="Times New Roman" w:eastAsia="华文新魏" w:cs="Times New Roman"/>
      <w:b/>
      <w:sz w:val="24"/>
      <w:szCs w:val="24"/>
    </w:rPr>
  </w:style>
  <w:style w:type="character" w:customStyle="1" w:styleId="58">
    <w:name w:val="标题 2 Char"/>
    <w:basedOn w:val="46"/>
    <w:link w:val="4"/>
    <w:qFormat/>
    <w:locked/>
    <w:uiPriority w:val="99"/>
    <w:rPr>
      <w:rFonts w:ascii="Arial" w:hAnsi="Arial" w:eastAsia="黑体" w:cs="Times New Roman"/>
      <w:b/>
      <w:kern w:val="0"/>
      <w:sz w:val="20"/>
      <w:szCs w:val="20"/>
    </w:rPr>
  </w:style>
  <w:style w:type="character" w:customStyle="1" w:styleId="59">
    <w:name w:val="标题 3 Char"/>
    <w:basedOn w:val="46"/>
    <w:link w:val="5"/>
    <w:qFormat/>
    <w:locked/>
    <w:uiPriority w:val="99"/>
    <w:rPr>
      <w:rFonts w:ascii="Times New Roman" w:hAnsi="Times New Roman" w:eastAsia="华文新魏" w:cs="Times New Roman"/>
      <w:b/>
      <w:bCs/>
      <w:sz w:val="32"/>
      <w:szCs w:val="32"/>
    </w:rPr>
  </w:style>
  <w:style w:type="character" w:customStyle="1" w:styleId="60">
    <w:name w:val="标题 4 Char"/>
    <w:basedOn w:val="46"/>
    <w:link w:val="6"/>
    <w:qFormat/>
    <w:locked/>
    <w:uiPriority w:val="99"/>
    <w:rPr>
      <w:rFonts w:ascii="Arial" w:hAnsi="Arial" w:eastAsia="黑体" w:cs="Times New Roman"/>
      <w:b/>
      <w:bCs/>
      <w:sz w:val="28"/>
      <w:szCs w:val="28"/>
    </w:rPr>
  </w:style>
  <w:style w:type="character" w:customStyle="1" w:styleId="61">
    <w:name w:val="标题 5 Char"/>
    <w:basedOn w:val="46"/>
    <w:link w:val="7"/>
    <w:qFormat/>
    <w:locked/>
    <w:uiPriority w:val="99"/>
    <w:rPr>
      <w:rFonts w:ascii="Times New Roman" w:hAnsi="Times New Roman" w:eastAsia="华文新魏" w:cs="Times New Roman"/>
      <w:b/>
      <w:sz w:val="20"/>
      <w:szCs w:val="20"/>
    </w:rPr>
  </w:style>
  <w:style w:type="character" w:customStyle="1" w:styleId="62">
    <w:name w:val="标题 6 Char"/>
    <w:basedOn w:val="46"/>
    <w:link w:val="9"/>
    <w:qFormat/>
    <w:locked/>
    <w:uiPriority w:val="99"/>
    <w:rPr>
      <w:rFonts w:ascii="Arial" w:hAnsi="Arial" w:eastAsia="黑体" w:cs="Times New Roman"/>
      <w:b/>
      <w:sz w:val="20"/>
      <w:szCs w:val="20"/>
    </w:rPr>
  </w:style>
  <w:style w:type="character" w:customStyle="1" w:styleId="63">
    <w:name w:val="标题 7 Char"/>
    <w:basedOn w:val="46"/>
    <w:link w:val="10"/>
    <w:qFormat/>
    <w:locked/>
    <w:uiPriority w:val="99"/>
    <w:rPr>
      <w:rFonts w:ascii="Times New Roman" w:hAnsi="Times New Roman" w:eastAsia="华文新魏" w:cs="Times New Roman"/>
      <w:b/>
      <w:sz w:val="20"/>
      <w:szCs w:val="20"/>
    </w:rPr>
  </w:style>
  <w:style w:type="character" w:customStyle="1" w:styleId="64">
    <w:name w:val="标题 8 Char"/>
    <w:basedOn w:val="46"/>
    <w:link w:val="11"/>
    <w:qFormat/>
    <w:locked/>
    <w:uiPriority w:val="99"/>
    <w:rPr>
      <w:rFonts w:ascii="Arial" w:hAnsi="Arial" w:eastAsia="黑体" w:cs="Times New Roman"/>
      <w:sz w:val="20"/>
      <w:szCs w:val="20"/>
    </w:rPr>
  </w:style>
  <w:style w:type="character" w:customStyle="1" w:styleId="65">
    <w:name w:val="标题 9 Char"/>
    <w:basedOn w:val="46"/>
    <w:link w:val="12"/>
    <w:qFormat/>
    <w:locked/>
    <w:uiPriority w:val="99"/>
    <w:rPr>
      <w:rFonts w:ascii="Arial" w:hAnsi="Arial" w:eastAsia="黑体" w:cs="Times New Roman"/>
      <w:sz w:val="20"/>
      <w:szCs w:val="20"/>
    </w:rPr>
  </w:style>
  <w:style w:type="character" w:customStyle="1" w:styleId="66">
    <w:name w:val="文档结构图 Char"/>
    <w:basedOn w:val="46"/>
    <w:link w:val="14"/>
    <w:qFormat/>
    <w:locked/>
    <w:uiPriority w:val="99"/>
    <w:rPr>
      <w:rFonts w:ascii="宋体" w:hAnsi="Times New Roman" w:eastAsia="华文新魏" w:cs="Times New Roman"/>
      <w:sz w:val="18"/>
      <w:szCs w:val="18"/>
    </w:rPr>
  </w:style>
  <w:style w:type="character" w:customStyle="1" w:styleId="67">
    <w:name w:val="批注文字 Char1"/>
    <w:basedOn w:val="46"/>
    <w:link w:val="15"/>
    <w:qFormat/>
    <w:locked/>
    <w:uiPriority w:val="0"/>
    <w:rPr>
      <w:rFonts w:ascii="Times New Roman" w:hAnsi="Times New Roman" w:eastAsia="宋体" w:cs="Times New Roman"/>
      <w:sz w:val="24"/>
      <w:szCs w:val="24"/>
    </w:rPr>
  </w:style>
  <w:style w:type="character" w:customStyle="1" w:styleId="68">
    <w:name w:val="正文文本 Char"/>
    <w:basedOn w:val="46"/>
    <w:link w:val="2"/>
    <w:semiHidden/>
    <w:qFormat/>
    <w:locked/>
    <w:uiPriority w:val="0"/>
    <w:rPr>
      <w:rFonts w:ascii="Times New Roman" w:hAnsi="Times New Roman" w:eastAsia="宋体" w:cs="Times New Roman"/>
      <w:sz w:val="24"/>
      <w:szCs w:val="24"/>
    </w:rPr>
  </w:style>
  <w:style w:type="character" w:customStyle="1" w:styleId="69">
    <w:name w:val="正文文本缩进 Char"/>
    <w:basedOn w:val="46"/>
    <w:link w:val="16"/>
    <w:qFormat/>
    <w:locked/>
    <w:uiPriority w:val="99"/>
    <w:rPr>
      <w:rFonts w:ascii="宋体" w:hAnsi="Times New Roman" w:eastAsia="华文新魏" w:cs="Times New Roman"/>
      <w:spacing w:val="-4"/>
      <w:sz w:val="20"/>
      <w:szCs w:val="20"/>
    </w:rPr>
  </w:style>
  <w:style w:type="character" w:customStyle="1" w:styleId="70">
    <w:name w:val="纯文本 Char"/>
    <w:basedOn w:val="46"/>
    <w:link w:val="20"/>
    <w:qFormat/>
    <w:locked/>
    <w:uiPriority w:val="99"/>
    <w:rPr>
      <w:rFonts w:ascii="宋体" w:hAnsi="Times New Roman" w:eastAsia="宋体" w:cs="Times New Roman"/>
    </w:rPr>
  </w:style>
  <w:style w:type="character" w:customStyle="1" w:styleId="71">
    <w:name w:val="日期 Char"/>
    <w:basedOn w:val="46"/>
    <w:link w:val="22"/>
    <w:qFormat/>
    <w:locked/>
    <w:uiPriority w:val="99"/>
    <w:rPr>
      <w:rFonts w:ascii="宋体" w:hAnsi="Times New Roman" w:eastAsia="华文新魏" w:cs="Times New Roman"/>
      <w:bCs/>
      <w:sz w:val="20"/>
      <w:szCs w:val="20"/>
    </w:rPr>
  </w:style>
  <w:style w:type="character" w:customStyle="1" w:styleId="72">
    <w:name w:val="正文文本缩进 2 Char"/>
    <w:basedOn w:val="46"/>
    <w:link w:val="23"/>
    <w:qFormat/>
    <w:locked/>
    <w:uiPriority w:val="99"/>
    <w:rPr>
      <w:rFonts w:ascii="Times New Roman" w:hAnsi="Times New Roman" w:eastAsia="华文新魏" w:cs="Times New Roman"/>
      <w:sz w:val="24"/>
      <w:szCs w:val="24"/>
    </w:rPr>
  </w:style>
  <w:style w:type="character" w:customStyle="1" w:styleId="73">
    <w:name w:val="批注框文本 Char"/>
    <w:basedOn w:val="46"/>
    <w:link w:val="24"/>
    <w:qFormat/>
    <w:locked/>
    <w:uiPriority w:val="99"/>
    <w:rPr>
      <w:rFonts w:ascii="Times New Roman" w:hAnsi="Times New Roman" w:eastAsia="华文新魏" w:cs="Times New Roman"/>
      <w:sz w:val="18"/>
      <w:szCs w:val="18"/>
    </w:rPr>
  </w:style>
  <w:style w:type="character" w:customStyle="1" w:styleId="74">
    <w:name w:val="页脚 Char"/>
    <w:basedOn w:val="46"/>
    <w:link w:val="25"/>
    <w:qFormat/>
    <w:locked/>
    <w:uiPriority w:val="99"/>
    <w:rPr>
      <w:rFonts w:ascii="宋体" w:hAnsi="Times New Roman" w:eastAsia="宋体" w:cs="Times New Roman"/>
      <w:sz w:val="18"/>
    </w:rPr>
  </w:style>
  <w:style w:type="character" w:customStyle="1" w:styleId="75">
    <w:name w:val="页眉 Char"/>
    <w:basedOn w:val="46"/>
    <w:link w:val="26"/>
    <w:qFormat/>
    <w:locked/>
    <w:uiPriority w:val="99"/>
    <w:rPr>
      <w:rFonts w:ascii="宋体" w:hAnsi="Times New Roman" w:eastAsia="华文新魏" w:cs="Times New Roman"/>
      <w:sz w:val="20"/>
      <w:szCs w:val="20"/>
    </w:rPr>
  </w:style>
  <w:style w:type="character" w:customStyle="1" w:styleId="76">
    <w:name w:val="正文文本缩进 3 Char"/>
    <w:basedOn w:val="46"/>
    <w:link w:val="31"/>
    <w:qFormat/>
    <w:locked/>
    <w:uiPriority w:val="99"/>
    <w:rPr>
      <w:rFonts w:ascii="Times New Roman" w:hAnsi="Times New Roman" w:eastAsia="华文新魏" w:cs="Times New Roman"/>
      <w:sz w:val="16"/>
      <w:szCs w:val="16"/>
    </w:rPr>
  </w:style>
  <w:style w:type="character" w:customStyle="1" w:styleId="77">
    <w:name w:val="正文文本 2 Char"/>
    <w:basedOn w:val="46"/>
    <w:link w:val="34"/>
    <w:qFormat/>
    <w:locked/>
    <w:uiPriority w:val="99"/>
    <w:rPr>
      <w:rFonts w:ascii="Times New Roman" w:hAnsi="Times New Roman" w:eastAsia="华文新魏" w:cs="Times New Roman"/>
      <w:sz w:val="24"/>
      <w:szCs w:val="24"/>
    </w:rPr>
  </w:style>
  <w:style w:type="character" w:customStyle="1" w:styleId="78">
    <w:name w:val="HTML 预设格式 Char"/>
    <w:basedOn w:val="46"/>
    <w:link w:val="36"/>
    <w:qFormat/>
    <w:locked/>
    <w:uiPriority w:val="99"/>
    <w:rPr>
      <w:rFonts w:ascii="Arial" w:hAnsi="Arial" w:eastAsia="华文新魏" w:cs="Arial"/>
      <w:kern w:val="0"/>
      <w:sz w:val="21"/>
      <w:szCs w:val="21"/>
    </w:rPr>
  </w:style>
  <w:style w:type="character" w:customStyle="1" w:styleId="79">
    <w:name w:val="标题 Char"/>
    <w:basedOn w:val="46"/>
    <w:link w:val="39"/>
    <w:qFormat/>
    <w:locked/>
    <w:uiPriority w:val="99"/>
    <w:rPr>
      <w:rFonts w:ascii="Arial" w:hAnsi="Arial" w:eastAsia="华文新魏" w:cs="Times New Roman"/>
      <w:b/>
      <w:bCs/>
      <w:sz w:val="32"/>
      <w:szCs w:val="32"/>
    </w:rPr>
  </w:style>
  <w:style w:type="character" w:customStyle="1" w:styleId="80">
    <w:name w:val="批注主题 Char"/>
    <w:basedOn w:val="67"/>
    <w:link w:val="40"/>
    <w:qFormat/>
    <w:locked/>
    <w:uiPriority w:val="99"/>
    <w:rPr>
      <w:rFonts w:eastAsia="华文新魏"/>
      <w:b/>
      <w:bCs/>
    </w:rPr>
  </w:style>
  <w:style w:type="character" w:customStyle="1" w:styleId="81">
    <w:name w:val="正文首行缩进 Char"/>
    <w:basedOn w:val="68"/>
    <w:link w:val="41"/>
    <w:qFormat/>
    <w:locked/>
    <w:uiPriority w:val="99"/>
  </w:style>
  <w:style w:type="character" w:customStyle="1" w:styleId="82">
    <w:name w:val="marklong"/>
    <w:qFormat/>
    <w:uiPriority w:val="99"/>
    <w:rPr>
      <w:rFonts w:ascii="Times New Roman" w:hAnsi="Times New Roman" w:eastAsia="华文新魏"/>
    </w:rPr>
  </w:style>
  <w:style w:type="character" w:customStyle="1" w:styleId="83">
    <w:name w:val="批注文字 Char"/>
    <w:qFormat/>
    <w:uiPriority w:val="0"/>
    <w:rPr>
      <w:rFonts w:ascii="Times New Roman" w:hAnsi="Times New Roman" w:eastAsia="宋体"/>
      <w:kern w:val="2"/>
      <w:sz w:val="24"/>
    </w:rPr>
  </w:style>
  <w:style w:type="character" w:customStyle="1" w:styleId="84">
    <w:name w:val="zi1"/>
    <w:qFormat/>
    <w:uiPriority w:val="99"/>
    <w:rPr>
      <w:rFonts w:ascii="??" w:hAnsi="??" w:eastAsia="华文新魏"/>
      <w:color w:val="000000"/>
      <w:sz w:val="22"/>
      <w:u w:val="none"/>
    </w:rPr>
  </w:style>
  <w:style w:type="character" w:customStyle="1" w:styleId="85">
    <w:name w:val="main141"/>
    <w:qFormat/>
    <w:uiPriority w:val="99"/>
    <w:rPr>
      <w:rFonts w:ascii="Times New Roman" w:hAnsi="Times New Roman" w:eastAsia="华文新魏"/>
      <w:sz w:val="21"/>
    </w:rPr>
  </w:style>
  <w:style w:type="character" w:customStyle="1" w:styleId="86">
    <w:name w:val="huei12b1"/>
    <w:qFormat/>
    <w:uiPriority w:val="99"/>
    <w:rPr>
      <w:rFonts w:ascii="Times New Roman" w:hAnsi="Times New Roman" w:eastAsia="华文新魏"/>
      <w:b/>
      <w:color w:val="333333"/>
      <w:sz w:val="18"/>
    </w:rPr>
  </w:style>
  <w:style w:type="character" w:customStyle="1" w:styleId="87">
    <w:name w:val="正文文本 + 11.5 pt"/>
    <w:qFormat/>
    <w:uiPriority w:val="99"/>
    <w:rPr>
      <w:rFonts w:ascii="MingLiU" w:hAnsi="Times New Roman" w:eastAsia="MingLiU"/>
      <w:color w:val="000000"/>
      <w:spacing w:val="20"/>
      <w:w w:val="100"/>
      <w:position w:val="0"/>
      <w:sz w:val="23"/>
      <w:u w:val="none"/>
      <w:lang w:val="zh-TW" w:eastAsia="zh-TW"/>
    </w:rPr>
  </w:style>
  <w:style w:type="character" w:customStyle="1" w:styleId="88">
    <w:name w:val="纯文本 字符1"/>
    <w:qFormat/>
    <w:uiPriority w:val="99"/>
    <w:rPr>
      <w:rFonts w:ascii="宋体" w:hAnsi="Times New Roman" w:eastAsia="宋体"/>
      <w:sz w:val="21"/>
    </w:rPr>
  </w:style>
  <w:style w:type="character" w:customStyle="1" w:styleId="89">
    <w:name w:val="小标题 Char"/>
    <w:qFormat/>
    <w:uiPriority w:val="99"/>
    <w:rPr>
      <w:rFonts w:ascii="Times New Roman" w:hAnsi="Times New Roman" w:eastAsia="华文新魏"/>
      <w:b/>
      <w:kern w:val="2"/>
      <w:sz w:val="32"/>
    </w:rPr>
  </w:style>
  <w:style w:type="character" w:customStyle="1" w:styleId="90">
    <w:name w:val="px141"/>
    <w:qFormat/>
    <w:uiPriority w:val="99"/>
    <w:rPr>
      <w:rFonts w:ascii="Times New Roman" w:hAnsi="Times New Roman" w:eastAsia="华文新魏"/>
      <w:sz w:val="21"/>
    </w:rPr>
  </w:style>
  <w:style w:type="character" w:customStyle="1" w:styleId="91">
    <w:name w:val="普通文字 Char Char2"/>
    <w:qFormat/>
    <w:uiPriority w:val="99"/>
    <w:rPr>
      <w:rFonts w:ascii="宋体" w:hAnsi="Times New Roman" w:eastAsia="宋体"/>
      <w:sz w:val="21"/>
    </w:rPr>
  </w:style>
  <w:style w:type="character" w:customStyle="1" w:styleId="92">
    <w:name w:val="price7"/>
    <w:qFormat/>
    <w:uiPriority w:val="99"/>
    <w:rPr>
      <w:rFonts w:ascii="Times New Roman" w:hAnsi="Times New Roman" w:eastAsia="华文新魏"/>
      <w:color w:val="CC0000"/>
    </w:rPr>
  </w:style>
  <w:style w:type="character" w:customStyle="1" w:styleId="93">
    <w:name w:val="纯文本 Char1"/>
    <w:qFormat/>
    <w:uiPriority w:val="0"/>
    <w:rPr>
      <w:rFonts w:ascii="宋体" w:hAnsi="Times New Roman" w:eastAsia="宋体"/>
      <w:sz w:val="20"/>
    </w:rPr>
  </w:style>
  <w:style w:type="character" w:customStyle="1" w:styleId="94">
    <w:name w:val="纯文本 Char2"/>
    <w:qFormat/>
    <w:uiPriority w:val="0"/>
    <w:rPr>
      <w:rFonts w:ascii="宋体" w:hAnsi="Times New Roman" w:eastAsia="宋体"/>
      <w:kern w:val="2"/>
      <w:sz w:val="21"/>
      <w:lang w:val="en-US" w:eastAsia="zh-CN"/>
    </w:rPr>
  </w:style>
  <w:style w:type="character" w:customStyle="1" w:styleId="95">
    <w:name w:val="paramname3"/>
    <w:qFormat/>
    <w:uiPriority w:val="99"/>
    <w:rPr>
      <w:rFonts w:ascii="Times New Roman" w:hAnsi="Times New Roman" w:eastAsia="华文新魏"/>
    </w:rPr>
  </w:style>
  <w:style w:type="character" w:customStyle="1" w:styleId="96">
    <w:name w:val="h"/>
    <w:qFormat/>
    <w:uiPriority w:val="99"/>
    <w:rPr>
      <w:rFonts w:ascii="Times New Roman" w:hAnsi="Times New Roman" w:eastAsia="华文新魏"/>
    </w:rPr>
  </w:style>
  <w:style w:type="character" w:customStyle="1" w:styleId="97">
    <w:name w:val="style2"/>
    <w:qFormat/>
    <w:uiPriority w:val="99"/>
    <w:rPr>
      <w:rFonts w:ascii="Times New Roman" w:hAnsi="Times New Roman" w:eastAsia="华文新魏"/>
    </w:rPr>
  </w:style>
  <w:style w:type="character" w:customStyle="1" w:styleId="98">
    <w:name w:val="标题 4 Char2"/>
    <w:qFormat/>
    <w:uiPriority w:val="99"/>
    <w:rPr>
      <w:rFonts w:ascii="Arial" w:hAnsi="Arial" w:eastAsia="黑体"/>
      <w:sz w:val="28"/>
    </w:rPr>
  </w:style>
  <w:style w:type="character" w:customStyle="1" w:styleId="99">
    <w:name w:val="font01"/>
    <w:qFormat/>
    <w:uiPriority w:val="99"/>
    <w:rPr>
      <w:rFonts w:ascii="宋体" w:hAnsi="Times New Roman" w:eastAsia="宋体"/>
      <w:color w:val="000000"/>
      <w:sz w:val="20"/>
      <w:u w:val="none"/>
    </w:rPr>
  </w:style>
  <w:style w:type="character" w:customStyle="1" w:styleId="100">
    <w:name w:val="city3"/>
    <w:qFormat/>
    <w:uiPriority w:val="99"/>
    <w:rPr>
      <w:rFonts w:ascii="Times New Roman" w:hAnsi="Times New Roman" w:eastAsia="华文新魏"/>
      <w:color w:val="999999"/>
    </w:rPr>
  </w:style>
  <w:style w:type="character" w:customStyle="1" w:styleId="101">
    <w:name w:val="链接"/>
    <w:qFormat/>
    <w:uiPriority w:val="99"/>
    <w:rPr>
      <w:rFonts w:ascii="Times New Roman" w:hAnsi="Times New Roman" w:eastAsia="宋体"/>
      <w:color w:val="0000FF"/>
      <w:sz w:val="21"/>
      <w:u w:val="single" w:color="0000FF"/>
      <w:vertAlign w:val="baseline"/>
      <w:lang w:val="en-US" w:eastAsia="zh-CN"/>
    </w:rPr>
  </w:style>
  <w:style w:type="character" w:customStyle="1" w:styleId="102">
    <w:name w:val="text11"/>
    <w:qFormat/>
    <w:uiPriority w:val="99"/>
    <w:rPr>
      <w:rFonts w:ascii="Verdana" w:hAnsi="Verdana" w:eastAsia="华文新魏"/>
      <w:color w:val="4E4E4E"/>
      <w:sz w:val="18"/>
    </w:rPr>
  </w:style>
  <w:style w:type="character" w:customStyle="1" w:styleId="103">
    <w:name w:val="正文缩进 字符"/>
    <w:qFormat/>
    <w:uiPriority w:val="99"/>
    <w:rPr>
      <w:rFonts w:ascii="Verdana" w:hAnsi="Verdana" w:eastAsia="华文新魏"/>
      <w:kern w:val="2"/>
      <w:sz w:val="21"/>
    </w:rPr>
  </w:style>
  <w:style w:type="character" w:customStyle="1" w:styleId="104">
    <w:name w:val="纯文本 Char3"/>
    <w:basedOn w:val="46"/>
    <w:semiHidden/>
    <w:qFormat/>
    <w:uiPriority w:val="99"/>
    <w:rPr>
      <w:rFonts w:ascii="宋体" w:hAnsi="Courier New" w:eastAsia="宋体" w:cs="Courier New"/>
      <w:sz w:val="21"/>
      <w:szCs w:val="21"/>
    </w:rPr>
  </w:style>
  <w:style w:type="character" w:customStyle="1" w:styleId="105">
    <w:name w:val="页脚 Char1"/>
    <w:basedOn w:val="46"/>
    <w:semiHidden/>
    <w:qFormat/>
    <w:uiPriority w:val="99"/>
    <w:rPr>
      <w:rFonts w:ascii="Times New Roman" w:hAnsi="Times New Roman" w:eastAsia="宋体" w:cs="Times New Roman"/>
      <w:sz w:val="18"/>
      <w:szCs w:val="18"/>
    </w:rPr>
  </w:style>
  <w:style w:type="paragraph" w:customStyle="1" w:styleId="106">
    <w:name w:val="CSS3级编号 Char Char Char Char Char Char Char Char Char Char Char"/>
    <w:basedOn w:val="1"/>
    <w:qFormat/>
    <w:uiPriority w:val="99"/>
    <w:pPr>
      <w:tabs>
        <w:tab w:val="left" w:pos="0"/>
      </w:tabs>
      <w:spacing w:line="360" w:lineRule="auto"/>
      <w:ind w:left="567"/>
    </w:pPr>
    <w:rPr>
      <w:rFonts w:eastAsia="华文新魏"/>
      <w:sz w:val="24"/>
    </w:rPr>
  </w:style>
  <w:style w:type="paragraph" w:customStyle="1" w:styleId="107">
    <w:name w:val="TOC 标题1"/>
    <w:basedOn w:val="3"/>
    <w:next w:val="1"/>
    <w:qFormat/>
    <w:uiPriority w:val="9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108">
    <w:name w:val="CSS1级编号"/>
    <w:basedOn w:val="1"/>
    <w:qFormat/>
    <w:uiPriority w:val="99"/>
    <w:pPr>
      <w:tabs>
        <w:tab w:val="left" w:pos="0"/>
      </w:tabs>
      <w:spacing w:line="360" w:lineRule="auto"/>
    </w:pPr>
    <w:rPr>
      <w:rFonts w:eastAsia="华文新魏"/>
      <w:sz w:val="24"/>
    </w:rPr>
  </w:style>
  <w:style w:type="paragraph" w:customStyle="1" w:styleId="109">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10">
    <w:name w:val="2"/>
    <w:basedOn w:val="1"/>
    <w:next w:val="20"/>
    <w:qFormat/>
    <w:uiPriority w:val="99"/>
    <w:rPr>
      <w:rFonts w:ascii="宋体" w:eastAsia="华文新魏"/>
      <w:szCs w:val="20"/>
    </w:rPr>
  </w:style>
  <w:style w:type="paragraph" w:customStyle="1" w:styleId="111">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eastAsia="华文新魏"/>
      <w:kern w:val="0"/>
      <w:szCs w:val="21"/>
    </w:rPr>
  </w:style>
  <w:style w:type="paragraph" w:customStyle="1" w:styleId="112">
    <w:name w:val="Char"/>
    <w:basedOn w:val="14"/>
    <w:qFormat/>
    <w:uiPriority w:val="99"/>
    <w:pPr>
      <w:widowControl/>
      <w:shd w:val="clear" w:color="auto" w:fill="000080"/>
      <w:ind w:firstLine="454"/>
      <w:jc w:val="left"/>
    </w:pPr>
    <w:rPr>
      <w:rFonts w:ascii="Tahoma" w:hAnsi="Tahoma" w:cs="宋体"/>
      <w:kern w:val="0"/>
      <w:sz w:val="24"/>
      <w:szCs w:val="20"/>
    </w:rPr>
  </w:style>
  <w:style w:type="paragraph" w:customStyle="1" w:styleId="113">
    <w:name w:val="图B-"/>
    <w:basedOn w:val="1"/>
    <w:qFormat/>
    <w:uiPriority w:val="99"/>
    <w:pPr>
      <w:tabs>
        <w:tab w:val="left" w:pos="0"/>
      </w:tabs>
      <w:jc w:val="center"/>
    </w:pPr>
    <w:rPr>
      <w:rFonts w:eastAsia="黑体"/>
      <w:szCs w:val="21"/>
    </w:rPr>
  </w:style>
  <w:style w:type="paragraph" w:customStyle="1" w:styleId="114">
    <w:name w:val="3"/>
    <w:basedOn w:val="1"/>
    <w:next w:val="20"/>
    <w:qFormat/>
    <w:uiPriority w:val="99"/>
    <w:rPr>
      <w:rFonts w:ascii="宋体" w:eastAsia="华文新魏"/>
      <w:szCs w:val="20"/>
    </w:rPr>
  </w:style>
  <w:style w:type="paragraph" w:customStyle="1" w:styleId="115">
    <w:name w:val="标书标题3"/>
    <w:basedOn w:val="1"/>
    <w:qFormat/>
    <w:uiPriority w:val="0"/>
    <w:pPr>
      <w:tabs>
        <w:tab w:val="left" w:pos="7920"/>
      </w:tabs>
      <w:adjustRightInd w:val="0"/>
      <w:snapToGrid w:val="0"/>
      <w:spacing w:line="360" w:lineRule="auto"/>
    </w:pPr>
    <w:rPr>
      <w:rFonts w:ascii="宋体" w:eastAsia="华文新魏"/>
      <w:color w:val="000000"/>
      <w:sz w:val="24"/>
      <w:szCs w:val="20"/>
    </w:rPr>
  </w:style>
  <w:style w:type="paragraph" w:customStyle="1" w:styleId="116">
    <w:name w:val="纯文本2"/>
    <w:basedOn w:val="1"/>
    <w:qFormat/>
    <w:uiPriority w:val="99"/>
    <w:pPr>
      <w:suppressAutoHyphens/>
    </w:pPr>
    <w:rPr>
      <w:rFonts w:ascii="宋体" w:eastAsia="华文新魏" w:cs="Courier New"/>
      <w:szCs w:val="21"/>
      <w:lang w:eastAsia="ar-SA"/>
    </w:rPr>
  </w:style>
  <w:style w:type="paragraph" w:customStyle="1" w:styleId="117">
    <w:name w:val="1"/>
    <w:basedOn w:val="1"/>
    <w:next w:val="20"/>
    <w:qFormat/>
    <w:uiPriority w:val="99"/>
    <w:rPr>
      <w:rFonts w:ascii="宋体" w:eastAsia="华文新魏"/>
      <w:szCs w:val="20"/>
    </w:rPr>
  </w:style>
  <w:style w:type="paragraph" w:customStyle="1" w:styleId="118">
    <w:name w:val="项目-正文"/>
    <w:basedOn w:val="1"/>
    <w:qFormat/>
    <w:uiPriority w:val="99"/>
    <w:pPr>
      <w:spacing w:line="360" w:lineRule="auto"/>
      <w:ind w:firstLine="200" w:firstLineChars="200"/>
    </w:pPr>
    <w:rPr>
      <w:rFonts w:eastAsia="华文新魏"/>
      <w:kern w:val="0"/>
      <w:sz w:val="28"/>
      <w:szCs w:val="28"/>
    </w:rPr>
  </w:style>
  <w:style w:type="paragraph" w:customStyle="1" w:styleId="119">
    <w:name w:val="font8"/>
    <w:basedOn w:val="1"/>
    <w:qFormat/>
    <w:uiPriority w:val="99"/>
    <w:pPr>
      <w:widowControl/>
      <w:spacing w:before="100" w:beforeAutospacing="1" w:after="100" w:afterAutospacing="1"/>
      <w:jc w:val="left"/>
    </w:pPr>
    <w:rPr>
      <w:rFonts w:eastAsia="华文新魏"/>
      <w:kern w:val="0"/>
      <w:szCs w:val="21"/>
    </w:rPr>
  </w:style>
  <w:style w:type="paragraph" w:customStyle="1" w:styleId="120">
    <w:name w:val="font6"/>
    <w:basedOn w:val="1"/>
    <w:qFormat/>
    <w:uiPriority w:val="99"/>
    <w:pPr>
      <w:widowControl/>
      <w:spacing w:before="100" w:beforeAutospacing="1" w:after="100" w:afterAutospacing="1"/>
      <w:jc w:val="left"/>
    </w:pPr>
    <w:rPr>
      <w:rFonts w:ascii="宋体" w:eastAsia="华文新魏"/>
      <w:kern w:val="0"/>
      <w:sz w:val="18"/>
      <w:szCs w:val="18"/>
    </w:rPr>
  </w:style>
  <w:style w:type="paragraph" w:customStyle="1" w:styleId="121">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22">
    <w:name w:val="列出段落1"/>
    <w:basedOn w:val="1"/>
    <w:qFormat/>
    <w:uiPriority w:val="99"/>
    <w:pPr>
      <w:ind w:firstLine="200" w:firstLineChars="200"/>
    </w:pPr>
    <w:rPr>
      <w:rFonts w:ascii="Calibri" w:hAnsi="Calibri" w:eastAsia="华文新魏" w:cs="Calibri"/>
      <w:szCs w:val="21"/>
    </w:rPr>
  </w:style>
  <w:style w:type="paragraph" w:customStyle="1" w:styleId="123">
    <w:name w:val="字元"/>
    <w:basedOn w:val="1"/>
    <w:qFormat/>
    <w:uiPriority w:val="99"/>
    <w:pPr>
      <w:widowControl/>
      <w:tabs>
        <w:tab w:val="left" w:pos="4665"/>
        <w:tab w:val="left" w:pos="8970"/>
      </w:tabs>
      <w:ind w:firstLine="400"/>
    </w:pPr>
    <w:rPr>
      <w:rFonts w:eastAsia="华文新魏"/>
      <w:szCs w:val="22"/>
    </w:rPr>
  </w:style>
  <w:style w:type="paragraph" w:customStyle="1" w:styleId="124">
    <w:name w:val="方案正文"/>
    <w:basedOn w:val="1"/>
    <w:qFormat/>
    <w:uiPriority w:val="99"/>
    <w:pPr>
      <w:spacing w:line="360" w:lineRule="auto"/>
      <w:ind w:firstLine="420"/>
    </w:pPr>
    <w:rPr>
      <w:rFonts w:ascii="宋体" w:eastAsia="华文新魏" w:cs="宋体"/>
      <w:sz w:val="24"/>
    </w:rPr>
  </w:style>
  <w:style w:type="paragraph" w:customStyle="1" w:styleId="125">
    <w:name w:val="font9"/>
    <w:basedOn w:val="1"/>
    <w:qFormat/>
    <w:uiPriority w:val="99"/>
    <w:pPr>
      <w:widowControl/>
      <w:spacing w:before="100" w:beforeAutospacing="1" w:after="100" w:afterAutospacing="1"/>
      <w:jc w:val="left"/>
    </w:pPr>
    <w:rPr>
      <w:rFonts w:ascii="宋体" w:eastAsia="华文新魏"/>
      <w:kern w:val="0"/>
      <w:szCs w:val="21"/>
    </w:rPr>
  </w:style>
  <w:style w:type="paragraph" w:customStyle="1" w:styleId="126">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7">
    <w:name w:val="正文11"/>
    <w:qFormat/>
    <w:uiPriority w:val="99"/>
    <w:pPr>
      <w:ind w:firstLine="200" w:firstLineChars="200"/>
    </w:pPr>
    <w:rPr>
      <w:rFonts w:ascii="Times New Roman" w:hAnsi="Times New Roman" w:eastAsia="宋体" w:cs="宋体"/>
      <w:lang w:val="en-US" w:eastAsia="zh-CN" w:bidi="ar-SA"/>
    </w:rPr>
  </w:style>
  <w:style w:type="paragraph" w:customStyle="1" w:styleId="128">
    <w:name w:val="Char11"/>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29">
    <w:name w:val="表A-"/>
    <w:basedOn w:val="1"/>
    <w:qFormat/>
    <w:uiPriority w:val="99"/>
    <w:pPr>
      <w:tabs>
        <w:tab w:val="left" w:pos="0"/>
      </w:tabs>
      <w:jc w:val="center"/>
    </w:pPr>
    <w:rPr>
      <w:rFonts w:eastAsia="华文新魏"/>
      <w:szCs w:val="21"/>
    </w:rPr>
  </w:style>
  <w:style w:type="paragraph" w:customStyle="1" w:styleId="130">
    <w:name w:val="修订1"/>
    <w:qFormat/>
    <w:uiPriority w:val="99"/>
    <w:rPr>
      <w:rFonts w:ascii="Times New Roman" w:hAnsi="Times New Roman" w:eastAsia="宋体" w:cs="Times New Roman"/>
      <w:kern w:val="2"/>
      <w:sz w:val="21"/>
      <w:szCs w:val="24"/>
      <w:lang w:val="en-US" w:eastAsia="zh-CN" w:bidi="ar-SA"/>
    </w:rPr>
  </w:style>
  <w:style w:type="paragraph" w:customStyle="1" w:styleId="131">
    <w:name w:val="font5"/>
    <w:basedOn w:val="1"/>
    <w:qFormat/>
    <w:uiPriority w:val="99"/>
    <w:pPr>
      <w:widowControl/>
      <w:spacing w:before="100" w:beforeAutospacing="1" w:after="100" w:afterAutospacing="1"/>
      <w:jc w:val="left"/>
    </w:pPr>
    <w:rPr>
      <w:rFonts w:ascii="宋体" w:eastAsia="华文新魏"/>
      <w:kern w:val="0"/>
      <w:sz w:val="24"/>
    </w:rPr>
  </w:style>
  <w:style w:type="paragraph" w:customStyle="1" w:styleId="132">
    <w:name w:val="Char1 Char Char Char"/>
    <w:basedOn w:val="1"/>
    <w:qFormat/>
    <w:uiPriority w:val="0"/>
    <w:rPr>
      <w:rFonts w:eastAsia="华文新魏"/>
    </w:rPr>
  </w:style>
  <w:style w:type="paragraph" w:customStyle="1" w:styleId="133">
    <w:name w:val="_Style 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4">
    <w:name w:val="默认段落字体 Para Char"/>
    <w:basedOn w:val="1"/>
    <w:qFormat/>
    <w:uiPriority w:val="99"/>
    <w:rPr>
      <w:rFonts w:eastAsia="华文新魏"/>
    </w:rPr>
  </w:style>
  <w:style w:type="paragraph" w:customStyle="1" w:styleId="13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36">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37">
    <w:name w:val="Char1"/>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3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39">
    <w:name w:val="Char Char8"/>
    <w:basedOn w:val="1"/>
    <w:qFormat/>
    <w:uiPriority w:val="99"/>
    <w:pPr>
      <w:widowControl/>
      <w:spacing w:after="160" w:line="240" w:lineRule="exact"/>
      <w:jc w:val="left"/>
    </w:pPr>
    <w:rPr>
      <w:rFonts w:ascii="Tahoma" w:hAnsi="Tahoma" w:eastAsia="华文新魏" w:cs="Verdana"/>
      <w:kern w:val="0"/>
      <w:szCs w:val="20"/>
      <w:lang w:eastAsia="en-US"/>
    </w:rPr>
  </w:style>
  <w:style w:type="paragraph" w:customStyle="1" w:styleId="140">
    <w:name w:val="Char Char Char Char Char Char1 Char"/>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41">
    <w:name w:val="font0"/>
    <w:basedOn w:val="1"/>
    <w:qFormat/>
    <w:uiPriority w:val="99"/>
    <w:pPr>
      <w:widowControl/>
      <w:spacing w:before="100" w:beforeAutospacing="1" w:after="100" w:afterAutospacing="1"/>
      <w:jc w:val="left"/>
    </w:pPr>
    <w:rPr>
      <w:rFonts w:ascii="宋体" w:eastAsia="华文新魏"/>
      <w:kern w:val="0"/>
      <w:sz w:val="24"/>
    </w:rPr>
  </w:style>
  <w:style w:type="paragraph" w:customStyle="1" w:styleId="142">
    <w:name w:val="正文文本 21"/>
    <w:basedOn w:val="1"/>
    <w:qFormat/>
    <w:uiPriority w:val="99"/>
    <w:pPr>
      <w:adjustRightInd w:val="0"/>
      <w:ind w:firstLine="540"/>
      <w:textAlignment w:val="baseline"/>
    </w:pPr>
    <w:rPr>
      <w:rFonts w:ascii="Calibri" w:hAnsi="Calibri" w:eastAsia="华文新魏"/>
      <w:szCs w:val="20"/>
    </w:rPr>
  </w:style>
  <w:style w:type="paragraph" w:customStyle="1" w:styleId="14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4">
    <w:name w:val="正文首行缩进两字符"/>
    <w:basedOn w:val="1"/>
    <w:qFormat/>
    <w:uiPriority w:val="99"/>
    <w:pPr>
      <w:spacing w:line="360" w:lineRule="auto"/>
      <w:ind w:firstLine="200" w:firstLineChars="200"/>
    </w:pPr>
    <w:rPr>
      <w:rFonts w:eastAsia="华文新魏"/>
      <w:kern w:val="0"/>
      <w:sz w:val="24"/>
    </w:rPr>
  </w:style>
  <w:style w:type="paragraph" w:customStyle="1" w:styleId="145">
    <w:name w:val="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6">
    <w:name w:val="font7"/>
    <w:basedOn w:val="1"/>
    <w:qFormat/>
    <w:uiPriority w:val="99"/>
    <w:pPr>
      <w:widowControl/>
      <w:spacing w:before="100" w:beforeAutospacing="1" w:after="100" w:afterAutospacing="1"/>
      <w:jc w:val="left"/>
    </w:pPr>
    <w:rPr>
      <w:rFonts w:eastAsia="华文新魏"/>
      <w:kern w:val="0"/>
      <w:sz w:val="24"/>
    </w:rPr>
  </w:style>
  <w:style w:type="paragraph" w:customStyle="1" w:styleId="147">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 w:val="24"/>
    </w:rPr>
  </w:style>
  <w:style w:type="paragraph" w:customStyle="1" w:styleId="148">
    <w:name w:val="Char Char Char1 Char"/>
    <w:basedOn w:val="1"/>
    <w:qFormat/>
    <w:uiPriority w:val="99"/>
    <w:rPr>
      <w:rFonts w:ascii="Tahoma" w:hAnsi="Tahoma" w:eastAsia="华文新魏"/>
      <w:sz w:val="24"/>
    </w:rPr>
  </w:style>
  <w:style w:type="paragraph" w:customStyle="1" w:styleId="149">
    <w:name w:val="当前正文"/>
    <w:qFormat/>
    <w:uiPriority w:val="99"/>
    <w:pPr>
      <w:widowControl w:val="0"/>
      <w:spacing w:line="360" w:lineRule="auto"/>
      <w:ind w:firstLine="200"/>
      <w:jc w:val="both"/>
    </w:pPr>
    <w:rPr>
      <w:rFonts w:ascii="Arial Unicode MS" w:hAnsi="Times New Roman" w:eastAsia="Arial Unicode MS" w:cs="Arial Unicode MS"/>
      <w:color w:val="000000"/>
      <w:kern w:val="2"/>
      <w:sz w:val="24"/>
      <w:szCs w:val="24"/>
      <w:u w:color="000000"/>
      <w:lang w:val="en-US" w:eastAsia="zh-CN" w:bidi="ar-SA"/>
    </w:rPr>
  </w:style>
  <w:style w:type="paragraph" w:customStyle="1" w:styleId="150">
    <w:name w:val="font10"/>
    <w:basedOn w:val="1"/>
    <w:qFormat/>
    <w:uiPriority w:val="99"/>
    <w:pPr>
      <w:widowControl/>
      <w:spacing w:before="100" w:beforeAutospacing="1" w:after="100" w:afterAutospacing="1"/>
      <w:jc w:val="left"/>
    </w:pPr>
    <w:rPr>
      <w:rFonts w:ascii="Arial" w:hAnsi="Arial" w:eastAsia="华文新魏" w:cs="Arial"/>
      <w:kern w:val="0"/>
      <w:sz w:val="19"/>
      <w:szCs w:val="19"/>
    </w:rPr>
  </w:style>
  <w:style w:type="paragraph" w:customStyle="1" w:styleId="15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52">
    <w:name w:val="Char12"/>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53">
    <w:name w:val="font13"/>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4">
    <w:name w:val="font12"/>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55">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56">
    <w:name w:val="纯文本1"/>
    <w:basedOn w:val="1"/>
    <w:qFormat/>
    <w:uiPriority w:val="0"/>
    <w:pPr>
      <w:suppressAutoHyphens/>
    </w:pPr>
    <w:rPr>
      <w:rFonts w:ascii="宋体" w:eastAsia="华文新魏"/>
      <w:sz w:val="20"/>
      <w:szCs w:val="21"/>
      <w:lang w:eastAsia="ar-SA"/>
    </w:rPr>
  </w:style>
  <w:style w:type="paragraph" w:customStyle="1" w:styleId="157">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8">
    <w:name w:val="列出段落2"/>
    <w:basedOn w:val="1"/>
    <w:qFormat/>
    <w:uiPriority w:val="99"/>
    <w:pPr>
      <w:ind w:firstLine="200" w:firstLineChars="200"/>
    </w:pPr>
    <w:rPr>
      <w:rFonts w:eastAsia="华文新魏"/>
    </w:rPr>
  </w:style>
  <w:style w:type="paragraph" w:customStyle="1" w:styleId="15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华文新魏"/>
      <w:kern w:val="0"/>
      <w:szCs w:val="21"/>
    </w:rPr>
  </w:style>
  <w:style w:type="paragraph" w:customStyle="1" w:styleId="160">
    <w:name w:val="Default"/>
    <w:next w:val="1"/>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61">
    <w:name w:val="font11"/>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62">
    <w:name w:val="4"/>
    <w:basedOn w:val="1"/>
    <w:next w:val="20"/>
    <w:qFormat/>
    <w:uiPriority w:val="99"/>
    <w:rPr>
      <w:rFonts w:ascii="宋体" w:eastAsia="华文新魏"/>
      <w:szCs w:val="20"/>
    </w:rPr>
  </w:style>
  <w:style w:type="paragraph" w:customStyle="1" w:styleId="16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4">
    <w:name w:val="我的样式"/>
    <w:basedOn w:val="1"/>
    <w:qFormat/>
    <w:uiPriority w:val="99"/>
    <w:pPr>
      <w:widowControl/>
      <w:topLinePunct/>
      <w:adjustRightInd w:val="0"/>
      <w:snapToGrid w:val="0"/>
      <w:spacing w:line="360" w:lineRule="auto"/>
      <w:ind w:firstLine="200" w:firstLineChars="200"/>
      <w:jc w:val="left"/>
    </w:pPr>
    <w:rPr>
      <w:rFonts w:ascii="宋体" w:eastAsia="华文新魏"/>
      <w:kern w:val="0"/>
      <w:sz w:val="24"/>
      <w:szCs w:val="18"/>
    </w:rPr>
  </w:style>
  <w:style w:type="paragraph" w:customStyle="1" w:styleId="165">
    <w:name w:val="Char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6">
    <w:name w:val="样式 目录 1"/>
    <w:basedOn w:val="27"/>
    <w:qFormat/>
    <w:uiPriority w:val="99"/>
    <w:pPr>
      <w:tabs>
        <w:tab w:val="clear" w:pos="9628"/>
      </w:tabs>
      <w:adjustRightInd w:val="0"/>
      <w:spacing w:before="120" w:after="120" w:line="360" w:lineRule="auto"/>
      <w:jc w:val="left"/>
    </w:pPr>
    <w:rPr>
      <w:rFonts w:ascii="Times New Roman" w:hAnsi="Times New Roman" w:eastAsia="宋体" w:cs="宋体"/>
      <w:b w:val="0"/>
      <w:bCs/>
      <w:caps/>
      <w:color w:val="auto"/>
      <w:sz w:val="20"/>
      <w:szCs w:val="20"/>
    </w:rPr>
  </w:style>
  <w:style w:type="paragraph" w:customStyle="1" w:styleId="167">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68">
    <w:name w:val="Char Char"/>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9">
    <w:name w:val="zi"/>
    <w:basedOn w:val="1"/>
    <w:qFormat/>
    <w:uiPriority w:val="99"/>
    <w:pPr>
      <w:widowControl/>
      <w:spacing w:before="100" w:beforeAutospacing="1" w:after="100" w:afterAutospacing="1" w:line="336" w:lineRule="atLeast"/>
      <w:jc w:val="left"/>
    </w:pPr>
    <w:rPr>
      <w:rFonts w:ascii="??" w:hAnsi="??" w:eastAsia="华文新魏" w:cs="宋体"/>
      <w:color w:val="000000"/>
      <w:kern w:val="0"/>
      <w:sz w:val="22"/>
      <w:szCs w:val="22"/>
    </w:rPr>
  </w:style>
  <w:style w:type="paragraph" w:customStyle="1" w:styleId="170">
    <w:name w:val="style1"/>
    <w:basedOn w:val="1"/>
    <w:qFormat/>
    <w:uiPriority w:val="99"/>
    <w:pPr>
      <w:widowControl/>
      <w:spacing w:before="100" w:beforeAutospacing="1" w:after="100" w:afterAutospacing="1"/>
      <w:jc w:val="left"/>
    </w:pPr>
    <w:rPr>
      <w:rFonts w:ascii="宋体" w:eastAsia="华文新魏" w:cs="宋体"/>
      <w:kern w:val="0"/>
      <w:sz w:val="24"/>
    </w:rPr>
  </w:style>
  <w:style w:type="paragraph" w:customStyle="1" w:styleId="17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2">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3">
    <w:name w:val="p0"/>
    <w:basedOn w:val="1"/>
    <w:qFormat/>
    <w:uiPriority w:val="99"/>
    <w:pPr>
      <w:widowControl/>
    </w:pPr>
    <w:rPr>
      <w:rFonts w:eastAsia="华文新魏"/>
      <w:kern w:val="0"/>
      <w:szCs w:val="21"/>
    </w:rPr>
  </w:style>
  <w:style w:type="paragraph" w:customStyle="1" w:styleId="174">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5">
    <w:name w:val="Char2"/>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76">
    <w:name w:val="font14"/>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7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华文新魏"/>
      <w:kern w:val="0"/>
      <w:sz w:val="24"/>
    </w:rPr>
  </w:style>
  <w:style w:type="paragraph" w:customStyle="1" w:styleId="178">
    <w:name w:val="正文1"/>
    <w:qFormat/>
    <w:uiPriority w:val="99"/>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character" w:customStyle="1" w:styleId="179">
    <w:name w:val="param-value"/>
    <w:qFormat/>
    <w:uiPriority w:val="0"/>
  </w:style>
  <w:style w:type="character" w:customStyle="1" w:styleId="180">
    <w:name w:val="纯文本 字符"/>
    <w:qFormat/>
    <w:uiPriority w:val="99"/>
    <w:rPr>
      <w:rFonts w:ascii="Ђˎ̥" w:hAnsi="Verdana" w:eastAsia="Ђˎ̥" w:cs="Verdana"/>
      <w:szCs w:val="21"/>
    </w:rPr>
  </w:style>
  <w:style w:type="character" w:customStyle="1" w:styleId="181">
    <w:name w:val="正文文本_"/>
    <w:basedOn w:val="46"/>
    <w:link w:val="182"/>
    <w:qFormat/>
    <w:uiPriority w:val="0"/>
    <w:rPr>
      <w:rFonts w:ascii="Arial Unicode MS" w:hAnsi="Arial Unicode MS" w:eastAsia="Arial Unicode MS" w:cs="Arial Unicode MS"/>
      <w:shd w:val="clear" w:color="auto" w:fill="FFFFFF"/>
    </w:rPr>
  </w:style>
  <w:style w:type="paragraph" w:customStyle="1" w:styleId="182">
    <w:name w:val="正文文本10"/>
    <w:basedOn w:val="1"/>
    <w:link w:val="181"/>
    <w:qFormat/>
    <w:uiPriority w:val="0"/>
    <w:pPr>
      <w:shd w:val="clear" w:color="auto" w:fill="FFFFFF"/>
      <w:spacing w:before="420" w:after="360" w:line="374" w:lineRule="exact"/>
      <w:jc w:val="distribute"/>
    </w:pPr>
    <w:rPr>
      <w:rFonts w:ascii="Arial Unicode MS" w:hAnsi="Arial Unicode MS" w:eastAsia="Arial Unicode MS" w:cs="Arial Unicode MS"/>
      <w:kern w:val="0"/>
      <w:sz w:val="20"/>
      <w:szCs w:val="20"/>
    </w:rPr>
  </w:style>
  <w:style w:type="character" w:customStyle="1" w:styleId="183">
    <w:name w:val="脚注文本 Char"/>
    <w:qFormat/>
    <w:uiPriority w:val="99"/>
    <w:rPr>
      <w:kern w:val="2"/>
      <w:sz w:val="18"/>
      <w:szCs w:val="18"/>
    </w:rPr>
  </w:style>
  <w:style w:type="character" w:customStyle="1" w:styleId="184">
    <w:name w:val="普通文字 Char Char4"/>
    <w:qFormat/>
    <w:uiPriority w:val="0"/>
    <w:rPr>
      <w:rFonts w:ascii="宋体" w:eastAsia="宋体" w:cs="Courier New"/>
      <w:kern w:val="2"/>
      <w:sz w:val="21"/>
      <w:szCs w:val="21"/>
      <w:lang w:val="en-US" w:eastAsia="zh-CN" w:bidi="ar-SA"/>
    </w:rPr>
  </w:style>
  <w:style w:type="character" w:customStyle="1" w:styleId="185">
    <w:name w:val="正文文本 + MingLiU"/>
    <w:basedOn w:val="46"/>
    <w:qFormat/>
    <w:uiPriority w:val="0"/>
    <w:rPr>
      <w:rFonts w:ascii="MingLiU" w:hAnsi="MingLiU" w:eastAsia="MingLiU" w:cs="MingLiU"/>
      <w:color w:val="000000"/>
      <w:spacing w:val="0"/>
      <w:w w:val="100"/>
      <w:position w:val="0"/>
      <w:sz w:val="16"/>
      <w:szCs w:val="16"/>
      <w:u w:val="none"/>
      <w:lang w:val="zh-TW"/>
    </w:rPr>
  </w:style>
  <w:style w:type="character" w:customStyle="1" w:styleId="186">
    <w:name w:val="正文文本 + Batang"/>
    <w:basedOn w:val="181"/>
    <w:qFormat/>
    <w:uiPriority w:val="0"/>
  </w:style>
  <w:style w:type="character" w:customStyle="1" w:styleId="187">
    <w:name w:val="脚注文本 Char1"/>
    <w:basedOn w:val="46"/>
    <w:link w:val="29"/>
    <w:semiHidden/>
    <w:qFormat/>
    <w:uiPriority w:val="99"/>
    <w:rPr>
      <w:rFonts w:ascii="Times New Roman" w:hAnsi="Times New Roman"/>
      <w:kern w:val="2"/>
      <w:sz w:val="18"/>
      <w:szCs w:val="18"/>
    </w:rPr>
  </w:style>
  <w:style w:type="paragraph" w:customStyle="1" w:styleId="188">
    <w:name w:val="TOC 标题2"/>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89">
    <w:name w:val="_Style 12"/>
    <w:basedOn w:val="1"/>
    <w:qFormat/>
    <w:uiPriority w:val="0"/>
    <w:pPr>
      <w:spacing w:line="360" w:lineRule="auto"/>
      <w:ind w:firstLine="200" w:firstLineChars="200"/>
    </w:pPr>
    <w:rPr>
      <w:rFonts w:ascii="Arial" w:hAnsi="Arial"/>
      <w:kern w:val="0"/>
      <w:sz w:val="24"/>
    </w:rPr>
  </w:style>
  <w:style w:type="paragraph" w:customStyle="1" w:styleId="190">
    <w:name w:val="Char Char Char Char Char Char Char Char Char"/>
    <w:basedOn w:val="1"/>
    <w:qFormat/>
    <w:uiPriority w:val="0"/>
    <w:pPr>
      <w:widowControl/>
      <w:spacing w:after="160" w:line="240" w:lineRule="exact"/>
      <w:jc w:val="left"/>
    </w:pPr>
  </w:style>
  <w:style w:type="paragraph" w:customStyle="1" w:styleId="191">
    <w:name w:val="彩色底纹 - 着色 11"/>
    <w:qFormat/>
    <w:uiPriority w:val="0"/>
    <w:rPr>
      <w:rFonts w:ascii="Calibri" w:hAnsi="Calibri" w:eastAsia="宋体" w:cs="Times New Roman"/>
      <w:kern w:val="2"/>
      <w:sz w:val="21"/>
      <w:szCs w:val="22"/>
      <w:lang w:val="en-US" w:eastAsia="zh-CN" w:bidi="ar-SA"/>
    </w:rPr>
  </w:style>
  <w:style w:type="paragraph" w:customStyle="1" w:styleId="192">
    <w:name w:val="修订2"/>
    <w:qFormat/>
    <w:uiPriority w:val="0"/>
    <w:rPr>
      <w:rFonts w:ascii="Calibri" w:hAnsi="Calibri" w:eastAsia="宋体" w:cs="Times New Roman"/>
      <w:kern w:val="2"/>
      <w:sz w:val="21"/>
      <w:szCs w:val="22"/>
      <w:lang w:val="en-US" w:eastAsia="zh-CN" w:bidi="ar-SA"/>
    </w:rPr>
  </w:style>
  <w:style w:type="paragraph" w:customStyle="1" w:styleId="193">
    <w:name w:val="正文文字"/>
    <w:basedOn w:val="1"/>
    <w:qFormat/>
    <w:uiPriority w:val="0"/>
    <w:pPr>
      <w:spacing w:before="60" w:after="60" w:line="360" w:lineRule="auto"/>
      <w:ind w:firstLine="200" w:firstLineChars="200"/>
      <w:jc w:val="left"/>
    </w:pPr>
    <w:rPr>
      <w:sz w:val="24"/>
    </w:rPr>
  </w:style>
  <w:style w:type="paragraph" w:customStyle="1" w:styleId="194">
    <w:name w:val="List Paragraph1"/>
    <w:basedOn w:val="1"/>
    <w:qFormat/>
    <w:uiPriority w:val="0"/>
    <w:pPr>
      <w:ind w:firstLine="420" w:firstLineChars="200"/>
    </w:pPr>
  </w:style>
  <w:style w:type="paragraph" w:customStyle="1" w:styleId="195">
    <w:name w:val="Table Paragraph"/>
    <w:basedOn w:val="1"/>
    <w:unhideWhenUsed/>
    <w:qFormat/>
    <w:uiPriority w:val="1"/>
    <w:rPr>
      <w:sz w:val="24"/>
    </w:rPr>
  </w:style>
  <w:style w:type="paragraph" w:styleId="196">
    <w:name w:val="List Paragraph"/>
    <w:basedOn w:val="1"/>
    <w:qFormat/>
    <w:uiPriority w:val="99"/>
    <w:pPr>
      <w:ind w:firstLine="420" w:firstLineChars="200"/>
    </w:pPr>
  </w:style>
  <w:style w:type="paragraph" w:customStyle="1" w:styleId="19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98">
    <w:name w:val="默认段落字体 Char Char Char"/>
    <w:basedOn w:val="1"/>
    <w:semiHidden/>
    <w:qFormat/>
    <w:uiPriority w:val="0"/>
    <w:rPr>
      <w:rFonts w:ascii="Arial" w:hAnsi="Arial" w:cs="Arial"/>
      <w:sz w:val="22"/>
      <w:szCs w:val="22"/>
      <w:lang w:eastAsia="en-US"/>
    </w:rPr>
  </w:style>
  <w:style w:type="paragraph" w:customStyle="1" w:styleId="199">
    <w:name w:val="列出段落3"/>
    <w:basedOn w:val="1"/>
    <w:qFormat/>
    <w:uiPriority w:val="0"/>
    <w:pPr>
      <w:ind w:firstLine="420" w:firstLineChars="200"/>
    </w:pPr>
    <w:rPr>
      <w:szCs w:val="21"/>
    </w:rPr>
  </w:style>
  <w:style w:type="character" w:customStyle="1" w:styleId="200">
    <w:name w:val="正文首行缩进 2 Char"/>
    <w:basedOn w:val="69"/>
    <w:link w:val="42"/>
    <w:qFormat/>
    <w:uiPriority w:val="0"/>
    <w:rPr>
      <w:kern w:val="2"/>
      <w:sz w:val="28"/>
      <w:szCs w:val="24"/>
    </w:rPr>
  </w:style>
  <w:style w:type="paragraph" w:customStyle="1" w:styleId="201">
    <w:name w:val="正文 首行缩进"/>
    <w:basedOn w:val="1"/>
    <w:link w:val="202"/>
    <w:qFormat/>
    <w:uiPriority w:val="0"/>
    <w:pPr>
      <w:spacing w:before="100" w:beforeAutospacing="1" w:after="100" w:afterAutospacing="1" w:line="360" w:lineRule="auto"/>
      <w:ind w:firstLine="480" w:firstLineChars="200"/>
    </w:pPr>
    <w:rPr>
      <w:rFonts w:ascii="Arial" w:hAnsi="Arial"/>
      <w:sz w:val="24"/>
      <w:szCs w:val="20"/>
    </w:rPr>
  </w:style>
  <w:style w:type="character" w:customStyle="1" w:styleId="202">
    <w:name w:val="正文 首行缩进 Char"/>
    <w:link w:val="201"/>
    <w:qFormat/>
    <w:uiPriority w:val="0"/>
    <w:rPr>
      <w:rFonts w:ascii="Arial" w:hAnsi="Arial"/>
      <w:kern w:val="2"/>
      <w:sz w:val="24"/>
    </w:rPr>
  </w:style>
  <w:style w:type="table" w:customStyle="1" w:styleId="203">
    <w:name w:val="Table Normal"/>
    <w:semiHidden/>
    <w:unhideWhenUsed/>
    <w:qFormat/>
    <w:uiPriority w:val="0"/>
    <w:tblPr>
      <w:tblCellMar>
        <w:top w:w="0" w:type="dxa"/>
        <w:left w:w="0" w:type="dxa"/>
        <w:bottom w:w="0" w:type="dxa"/>
        <w:right w:w="0" w:type="dxa"/>
      </w:tblCellMar>
    </w:tblPr>
  </w:style>
  <w:style w:type="paragraph" w:customStyle="1" w:styleId="204">
    <w:name w:val="表内文字"/>
    <w:basedOn w:val="1"/>
    <w:qFormat/>
    <w:uiPriority w:val="0"/>
    <w:pPr>
      <w:snapToGrid w:val="0"/>
      <w:spacing w:before="50" w:after="50"/>
      <w:jc w:val="center"/>
    </w:pPr>
    <w:rPr>
      <w:rFonts w:ascii="仿宋_GB2312" w:hAnsi="宋体" w:eastAsia="仿宋_GB2312"/>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67</Pages>
  <Words>37424</Words>
  <Characters>40610</Characters>
  <Lines>319</Lines>
  <Paragraphs>90</Paragraphs>
  <TotalTime>9</TotalTime>
  <ScaleCrop>false</ScaleCrop>
  <LinksUpToDate>false</LinksUpToDate>
  <CharactersWithSpaces>41808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2022-09-12T16:31:00Z</dcterms:created>
  <dc:creator>Administrator</dc:creator>
  <cp:lastModifiedBy>代理姚茜</cp:lastModifiedBy>
  <cp:lastPrinted>2023-04-19T11:38:00Z</cp:lastPrinted>
  <dcterms:modified xsi:type="dcterms:W3CDTF">2023-04-27T02:38:44Z</dcterms:modified>
  <dc:title>广西科联招标中心有限公司</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EA85E02A4CCC47FB9AAB137AC7EC882E</vt:lpwstr>
  </property>
</Properties>
</file>