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pPr>
        <w:rPr>
          <w:color w:val="auto"/>
          <w:highlight w:val="none"/>
        </w:rPr>
      </w:pPr>
    </w:p>
    <w:p>
      <w:pPr>
        <w:topLinePunct/>
        <w:autoSpaceDE w:val="0"/>
        <w:autoSpaceDN w:val="0"/>
        <w:spacing w:line="360" w:lineRule="auto"/>
        <w:jc w:val="center"/>
        <w:rPr>
          <w:rFonts w:ascii="黑体" w:eastAsia="黑体" w:hAnsi="黑体" w:cs="黑体"/>
          <w:bCs/>
          <w:color w:val="auto"/>
          <w:sz w:val="72"/>
          <w:szCs w:val="72"/>
          <w:highlight w:val="none"/>
        </w:rPr>
      </w:pPr>
      <w:r>
        <w:rPr>
          <w:rFonts w:ascii="黑体" w:eastAsia="黑体" w:hAnsi="黑体" w:cs="黑体" w:hint="eastAsia"/>
          <w:bCs/>
          <w:color w:val="auto"/>
          <w:sz w:val="72"/>
          <w:szCs w:val="72"/>
          <w:highlight w:val="none"/>
        </w:rPr>
        <w:t>招 标 文 件</w:t>
      </w:r>
    </w:p>
    <w:p>
      <w:pPr>
        <w:topLinePunct/>
        <w:autoSpaceDE w:val="0"/>
        <w:autoSpaceDN w:val="0"/>
        <w:spacing w:line="360" w:lineRule="auto"/>
        <w:jc w:val="center"/>
        <w:rPr>
          <w:rFonts w:ascii="黑体" w:eastAsia="黑体" w:hAnsi="黑体" w:cs="黑体"/>
          <w:bCs/>
          <w:color w:val="auto"/>
          <w:sz w:val="72"/>
          <w:szCs w:val="72"/>
          <w:highlight w:val="none"/>
        </w:rPr>
      </w:pPr>
    </w:p>
    <w:p>
      <w:pPr>
        <w:topLinePunct/>
        <w:autoSpaceDE w:val="0"/>
        <w:autoSpaceDN w:val="0"/>
        <w:snapToGrid w:val="0"/>
        <w:spacing w:line="360" w:lineRule="auto"/>
        <w:jc w:val="center"/>
        <w:rPr>
          <w:rFonts w:ascii="华文中宋" w:eastAsia="华文中宋" w:hAnsi="华文中宋" w:cs="华文中宋"/>
          <w:bCs/>
          <w:color w:val="auto"/>
          <w:sz w:val="72"/>
          <w:szCs w:val="72"/>
          <w:highlight w:val="none"/>
        </w:rPr>
      </w:pPr>
      <w:r>
        <w:rPr>
          <w:rFonts w:ascii="黑体" w:eastAsia="黑体" w:hAnsi="黑体" w:cs="黑体" w:hint="eastAsia"/>
          <w:bCs/>
          <w:color w:val="auto"/>
          <w:sz w:val="72"/>
          <w:szCs w:val="72"/>
          <w:highlight w:val="none"/>
        </w:rPr>
        <w:t>（商务部分）</w:t>
      </w:r>
    </w:p>
    <w:p>
      <w:pPr>
        <w:pStyle w:val="BodyText"/>
        <w:rPr>
          <w:color w:val="auto"/>
          <w:highlight w:val="none"/>
        </w:rPr>
      </w:pPr>
    </w:p>
    <w:p>
      <w:pPr>
        <w:topLinePunct/>
        <w:autoSpaceDE w:val="0"/>
        <w:autoSpaceDN w:val="0"/>
        <w:snapToGrid w:val="0"/>
        <w:rPr>
          <w:rFonts w:ascii="华文中宋" w:eastAsia="华文中宋" w:hAnsi="华文中宋" w:cs="华文中宋"/>
          <w:bCs/>
          <w:color w:val="auto"/>
          <w:sz w:val="32"/>
          <w:szCs w:val="32"/>
          <w:highlight w:val="none"/>
        </w:rPr>
      </w:pPr>
    </w:p>
    <w:p>
      <w:pPr>
        <w:jc w:val="center"/>
        <w:rPr>
          <w:rFonts w:ascii="方正小标宋简体" w:eastAsia="方正小标宋简体" w:hAnsi="方正小标宋简体" w:cs="方正小标宋简体"/>
          <w:color w:val="auto"/>
          <w:sz w:val="24"/>
          <w:szCs w:val="24"/>
          <w:highlight w:val="none"/>
        </w:rPr>
      </w:pPr>
    </w:p>
    <w:p>
      <w:pPr>
        <w:jc w:val="center"/>
        <w:rPr>
          <w:rFonts w:ascii="方正小标宋简体" w:eastAsia="方正小标宋简体" w:hAnsi="方正小标宋简体" w:cs="方正小标宋简体"/>
          <w:color w:val="auto"/>
          <w:sz w:val="24"/>
          <w:szCs w:val="24"/>
          <w:highlight w:val="none"/>
        </w:rPr>
      </w:pPr>
    </w:p>
    <w:p>
      <w:pPr>
        <w:spacing w:line="360" w:lineRule="auto"/>
        <w:jc w:val="center"/>
        <w:rPr>
          <w:rFonts w:asciiTheme="minorEastAsia" w:eastAsiaTheme="minorEastAsia" w:hAnsiTheme="minorEastAsia" w:cstheme="minorEastAsia"/>
          <w:b/>
          <w:bCs/>
          <w:color w:val="auto"/>
          <w:sz w:val="30"/>
          <w:szCs w:val="30"/>
          <w:highlight w:val="none"/>
        </w:rPr>
      </w:pPr>
    </w:p>
    <w:p>
      <w:pPr>
        <w:spacing w:line="360" w:lineRule="auto"/>
        <w:jc w:val="both"/>
        <w:outlineLvl w:val="0"/>
        <w:rPr>
          <w:rFonts w:cstheme="minorEastAsia" w:hint="eastAsia"/>
          <w:b/>
          <w:bCs/>
          <w:color w:val="auto"/>
          <w:sz w:val="32"/>
          <w:szCs w:val="32"/>
          <w:highlight w:val="none"/>
          <w:lang w:eastAsia="zh-CN"/>
        </w:rPr>
      </w:pPr>
      <w:r>
        <w:rPr>
          <w:rFonts w:asciiTheme="minorEastAsia" w:eastAsiaTheme="minorEastAsia" w:hAnsiTheme="minorEastAsia" w:cstheme="minorEastAsia" w:hint="eastAsia"/>
          <w:b/>
          <w:bCs/>
          <w:color w:val="auto"/>
          <w:sz w:val="32"/>
          <w:szCs w:val="32"/>
          <w:highlight w:val="none"/>
        </w:rPr>
        <w:t>项目名称：</w:t>
      </w:r>
      <w:r>
        <w:rPr>
          <w:rFonts w:cstheme="minorEastAsia" w:hint="eastAsia"/>
          <w:b/>
          <w:bCs/>
          <w:color w:val="auto"/>
          <w:sz w:val="32"/>
          <w:szCs w:val="32"/>
          <w:highlight w:val="none"/>
          <w:lang w:eastAsia="zh-CN"/>
        </w:rPr>
        <w:t>国家税务总局广西壮族自治区税务局</w:t>
      </w:r>
    </w:p>
    <w:p>
      <w:pPr>
        <w:spacing w:line="360" w:lineRule="auto"/>
        <w:ind w:firstLine="1600" w:firstLineChars="500"/>
        <w:jc w:val="both"/>
        <w:outlineLvl w:val="0"/>
        <w:rPr>
          <w:rFonts w:asciiTheme="minorEastAsia" w:eastAsiaTheme="minorEastAsia" w:hAnsiTheme="minorEastAsia" w:cstheme="minorEastAsia" w:hint="eastAsia"/>
          <w:b/>
          <w:bCs/>
          <w:color w:val="auto"/>
          <w:sz w:val="32"/>
          <w:szCs w:val="32"/>
          <w:highlight w:val="none"/>
          <w:lang w:eastAsia="zh-CN"/>
        </w:rPr>
      </w:pPr>
      <w:r>
        <w:rPr>
          <w:rFonts w:cstheme="minorEastAsia" w:hint="eastAsia"/>
          <w:b/>
          <w:bCs/>
          <w:color w:val="auto"/>
          <w:sz w:val="32"/>
          <w:szCs w:val="32"/>
          <w:highlight w:val="none"/>
          <w:lang w:val="en-US" w:eastAsia="zh-CN"/>
        </w:rPr>
        <w:t>金税工程运维服务管理平台2024年运维服务项目</w:t>
      </w:r>
    </w:p>
    <w:p>
      <w:pPr>
        <w:spacing w:line="360" w:lineRule="auto"/>
        <w:ind w:firstLine="320" w:firstLineChars="100"/>
        <w:rPr>
          <w:rFonts w:asciiTheme="minorEastAsia" w:eastAsiaTheme="minorEastAsia" w:hAnsiTheme="minorEastAsia" w:cstheme="minorEastAsia"/>
          <w:b/>
          <w:bCs/>
          <w:color w:val="auto"/>
          <w:sz w:val="32"/>
          <w:szCs w:val="32"/>
          <w:highlight w:val="none"/>
        </w:rPr>
      </w:pPr>
    </w:p>
    <w:p>
      <w:pPr>
        <w:spacing w:line="360" w:lineRule="auto"/>
        <w:jc w:val="both"/>
        <w:outlineLvl w:val="0"/>
        <w:rPr>
          <w:rFonts w:eastAsiaTheme="minorEastAsia" w:hint="default"/>
          <w:b/>
          <w:color w:val="auto"/>
          <w:sz w:val="32"/>
          <w:szCs w:val="32"/>
          <w:highlight w:val="none"/>
          <w:lang w:val="en-US" w:eastAsia="zh-CN"/>
        </w:rPr>
      </w:pPr>
      <w:r>
        <w:rPr>
          <w:rFonts w:asciiTheme="minorEastAsia" w:eastAsiaTheme="minorEastAsia" w:hAnsiTheme="minorEastAsia" w:cstheme="minorEastAsia" w:hint="eastAsia"/>
          <w:b/>
          <w:bCs/>
          <w:color w:val="auto"/>
          <w:sz w:val="32"/>
          <w:szCs w:val="32"/>
          <w:highlight w:val="none"/>
        </w:rPr>
        <w:t>项目编号：</w:t>
      </w:r>
      <w:r>
        <w:rPr>
          <w:rFonts w:cstheme="minorEastAsia" w:hint="eastAsia"/>
          <w:b/>
          <w:color w:val="auto"/>
          <w:sz w:val="32"/>
          <w:szCs w:val="32"/>
          <w:highlight w:val="none"/>
          <w:u w:val="none"/>
          <w:lang w:eastAsia="zh-CN"/>
        </w:rPr>
        <w:t>GX2024-</w:t>
      </w:r>
      <w:r>
        <w:rPr>
          <w:rFonts w:cstheme="minorEastAsia" w:hint="eastAsia"/>
          <w:b/>
          <w:color w:val="auto"/>
          <w:sz w:val="32"/>
          <w:szCs w:val="32"/>
          <w:highlight w:val="none"/>
          <w:u w:val="none"/>
          <w:lang w:val="en-US" w:eastAsia="zh-CN"/>
        </w:rPr>
        <w:t>ZXGK</w:t>
      </w:r>
      <w:r>
        <w:rPr>
          <w:rFonts w:cstheme="minorEastAsia" w:hint="eastAsia"/>
          <w:b/>
          <w:color w:val="auto"/>
          <w:sz w:val="32"/>
          <w:szCs w:val="32"/>
          <w:highlight w:val="none"/>
          <w:u w:val="none"/>
          <w:lang w:eastAsia="zh-CN"/>
        </w:rPr>
        <w:t>-</w:t>
      </w:r>
      <w:r>
        <w:rPr>
          <w:rFonts w:cstheme="minorEastAsia" w:hint="eastAsia"/>
          <w:b/>
          <w:color w:val="auto"/>
          <w:sz w:val="32"/>
          <w:szCs w:val="32"/>
          <w:highlight w:val="none"/>
          <w:u w:val="none"/>
          <w:lang w:val="en-US" w:eastAsia="zh-CN"/>
        </w:rPr>
        <w:t>C0066-B00</w:t>
      </w:r>
    </w:p>
    <w:p>
      <w:pPr>
        <w:spacing w:line="360" w:lineRule="auto"/>
        <w:ind w:firstLine="320" w:firstLineChars="100"/>
        <w:rPr>
          <w:rFonts w:asciiTheme="minorEastAsia" w:eastAsiaTheme="minorEastAsia" w:hAnsiTheme="minorEastAsia" w:cstheme="minorEastAsia" w:hint="default"/>
          <w:b/>
          <w:bCs/>
          <w:color w:val="auto"/>
          <w:sz w:val="32"/>
          <w:szCs w:val="32"/>
          <w:highlight w:val="none"/>
          <w:lang w:val="en-US" w:eastAsia="zh-CN"/>
        </w:rPr>
      </w:pPr>
    </w:p>
    <w:p>
      <w:pPr>
        <w:spacing w:line="360" w:lineRule="auto"/>
        <w:jc w:val="both"/>
        <w:outlineLvl w:val="0"/>
        <w:rPr>
          <w:rFonts w:asciiTheme="minorEastAsia" w:eastAsiaTheme="minorEastAsia" w:hAnsiTheme="minorEastAsia" w:cstheme="minorEastAsia" w:hint="eastAsia"/>
          <w:b/>
          <w:bCs/>
          <w:color w:val="auto"/>
          <w:sz w:val="32"/>
          <w:szCs w:val="32"/>
          <w:highlight w:val="none"/>
          <w:lang w:eastAsia="zh-CN"/>
        </w:rPr>
      </w:pPr>
      <w:r>
        <w:rPr>
          <w:rFonts w:asciiTheme="minorEastAsia" w:eastAsiaTheme="minorEastAsia" w:hAnsiTheme="minorEastAsia" w:cstheme="minorEastAsia" w:hint="eastAsia"/>
          <w:b/>
          <w:bCs/>
          <w:color w:val="auto"/>
          <w:sz w:val="32"/>
          <w:szCs w:val="32"/>
          <w:highlight w:val="none"/>
        </w:rPr>
        <w:t>采 购 人：</w:t>
      </w:r>
      <w:r>
        <w:rPr>
          <w:rFonts w:asciiTheme="minorEastAsia" w:eastAsiaTheme="minorEastAsia" w:hAnsiTheme="minorEastAsia" w:cstheme="minorEastAsia" w:hint="eastAsia"/>
          <w:b/>
          <w:bCs/>
          <w:color w:val="auto"/>
          <w:sz w:val="32"/>
          <w:szCs w:val="32"/>
          <w:highlight w:val="none"/>
          <w:lang w:eastAsia="zh-CN"/>
        </w:rPr>
        <w:t>国家税务总局广西壮族自治区税务局</w:t>
      </w:r>
    </w:p>
    <w:p>
      <w:pPr>
        <w:spacing w:line="360" w:lineRule="auto"/>
        <w:ind w:firstLine="320" w:firstLineChars="100"/>
        <w:rPr>
          <w:rFonts w:asciiTheme="minorEastAsia" w:eastAsiaTheme="minorEastAsia" w:hAnsiTheme="minorEastAsia" w:cstheme="minorEastAsia"/>
          <w:b/>
          <w:bCs/>
          <w:color w:val="auto"/>
          <w:sz w:val="32"/>
          <w:szCs w:val="32"/>
          <w:highlight w:val="none"/>
        </w:rPr>
      </w:pPr>
    </w:p>
    <w:p>
      <w:pPr>
        <w:topLinePunct/>
        <w:autoSpaceDE w:val="0"/>
        <w:autoSpaceDN w:val="0"/>
        <w:spacing w:line="460" w:lineRule="exact"/>
        <w:rPr>
          <w:rFonts w:asciiTheme="minorEastAsia" w:eastAsiaTheme="minorEastAsia" w:hAnsiTheme="minorEastAsia" w:cstheme="minorEastAsia"/>
          <w:b/>
          <w:bCs/>
          <w:color w:val="auto"/>
          <w:sz w:val="32"/>
          <w:szCs w:val="32"/>
          <w:highlight w:val="none"/>
        </w:rPr>
      </w:pPr>
    </w:p>
    <w:p>
      <w:pPr>
        <w:topLinePunct/>
        <w:autoSpaceDE w:val="0"/>
        <w:autoSpaceDN w:val="0"/>
        <w:spacing w:line="460" w:lineRule="exact"/>
        <w:jc w:val="center"/>
        <w:rPr>
          <w:rFonts w:asciiTheme="minorEastAsia" w:eastAsiaTheme="minorEastAsia" w:hAnsiTheme="minorEastAsia" w:cstheme="minorEastAsia"/>
          <w:b/>
          <w:bCs/>
          <w:color w:val="auto"/>
          <w:sz w:val="32"/>
          <w:szCs w:val="32"/>
          <w:highlight w:val="none"/>
        </w:rPr>
      </w:pPr>
    </w:p>
    <w:p>
      <w:pPr>
        <w:topLinePunct/>
        <w:autoSpaceDE w:val="0"/>
        <w:autoSpaceDN w:val="0"/>
        <w:spacing w:line="460" w:lineRule="exact"/>
        <w:jc w:val="center"/>
        <w:outlineLvl w:val="0"/>
        <w:rPr>
          <w:rFonts w:asciiTheme="minorEastAsia" w:eastAsiaTheme="minorEastAsia" w:hAnsiTheme="minorEastAsia" w:cstheme="minorEastAsia" w:hint="eastAsia"/>
          <w:b/>
          <w:bCs/>
          <w:color w:val="auto"/>
          <w:sz w:val="32"/>
          <w:szCs w:val="32"/>
          <w:highlight w:val="none"/>
          <w:lang w:eastAsia="zh-CN"/>
        </w:rPr>
      </w:pPr>
      <w:r>
        <w:rPr>
          <w:rFonts w:asciiTheme="minorEastAsia" w:eastAsiaTheme="minorEastAsia" w:hAnsiTheme="minorEastAsia" w:cstheme="minorEastAsia" w:hint="eastAsia"/>
          <w:b/>
          <w:bCs/>
          <w:color w:val="auto"/>
          <w:sz w:val="32"/>
          <w:szCs w:val="32"/>
          <w:highlight w:val="none"/>
          <w:lang w:eastAsia="zh-CN"/>
        </w:rPr>
        <w:t>国家税务总局广西壮族自治区税务局</w:t>
      </w:r>
    </w:p>
    <w:p>
      <w:pPr>
        <w:topLinePunct/>
        <w:autoSpaceDE w:val="0"/>
        <w:autoSpaceDN w:val="0"/>
        <w:spacing w:line="160" w:lineRule="exact"/>
        <w:jc w:val="center"/>
        <w:rPr>
          <w:rFonts w:asciiTheme="minorEastAsia" w:eastAsiaTheme="minorEastAsia" w:hAnsiTheme="minorEastAsia" w:cstheme="minorEastAsia"/>
          <w:b/>
          <w:bCs/>
          <w:color w:val="auto"/>
          <w:sz w:val="32"/>
          <w:szCs w:val="32"/>
          <w:highlight w:val="none"/>
        </w:rPr>
      </w:pPr>
    </w:p>
    <w:p>
      <w:pPr>
        <w:jc w:val="center"/>
        <w:rPr>
          <w:rFonts w:asciiTheme="minorEastAsia" w:eastAsiaTheme="minorEastAsia" w:hAnsiTheme="minorEastAsia" w:cstheme="minorEastAsia"/>
          <w:b/>
          <w:bCs/>
          <w:color w:val="auto"/>
          <w:sz w:val="32"/>
          <w:szCs w:val="32"/>
          <w:highlight w:val="none"/>
        </w:rPr>
      </w:pPr>
      <w:r>
        <w:rPr>
          <w:rFonts w:asciiTheme="minorEastAsia" w:eastAsiaTheme="minorEastAsia" w:hAnsiTheme="minorEastAsia" w:cstheme="minorEastAsia" w:hint="eastAsia"/>
          <w:b/>
          <w:bCs/>
          <w:color w:val="auto"/>
          <w:sz w:val="32"/>
          <w:szCs w:val="32"/>
          <w:highlight w:val="none"/>
        </w:rPr>
        <w:t>2024年</w:t>
      </w:r>
      <w:r>
        <w:rPr>
          <w:rFonts w:cstheme="minorEastAsia" w:hint="eastAsia"/>
          <w:b/>
          <w:bCs/>
          <w:color w:val="auto"/>
          <w:sz w:val="32"/>
          <w:szCs w:val="32"/>
          <w:highlight w:val="none"/>
          <w:lang w:val="en-US" w:eastAsia="zh-CN"/>
        </w:rPr>
        <w:t>8</w:t>
      </w:r>
      <w:r>
        <w:rPr>
          <w:rFonts w:asciiTheme="minorEastAsia" w:eastAsiaTheme="minorEastAsia" w:hAnsiTheme="minorEastAsia" w:cstheme="minorEastAsia" w:hint="eastAsia"/>
          <w:b/>
          <w:bCs/>
          <w:color w:val="auto"/>
          <w:sz w:val="32"/>
          <w:szCs w:val="32"/>
          <w:highlight w:val="none"/>
        </w:rPr>
        <w:t>月</w:t>
      </w:r>
      <w:r>
        <w:rPr>
          <w:rFonts w:cstheme="minorEastAsia" w:hint="eastAsia"/>
          <w:b/>
          <w:bCs/>
          <w:color w:val="auto"/>
          <w:sz w:val="32"/>
          <w:szCs w:val="32"/>
          <w:highlight w:val="none"/>
          <w:lang w:val="en-US" w:eastAsia="zh-CN"/>
        </w:rPr>
        <w:t>30</w:t>
      </w:r>
      <w:r>
        <w:rPr>
          <w:rFonts w:asciiTheme="minorEastAsia" w:eastAsiaTheme="minorEastAsia" w:hAnsiTheme="minorEastAsia" w:cstheme="minorEastAsia" w:hint="eastAsia"/>
          <w:b/>
          <w:bCs/>
          <w:color w:val="auto"/>
          <w:sz w:val="32"/>
          <w:szCs w:val="32"/>
          <w:highlight w:val="none"/>
        </w:rPr>
        <w:t>日</w:t>
      </w:r>
    </w:p>
    <w:p>
      <w:pPr>
        <w:jc w:val="center"/>
        <w:rPr>
          <w:rFonts w:ascii="华文中宋" w:eastAsia="华文中宋" w:hAnsi="华文中宋" w:cs="华文中宋" w:hint="eastAsia"/>
          <w:color w:val="auto"/>
          <w:sz w:val="44"/>
          <w:szCs w:val="44"/>
          <w:highlight w:val="none"/>
          <w:lang w:val="zh-CN"/>
        </w:rPr>
      </w:pPr>
    </w:p>
    <w:p>
      <w:pPr>
        <w:jc w:val="center"/>
        <w:rPr>
          <w:rFonts w:ascii="华文中宋" w:eastAsia="华文中宋" w:hAnsi="华文中宋" w:cs="华文中宋" w:hint="eastAsia"/>
          <w:color w:val="auto"/>
          <w:sz w:val="44"/>
          <w:szCs w:val="44"/>
          <w:highlight w:val="none"/>
          <w:lang w:val="zh-CN"/>
        </w:rPr>
      </w:pPr>
    </w:p>
    <w:p>
      <w:pPr>
        <w:jc w:val="center"/>
        <w:rPr>
          <w:rFonts w:ascii="华文中宋" w:eastAsia="华文中宋" w:hAnsi="华文中宋" w:cs="华文中宋" w:hint="eastAsia"/>
          <w:color w:val="auto"/>
          <w:sz w:val="44"/>
          <w:szCs w:val="44"/>
          <w:highlight w:val="none"/>
          <w:lang w:val="zh-CN"/>
        </w:rPr>
      </w:pPr>
    </w:p>
    <w:p>
      <w:pPr>
        <w:jc w:val="center"/>
        <w:rPr>
          <w:rFonts w:ascii="华文中宋" w:eastAsia="华文中宋" w:hAnsi="华文中宋" w:cs="华文中宋"/>
          <w:color w:val="auto"/>
          <w:sz w:val="44"/>
          <w:szCs w:val="44"/>
          <w:highlight w:val="none"/>
        </w:rPr>
      </w:pPr>
      <w:r>
        <w:rPr>
          <w:rFonts w:ascii="华文中宋" w:eastAsia="华文中宋" w:hAnsi="华文中宋" w:cs="华文中宋" w:hint="eastAsia"/>
          <w:color w:val="auto"/>
          <w:sz w:val="44"/>
          <w:szCs w:val="44"/>
          <w:highlight w:val="none"/>
          <w:lang w:val="zh-CN"/>
        </w:rPr>
        <w:t>目  录</w:t>
      </w:r>
    </w:p>
    <w:sdt>
      <w:sdtPr>
        <w:rPr>
          <w:rFonts w:ascii="宋体" w:hAnsi="宋体"/>
          <w:color w:val="auto"/>
          <w:highlight w:val="none"/>
        </w:rPr>
        <w:id w:val="147459934"/>
        <w:docPartObj>
          <w:docPartGallery w:val="Table of Contents"/>
          <w:docPartUnique/>
        </w:docPartObj>
      </w:sdtPr>
      <w:sdtEndPr>
        <w:rPr>
          <w:rFonts w:ascii="宋体" w:hAnsi="宋体"/>
          <w:color w:val="auto"/>
          <w:highlight w:val="none"/>
        </w:rPr>
      </w:sdtEndPr>
      <w:sdtContent>
        <w:p>
          <w:pPr>
            <w:spacing w:line="600" w:lineRule="exact"/>
            <w:rPr>
              <w:rFonts w:asciiTheme="minorEastAsia" w:eastAsiaTheme="minorEastAsia" w:hAnsiTheme="minorEastAsia" w:cstheme="minorEastAsia" w:hint="eastAsia"/>
              <w:bCs/>
              <w:color w:val="auto"/>
              <w:sz w:val="24"/>
              <w:szCs w:val="24"/>
              <w:highlight w:val="none"/>
              <w:lang w:val="en-US" w:eastAsia="zh-CN" w:bidi="ar-SA"/>
            </w:rPr>
          </w:pPr>
          <w:r>
            <w:rPr>
              <w:rFonts w:asciiTheme="minorEastAsia" w:eastAsiaTheme="minorEastAsia" w:hAnsiTheme="minorEastAsia" w:cstheme="minorEastAsia" w:hint="eastAsia"/>
              <w:b/>
              <w:color w:val="auto"/>
              <w:sz w:val="24"/>
              <w:szCs w:val="24"/>
              <w:highlight w:val="none"/>
            </w:rPr>
            <w:fldChar w:fldCharType="begin"/>
          </w:r>
          <w:r>
            <w:rPr>
              <w:rFonts w:asciiTheme="minorEastAsia" w:eastAsiaTheme="minorEastAsia" w:hAnsiTheme="minorEastAsia" w:cstheme="minorEastAsia" w:hint="eastAsia"/>
              <w:b/>
              <w:color w:val="auto"/>
              <w:sz w:val="24"/>
              <w:szCs w:val="24"/>
              <w:highlight w:val="none"/>
            </w:rPr>
            <w:instrText xml:space="preserve">TOC \o "1-3" \h \u </w:instrText>
          </w:r>
          <w:r>
            <w:rPr>
              <w:rFonts w:asciiTheme="minorEastAsia" w:eastAsiaTheme="minorEastAsia" w:hAnsiTheme="minorEastAsia" w:cstheme="minorEastAsia" w:hint="eastAsia"/>
              <w:b/>
              <w:color w:val="auto"/>
              <w:sz w:val="24"/>
              <w:szCs w:val="24"/>
              <w:highlight w:val="none"/>
            </w:rPr>
            <w:fldChar w:fldCharType="separate"/>
          </w:r>
        </w:p>
        <w:p>
          <w:pPr>
            <w:pStyle w:val="TOC1"/>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3001" w:history="1">
            <w:r>
              <w:rPr>
                <w:rFonts w:ascii="宋体" w:eastAsia="宋体" w:hAnsi="宋体" w:cs="宋体" w:hint="eastAsia"/>
                <w:color w:val="auto"/>
                <w:sz w:val="24"/>
                <w:szCs w:val="24"/>
                <w:highlight w:val="none"/>
              </w:rPr>
              <w:t>第一章 投标邀请</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_Toc3001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3</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7195" w:history="1">
            <w:r>
              <w:rPr>
                <w:rFonts w:ascii="宋体" w:eastAsia="宋体" w:hAnsi="宋体" w:cs="宋体" w:hint="eastAsia"/>
                <w:color w:val="auto"/>
                <w:sz w:val="24"/>
                <w:szCs w:val="24"/>
                <w:highlight w:val="none"/>
              </w:rPr>
              <w:t>一、总则</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_Toc7195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16</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22040" w:history="1">
            <w:r>
              <w:rPr>
                <w:rFonts w:ascii="宋体" w:eastAsia="宋体" w:hAnsi="宋体" w:cs="宋体" w:hint="eastAsia"/>
                <w:color w:val="auto"/>
                <w:sz w:val="24"/>
                <w:szCs w:val="24"/>
                <w:highlight w:val="none"/>
              </w:rPr>
              <w:t>二、招标文件</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_Toc22040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17</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27688" w:history="1">
            <w:r>
              <w:rPr>
                <w:rFonts w:ascii="宋体" w:eastAsia="宋体" w:hAnsi="宋体" w:cs="宋体" w:hint="eastAsia"/>
                <w:color w:val="auto"/>
                <w:sz w:val="24"/>
                <w:szCs w:val="24"/>
                <w:highlight w:val="none"/>
              </w:rPr>
              <w:t>三、投标文件</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_Toc27688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18</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3470" w:history="1">
            <w:r>
              <w:rPr>
                <w:rFonts w:ascii="宋体" w:eastAsia="宋体" w:hAnsi="宋体" w:cs="宋体" w:hint="eastAsia"/>
                <w:color w:val="auto"/>
                <w:sz w:val="24"/>
                <w:szCs w:val="24"/>
                <w:highlight w:val="none"/>
              </w:rPr>
              <w:t>四、投标文件递交</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_Toc3470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20</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12167" w:history="1">
            <w:r>
              <w:rPr>
                <w:rFonts w:ascii="宋体" w:eastAsia="宋体" w:hAnsi="宋体" w:cs="宋体" w:hint="eastAsia"/>
                <w:color w:val="auto"/>
                <w:sz w:val="24"/>
                <w:szCs w:val="24"/>
                <w:highlight w:val="none"/>
              </w:rPr>
              <w:t>五、开标与评标</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_Toc12167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20</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25679" w:history="1">
            <w:r>
              <w:rPr>
                <w:rFonts w:ascii="宋体" w:eastAsia="宋体" w:hAnsi="宋体" w:cs="宋体" w:hint="eastAsia"/>
                <w:color w:val="auto"/>
                <w:sz w:val="24"/>
                <w:szCs w:val="24"/>
                <w:highlight w:val="none"/>
              </w:rPr>
              <w:t>六、中标和合同</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_Toc25679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24</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11852" w:history="1">
            <w:r>
              <w:rPr>
                <w:rFonts w:ascii="宋体" w:eastAsia="宋体" w:hAnsi="宋体" w:cs="宋体" w:hint="eastAsia"/>
                <w:color w:val="auto"/>
                <w:sz w:val="24"/>
                <w:szCs w:val="24"/>
                <w:highlight w:val="none"/>
              </w:rPr>
              <w:t>七、询问和质疑</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_Toc11852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25</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11780" w:history="1">
            <w:r>
              <w:rPr>
                <w:rFonts w:ascii="宋体" w:eastAsia="宋体" w:hAnsi="宋体" w:cs="宋体" w:hint="eastAsia"/>
                <w:color w:val="auto"/>
                <w:sz w:val="24"/>
                <w:szCs w:val="24"/>
                <w:highlight w:val="none"/>
              </w:rPr>
              <w:t>八、其他</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_Toc11780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25</w:t>
            </w:r>
            <w:r>
              <w:rPr>
                <w:rFonts w:ascii="宋体" w:eastAsia="宋体" w:hAnsi="宋体" w:cs="宋体" w:hint="eastAsia"/>
                <w:color w:val="auto"/>
                <w:sz w:val="24"/>
                <w:szCs w:val="24"/>
                <w:highlight w:val="none"/>
              </w:rPr>
              <w:fldChar w:fldCharType="end"/>
            </w:r>
          </w:hyperlink>
        </w:p>
        <w:p>
          <w:pPr>
            <w:pStyle w:val="TOC1"/>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4545" w:history="1">
            <w:r>
              <w:rPr>
                <w:rFonts w:ascii="宋体" w:eastAsia="宋体" w:hAnsi="宋体" w:cs="宋体" w:hint="eastAsia"/>
                <w:color w:val="auto"/>
                <w:sz w:val="24"/>
                <w:szCs w:val="24"/>
                <w:highlight w:val="none"/>
              </w:rPr>
              <w:t>第三章  评标方法及标准</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_Toc4545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27</w:t>
            </w:r>
            <w:r>
              <w:rPr>
                <w:rFonts w:ascii="宋体" w:eastAsia="宋体" w:hAnsi="宋体" w:cs="宋体" w:hint="eastAsia"/>
                <w:color w:val="auto"/>
                <w:sz w:val="24"/>
                <w:szCs w:val="24"/>
                <w:highlight w:val="none"/>
              </w:rPr>
              <w:fldChar w:fldCharType="end"/>
            </w:r>
          </w:hyperlink>
        </w:p>
        <w:p>
          <w:pPr>
            <w:pStyle w:val="TOC1"/>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2570" w:history="1">
            <w:r>
              <w:rPr>
                <w:rFonts w:ascii="宋体" w:eastAsia="宋体" w:hAnsi="宋体" w:cs="宋体" w:hint="eastAsia"/>
                <w:color w:val="auto"/>
                <w:sz w:val="24"/>
                <w:szCs w:val="24"/>
                <w:highlight w:val="none"/>
              </w:rPr>
              <w:t>第四章  政府采购合同文本</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_Toc2570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34</w:t>
            </w:r>
            <w:r>
              <w:rPr>
                <w:rFonts w:ascii="宋体" w:eastAsia="宋体" w:hAnsi="宋体" w:cs="宋体" w:hint="eastAsia"/>
                <w:color w:val="auto"/>
                <w:sz w:val="24"/>
                <w:szCs w:val="24"/>
                <w:highlight w:val="none"/>
              </w:rPr>
              <w:fldChar w:fldCharType="end"/>
            </w:r>
          </w:hyperlink>
        </w:p>
        <w:p>
          <w:pPr>
            <w:pStyle w:val="TOC1"/>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4641" w:history="1">
            <w:r>
              <w:rPr>
                <w:rFonts w:ascii="宋体" w:eastAsia="宋体" w:hAnsi="宋体" w:cs="宋体" w:hint="eastAsia"/>
                <w:color w:val="auto"/>
                <w:sz w:val="24"/>
                <w:szCs w:val="24"/>
                <w:highlight w:val="none"/>
              </w:rPr>
              <w:t>第五章　投标文件格式</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_Toc4641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50</w:t>
            </w:r>
            <w:r>
              <w:rPr>
                <w:rFonts w:ascii="宋体" w:eastAsia="宋体" w:hAnsi="宋体" w:cs="宋体" w:hint="eastAsia"/>
                <w:color w:val="auto"/>
                <w:sz w:val="24"/>
                <w:szCs w:val="24"/>
                <w:highlight w:val="none"/>
              </w:rPr>
              <w:fldChar w:fldCharType="end"/>
            </w:r>
          </w:hyperlink>
        </w:p>
        <w:p>
          <w:pPr>
            <w:pStyle w:val="TOC1"/>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14177" w:history="1">
            <w:r>
              <w:rPr>
                <w:rFonts w:ascii="宋体" w:eastAsia="宋体" w:hAnsi="宋体" w:cs="宋体" w:hint="eastAsia"/>
                <w:color w:val="auto"/>
                <w:sz w:val="24"/>
                <w:szCs w:val="24"/>
                <w:highlight w:val="none"/>
              </w:rPr>
              <w:t xml:space="preserve">第六章 </w:t>
            </w:r>
            <w:r>
              <w:rPr>
                <w:rFonts w:ascii="宋体" w:eastAsia="宋体" w:hAnsi="宋体" w:cs="宋体" w:hint="eastAsia"/>
                <w:color w:val="auto"/>
                <w:sz w:val="24"/>
                <w:szCs w:val="24"/>
                <w:highlight w:val="none"/>
                <w:lang w:val="en-US" w:eastAsia="zh-CN"/>
              </w:rPr>
              <w:t xml:space="preserve"> </w:t>
            </w:r>
            <w:r>
              <w:rPr>
                <w:rFonts w:ascii="宋体" w:eastAsia="宋体" w:hAnsi="宋体" w:cs="宋体" w:hint="eastAsia"/>
                <w:color w:val="auto"/>
                <w:sz w:val="24"/>
                <w:szCs w:val="24"/>
                <w:highlight w:val="none"/>
              </w:rPr>
              <w:t>项目采购需求</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_Toc14177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78</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679" w:history="1">
            <w:r>
              <w:rPr>
                <w:rFonts w:ascii="宋体" w:eastAsia="宋体" w:hAnsi="宋体" w:cs="宋体" w:hint="eastAsia"/>
                <w:color w:val="auto"/>
                <w:sz w:val="24"/>
                <w:szCs w:val="24"/>
                <w:highlight w:val="none"/>
                <w:lang w:eastAsia="zh-CN"/>
              </w:rPr>
              <w:t>一、技术要求</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_Toc679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78</w:t>
            </w:r>
            <w:r>
              <w:rPr>
                <w:rFonts w:ascii="宋体" w:eastAsia="宋体" w:hAnsi="宋体" w:cs="宋体" w:hint="eastAsia"/>
                <w:color w:val="auto"/>
                <w:sz w:val="24"/>
                <w:szCs w:val="24"/>
                <w:highlight w:val="none"/>
              </w:rPr>
              <w:fldChar w:fldCharType="end"/>
            </w:r>
          </w:hyperlink>
        </w:p>
        <w:p>
          <w:pPr>
            <w:pStyle w:val="TOC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ascii="宋体" w:eastAsia="宋体" w:hAnsi="宋体" w:cs="宋体" w:hint="eastAsia"/>
              <w:color w:val="auto"/>
              <w:sz w:val="24"/>
              <w:szCs w:val="24"/>
              <w:highlight w:val="none"/>
            </w:rPr>
          </w:pPr>
          <w:hyperlink w:anchor="_Toc10980" w:history="1">
            <w:r>
              <w:rPr>
                <w:rFonts w:ascii="宋体" w:eastAsia="宋体" w:hAnsi="宋体" w:cs="宋体" w:hint="eastAsia"/>
                <w:color w:val="auto"/>
                <w:sz w:val="24"/>
                <w:szCs w:val="24"/>
                <w:highlight w:val="none"/>
                <w:lang w:eastAsia="zh-CN"/>
              </w:rPr>
              <w:t>二</w:t>
            </w:r>
            <w:r>
              <w:rPr>
                <w:rFonts w:ascii="宋体" w:eastAsia="宋体" w:hAnsi="宋体" w:cs="宋体" w:hint="eastAsia"/>
                <w:color w:val="auto"/>
                <w:sz w:val="24"/>
                <w:szCs w:val="24"/>
                <w:highlight w:val="none"/>
              </w:rPr>
              <w:t>、商务要求</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_Toc10980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85</w:t>
            </w:r>
            <w:r>
              <w:rPr>
                <w:rFonts w:ascii="宋体" w:eastAsia="宋体" w:hAnsi="宋体" w:cs="宋体" w:hint="eastAsia"/>
                <w:color w:val="auto"/>
                <w:sz w:val="24"/>
                <w:szCs w:val="24"/>
                <w:highlight w:val="none"/>
              </w:rPr>
              <w:fldChar w:fldCharType="end"/>
            </w:r>
          </w:hyperlink>
        </w:p>
        <w:p>
          <w:pPr>
            <w:pStyle w:val="TOC1"/>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color w:val="auto"/>
              <w:highlight w:val="none"/>
            </w:rPr>
          </w:pPr>
          <w:r>
            <w:rPr>
              <w:rFonts w:ascii="宋体" w:eastAsia="宋体" w:hAnsi="宋体" w:cs="宋体" w:hint="eastAsia"/>
              <w:color w:val="auto"/>
              <w:sz w:val="24"/>
              <w:szCs w:val="24"/>
              <w:highlight w:val="none"/>
              <w:lang w:val="en-US" w:eastAsia="zh-CN"/>
            </w:rPr>
            <w:t xml:space="preserve">   </w:t>
          </w:r>
          <w:hyperlink w:anchor="_Toc3520" w:history="1">
            <w:r>
              <w:rPr>
                <w:rFonts w:ascii="宋体" w:eastAsia="宋体" w:hAnsi="宋体" w:cs="宋体" w:hint="eastAsia"/>
                <w:color w:val="auto"/>
                <w:sz w:val="24"/>
                <w:szCs w:val="24"/>
                <w:highlight w:val="none"/>
                <w:lang w:eastAsia="zh-CN"/>
              </w:rPr>
              <w:t>三、其他事项</w:t>
            </w:r>
            <w:r>
              <w:rPr>
                <w:rFonts w:ascii="宋体" w:eastAsia="宋体" w:hAnsi="宋体" w:cs="宋体" w:hint="eastAsia"/>
                <w:color w:val="auto"/>
                <w:sz w:val="24"/>
                <w:szCs w:val="24"/>
                <w:highlight w:val="none"/>
              </w:rPr>
              <w:tab/>
            </w:r>
            <w:r>
              <w:rPr>
                <w:rFonts w:ascii="宋体" w:eastAsia="宋体" w:hAnsi="宋体" w:cs="宋体" w:hint="eastAsia"/>
                <w:color w:val="auto"/>
                <w:sz w:val="24"/>
                <w:szCs w:val="24"/>
                <w:highlight w:val="none"/>
              </w:rPr>
              <w:fldChar w:fldCharType="begin"/>
            </w:r>
            <w:r>
              <w:rPr>
                <w:rFonts w:ascii="宋体" w:eastAsia="宋体" w:hAnsi="宋体" w:cs="宋体" w:hint="eastAsia"/>
                <w:color w:val="auto"/>
                <w:sz w:val="24"/>
                <w:szCs w:val="24"/>
                <w:highlight w:val="none"/>
              </w:rPr>
              <w:instrText xml:space="preserve"> PAGEREF _Toc3520 \h </w:instrText>
            </w:r>
            <w:r>
              <w:rPr>
                <w:rFonts w:ascii="宋体" w:eastAsia="宋体" w:hAnsi="宋体" w:cs="宋体" w:hint="eastAsia"/>
                <w:color w:val="auto"/>
                <w:sz w:val="24"/>
                <w:szCs w:val="24"/>
                <w:highlight w:val="none"/>
              </w:rPr>
              <w:fldChar w:fldCharType="separate"/>
            </w:r>
            <w:r>
              <w:rPr>
                <w:rFonts w:ascii="宋体" w:eastAsia="宋体" w:hAnsi="宋体" w:cs="宋体" w:hint="eastAsia"/>
                <w:color w:val="auto"/>
                <w:sz w:val="24"/>
                <w:szCs w:val="24"/>
                <w:highlight w:val="none"/>
              </w:rPr>
              <w:t>86</w:t>
            </w:r>
            <w:r>
              <w:rPr>
                <w:rFonts w:ascii="宋体" w:eastAsia="宋体" w:hAnsi="宋体" w:cs="宋体" w:hint="eastAsia"/>
                <w:color w:val="auto"/>
                <w:sz w:val="24"/>
                <w:szCs w:val="24"/>
                <w:highlight w:val="none"/>
              </w:rPr>
              <w:fldChar w:fldCharType="end"/>
            </w:r>
          </w:hyperlink>
        </w:p>
        <w:p>
          <w:pPr>
            <w:spacing w:line="600" w:lineRule="exact"/>
            <w:jc w:val="center"/>
            <w:rPr>
              <w:rFonts w:asciiTheme="minorEastAsia" w:eastAsiaTheme="minorEastAsia" w:hAnsiTheme="minorEastAsia" w:cstheme="minorEastAsia"/>
              <w:b/>
              <w:color w:val="auto"/>
              <w:sz w:val="24"/>
              <w:szCs w:val="24"/>
              <w:highlight w:val="none"/>
            </w:rPr>
          </w:pPr>
          <w:r>
            <w:rPr>
              <w:rFonts w:asciiTheme="minorEastAsia" w:eastAsiaTheme="minorEastAsia" w:hAnsiTheme="minorEastAsia" w:cstheme="minorEastAsia" w:hint="eastAsia"/>
              <w:color w:val="auto"/>
              <w:sz w:val="24"/>
              <w:szCs w:val="24"/>
              <w:highlight w:val="none"/>
            </w:rPr>
            <w:fldChar w:fldCharType="end"/>
          </w:r>
        </w:p>
      </w:sdtContent>
    </w:sdt>
    <w:p>
      <w:pPr>
        <w:rPr>
          <w:color w:val="auto"/>
          <w:highlight w:val="none"/>
        </w:rPr>
      </w:pPr>
    </w:p>
    <w:p>
      <w:pPr>
        <w:rPr>
          <w:color w:val="auto"/>
          <w:highlight w:val="none"/>
        </w:rPr>
        <w:sectPr>
          <w:headerReference w:type="even" r:id="rId5"/>
          <w:footerReference w:type="even" r:id="rId6"/>
          <w:footerReference w:type="default" r:id="rId7"/>
          <w:footerReference w:type="first" r:id="rId8"/>
          <w:pgSz w:w="11906" w:h="16838"/>
          <w:pgMar w:top="1440" w:right="1752" w:bottom="1440" w:left="1752" w:header="851" w:footer="992" w:gutter="0"/>
          <w:cols w:num="1" w:space="720"/>
          <w:titlePg/>
          <w:docGrid w:type="lines" w:linePitch="312" w:charSpace="0"/>
        </w:sectPr>
      </w:pPr>
    </w:p>
    <w:p>
      <w:pPr>
        <w:pStyle w:val="Heading1"/>
        <w:numPr>
          <w:ilvl w:val="0"/>
          <w:numId w:val="2"/>
        </w:numPr>
        <w:rPr>
          <w:rFonts w:hint="eastAsia"/>
          <w:color w:val="auto"/>
          <w:highlight w:val="none"/>
        </w:rPr>
      </w:pPr>
      <w:r>
        <w:rPr>
          <w:rFonts w:hint="eastAsia"/>
          <w:color w:val="auto"/>
          <w:highlight w:val="none"/>
        </w:rPr>
        <w:t xml:space="preserve"> </w:t>
      </w:r>
      <w:r>
        <w:rPr>
          <w:rFonts w:hint="eastAsia"/>
          <w:color w:val="auto"/>
          <w:highlight w:val="none"/>
        </w:rPr>
        <w:t>投标邀请</w:t>
      </w:r>
    </w:p>
    <w:p>
      <w:pPr>
        <w:ind w:firstLine="600" w:firstLineChars="200"/>
        <w:jc w:val="center"/>
        <w:rPr>
          <w:rFonts w:eastAsiaTheme="minorEastAsia" w:hint="eastAsia"/>
          <w:b/>
          <w:bCs w:val="0"/>
          <w:color w:val="auto"/>
          <w:spacing w:val="-11"/>
          <w:sz w:val="30"/>
          <w:szCs w:val="30"/>
          <w:highlight w:val="none"/>
          <w:lang w:eastAsia="zh-CN"/>
        </w:rPr>
      </w:pPr>
      <w:r>
        <w:rPr>
          <w:rFonts w:eastAsiaTheme="minorEastAsia" w:hint="eastAsia"/>
          <w:b/>
          <w:bCs w:val="0"/>
          <w:color w:val="auto"/>
          <w:spacing w:val="-11"/>
          <w:sz w:val="30"/>
          <w:szCs w:val="30"/>
          <w:highlight w:val="none"/>
          <w:lang w:eastAsia="zh-CN"/>
        </w:rPr>
        <w:t>国家税务总局广西壮族自治区税务局</w:t>
      </w:r>
    </w:p>
    <w:p>
      <w:pPr>
        <w:ind w:firstLine="600" w:firstLineChars="200"/>
        <w:jc w:val="center"/>
        <w:rPr>
          <w:rFonts w:eastAsiaTheme="minorEastAsia" w:hint="eastAsia"/>
          <w:b/>
          <w:bCs w:val="0"/>
          <w:color w:val="auto"/>
          <w:spacing w:val="-11"/>
          <w:sz w:val="30"/>
          <w:szCs w:val="30"/>
          <w:highlight w:val="none"/>
          <w:lang w:eastAsia="zh-CN"/>
        </w:rPr>
      </w:pPr>
      <w:r>
        <w:rPr>
          <w:rFonts w:hint="eastAsia"/>
          <w:b/>
          <w:bCs w:val="0"/>
          <w:color w:val="auto"/>
          <w:spacing w:val="-11"/>
          <w:sz w:val="30"/>
          <w:szCs w:val="30"/>
          <w:highlight w:val="none"/>
          <w:lang w:eastAsia="zh-CN"/>
        </w:rPr>
        <w:t>金税工程运维服务管理平台2024年运维服务项目</w:t>
      </w:r>
    </w:p>
    <w:p>
      <w:pPr>
        <w:ind w:firstLine="600" w:firstLineChars="200"/>
        <w:jc w:val="center"/>
        <w:rPr>
          <w:rFonts w:eastAsiaTheme="minorEastAsia" w:hint="eastAsia"/>
          <w:b/>
          <w:bCs w:val="0"/>
          <w:color w:val="auto"/>
          <w:spacing w:val="-11"/>
          <w:sz w:val="30"/>
          <w:szCs w:val="30"/>
          <w:highlight w:val="none"/>
          <w:lang w:eastAsia="zh-CN"/>
        </w:rPr>
      </w:pPr>
      <w:r>
        <w:rPr>
          <w:rFonts w:eastAsiaTheme="minorEastAsia" w:hint="eastAsia"/>
          <w:b/>
          <w:bCs w:val="0"/>
          <w:color w:val="auto"/>
          <w:spacing w:val="-11"/>
          <w:sz w:val="30"/>
          <w:szCs w:val="30"/>
          <w:highlight w:val="none"/>
          <w:lang w:eastAsia="zh-CN"/>
        </w:rPr>
        <w:t>（</w:t>
      </w:r>
      <w:r>
        <w:rPr>
          <w:rFonts w:eastAsiaTheme="minorEastAsia" w:hint="eastAsia"/>
          <w:b/>
          <w:bCs w:val="0"/>
          <w:color w:val="auto"/>
          <w:spacing w:val="-11"/>
          <w:sz w:val="30"/>
          <w:szCs w:val="30"/>
          <w:highlight w:val="none"/>
        </w:rPr>
        <w:t>项目编号：</w:t>
      </w:r>
      <w:r>
        <w:rPr>
          <w:rFonts w:hint="eastAsia"/>
          <w:b/>
          <w:bCs w:val="0"/>
          <w:color w:val="auto"/>
          <w:spacing w:val="-11"/>
          <w:sz w:val="30"/>
          <w:szCs w:val="30"/>
          <w:highlight w:val="none"/>
          <w:lang w:eastAsia="zh-CN"/>
        </w:rPr>
        <w:t>GX2024-ZXGK-C0066-B00</w:t>
      </w:r>
      <w:r>
        <w:rPr>
          <w:rFonts w:eastAsiaTheme="minorEastAsia" w:hint="eastAsia"/>
          <w:b/>
          <w:bCs w:val="0"/>
          <w:color w:val="auto"/>
          <w:spacing w:val="-11"/>
          <w:sz w:val="30"/>
          <w:szCs w:val="30"/>
          <w:highlight w:val="none"/>
          <w:lang w:eastAsia="zh-CN"/>
        </w:rPr>
        <w:t>）</w:t>
      </w:r>
    </w:p>
    <w:p>
      <w:pPr>
        <w:ind w:firstLine="600" w:firstLineChars="200"/>
        <w:jc w:val="center"/>
        <w:rPr>
          <w:rFonts w:eastAsiaTheme="minorEastAsia" w:hint="eastAsia"/>
          <w:b/>
          <w:bCs w:val="0"/>
          <w:color w:val="auto"/>
          <w:spacing w:val="-11"/>
          <w:sz w:val="30"/>
          <w:szCs w:val="30"/>
          <w:highlight w:val="none"/>
          <w:lang w:eastAsia="zh-CN"/>
        </w:rPr>
      </w:pPr>
      <w:r>
        <w:rPr>
          <w:rFonts w:eastAsiaTheme="minorEastAsia" w:hint="eastAsia"/>
          <w:b/>
          <w:bCs w:val="0"/>
          <w:color w:val="auto"/>
          <w:spacing w:val="-11"/>
          <w:sz w:val="30"/>
          <w:szCs w:val="30"/>
          <w:highlight w:val="none"/>
          <w:lang w:eastAsia="zh-CN"/>
        </w:rPr>
        <w:t>招标公告</w:t>
      </w:r>
    </w:p>
    <w:p>
      <w:pPr>
        <w:keepNext w:val="0"/>
        <w:keepLines w:val="0"/>
        <w:pageBreakBefore w:val="0"/>
        <w:pBdr>
          <w:top w:val="single" w:sz="4" w:space="1" w:color="auto"/>
          <w:left w:val="single" w:sz="4" w:space="4" w:color="auto"/>
          <w:bottom w:val="single" w:sz="4" w:space="1" w:color="auto"/>
          <w:right w:val="single" w:sz="4" w:space="4" w:color="auto"/>
        </w:pBdr>
        <w:kinsoku/>
        <w:wordWrap/>
        <w:overflowPunct/>
        <w:topLinePunct w:val="0"/>
        <w:autoSpaceDE/>
        <w:autoSpaceDN/>
        <w:bidi w:val="0"/>
        <w:spacing w:line="440" w:lineRule="exact"/>
        <w:jc w:val="both"/>
        <w:textAlignment w:val="auto"/>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rPr>
        <w:t>项目概况</w:t>
      </w:r>
      <w:r>
        <w:rPr>
          <w:rFonts w:cstheme="minorEastAsia" w:hint="eastAsia"/>
          <w:color w:val="auto"/>
          <w:szCs w:val="21"/>
          <w:highlight w:val="none"/>
          <w:lang w:eastAsia="zh-CN"/>
        </w:rPr>
        <w:t>：</w:t>
      </w:r>
    </w:p>
    <w:p>
      <w:pPr>
        <w:keepNext w:val="0"/>
        <w:keepLines w:val="0"/>
        <w:pageBreakBefore w:val="0"/>
        <w:pBdr>
          <w:top w:val="single" w:sz="4" w:space="1" w:color="auto"/>
          <w:left w:val="single" w:sz="4" w:space="4" w:color="auto"/>
          <w:bottom w:val="single" w:sz="4" w:space="1" w:color="auto"/>
          <w:right w:val="single" w:sz="4" w:space="4" w:color="auto"/>
        </w:pBdr>
        <w:kinsoku/>
        <w:wordWrap/>
        <w:overflowPunct/>
        <w:topLinePunct w:val="0"/>
        <w:autoSpaceDE/>
        <w:autoSpaceDN/>
        <w:bidi w:val="0"/>
        <w:spacing w:line="440" w:lineRule="exact"/>
        <w:ind w:firstLine="420" w:firstLineChars="200"/>
        <w:jc w:val="left"/>
        <w:textAlignment w:val="auto"/>
        <w:rPr>
          <w:rFonts w:asciiTheme="minorEastAsia" w:eastAsiaTheme="minorEastAsia" w:hAnsiTheme="minorEastAsia" w:cstheme="minorEastAsia" w:hint="eastAsia"/>
          <w:color w:val="auto"/>
          <w:szCs w:val="21"/>
          <w:highlight w:val="none"/>
        </w:rPr>
      </w:pPr>
      <w:r>
        <w:rPr>
          <w:rFonts w:cstheme="minorEastAsia" w:hint="eastAsia"/>
          <w:color w:val="auto"/>
          <w:szCs w:val="21"/>
          <w:highlight w:val="none"/>
          <w:u w:val="single"/>
          <w:lang w:eastAsia="zh-CN"/>
        </w:rPr>
        <w:t>国家税务总局广西壮族自治区税务局金税工程运维服务管理平台2024年运维服务项目</w:t>
      </w:r>
      <w:r>
        <w:rPr>
          <w:rFonts w:asciiTheme="minorEastAsia" w:eastAsiaTheme="minorEastAsia" w:hAnsiTheme="minorEastAsia" w:cstheme="minorEastAsia" w:hint="eastAsia"/>
          <w:color w:val="auto"/>
          <w:szCs w:val="21"/>
          <w:highlight w:val="none"/>
        </w:rPr>
        <w:t>招标项目的潜在投标人</w:t>
      </w:r>
      <w:r>
        <w:rPr>
          <w:rFonts w:ascii="宋体" w:hAnsi="宋体" w:hint="eastAsia"/>
          <w:color w:val="auto"/>
          <w:szCs w:val="21"/>
          <w:highlight w:val="none"/>
        </w:rPr>
        <w:t>应</w:t>
      </w:r>
      <w:r>
        <w:rPr>
          <w:rFonts w:ascii="宋体" w:hAnsi="宋体" w:hint="eastAsia"/>
          <w:color w:val="auto"/>
          <w:szCs w:val="21"/>
          <w:highlight w:val="none"/>
          <w:lang w:eastAsia="zh-CN"/>
        </w:rPr>
        <w:t>通过</w:t>
      </w:r>
      <w:r>
        <w:rPr>
          <w:rFonts w:hint="eastAsia"/>
          <w:color w:val="auto"/>
          <w:highlight w:val="none"/>
          <w:u w:val="single"/>
          <w:lang w:eastAsia="zh-CN"/>
        </w:rPr>
        <w:t>在线</w:t>
      </w:r>
      <w:r>
        <w:rPr>
          <w:rFonts w:hint="eastAsia"/>
          <w:color w:val="auto"/>
          <w:highlight w:val="none"/>
          <w:u w:val="single"/>
          <w:lang w:val="en-US" w:eastAsia="zh-CN"/>
        </w:rPr>
        <w:t>下</w:t>
      </w:r>
      <w:r>
        <w:rPr>
          <w:rFonts w:hint="eastAsia"/>
          <w:color w:val="auto"/>
          <w:highlight w:val="none"/>
          <w:u w:val="single"/>
          <w:lang w:eastAsia="zh-CN"/>
        </w:rPr>
        <w:t>载方式</w:t>
      </w:r>
      <w:r>
        <w:rPr>
          <w:rFonts w:ascii="宋体" w:hAnsi="宋体" w:hint="eastAsia"/>
          <w:color w:val="auto"/>
          <w:szCs w:val="21"/>
          <w:highlight w:val="none"/>
        </w:rPr>
        <w:t>获取招标文件，并于</w:t>
      </w:r>
      <w:r>
        <w:rPr>
          <w:rFonts w:ascii="宋体" w:hAnsi="宋体" w:hint="eastAsia"/>
          <w:color w:val="auto"/>
          <w:szCs w:val="21"/>
          <w:highlight w:val="none"/>
          <w:u w:val="single"/>
          <w:lang w:val="en-US" w:eastAsia="zh-CN"/>
        </w:rPr>
        <w:t>2024</w:t>
      </w:r>
      <w:r>
        <w:rPr>
          <w:rFonts w:ascii="宋体" w:hAnsi="宋体" w:hint="eastAsia"/>
          <w:bCs/>
          <w:color w:val="auto"/>
          <w:szCs w:val="21"/>
          <w:highlight w:val="none"/>
          <w:u w:val="single"/>
        </w:rPr>
        <w:t>年</w:t>
      </w:r>
      <w:r>
        <w:rPr>
          <w:rFonts w:ascii="宋体" w:hAnsi="宋体" w:hint="eastAsia"/>
          <w:bCs/>
          <w:color w:val="auto"/>
          <w:szCs w:val="21"/>
          <w:highlight w:val="none"/>
          <w:u w:val="single"/>
          <w:lang w:val="en-US" w:eastAsia="zh-CN"/>
        </w:rPr>
        <w:t>9</w:t>
      </w:r>
      <w:r>
        <w:rPr>
          <w:rFonts w:ascii="宋体" w:hAnsi="宋体" w:hint="eastAsia"/>
          <w:bCs/>
          <w:color w:val="auto"/>
          <w:szCs w:val="21"/>
          <w:highlight w:val="none"/>
          <w:u w:val="single"/>
        </w:rPr>
        <w:t>月</w:t>
      </w:r>
      <w:r>
        <w:rPr>
          <w:rFonts w:ascii="宋体" w:hAnsi="宋体" w:hint="eastAsia"/>
          <w:bCs/>
          <w:color w:val="auto"/>
          <w:szCs w:val="21"/>
          <w:highlight w:val="none"/>
          <w:u w:val="single"/>
          <w:lang w:val="en-US" w:eastAsia="zh-CN"/>
        </w:rPr>
        <w:t>20</w:t>
      </w:r>
      <w:r>
        <w:rPr>
          <w:rFonts w:ascii="宋体" w:hAnsi="宋体" w:hint="eastAsia"/>
          <w:bCs/>
          <w:color w:val="auto"/>
          <w:szCs w:val="21"/>
          <w:highlight w:val="none"/>
          <w:u w:val="single"/>
        </w:rPr>
        <w:t>日</w:t>
      </w:r>
      <w:r>
        <w:rPr>
          <w:rFonts w:ascii="宋体" w:hAnsi="宋体" w:hint="eastAsia"/>
          <w:bCs/>
          <w:color w:val="auto"/>
          <w:szCs w:val="21"/>
          <w:highlight w:val="none"/>
          <w:u w:val="single"/>
          <w:lang w:val="en-US" w:eastAsia="zh-CN"/>
        </w:rPr>
        <w:t>9</w:t>
      </w:r>
      <w:r>
        <w:rPr>
          <w:rFonts w:ascii="宋体" w:hAnsi="宋体" w:hint="eastAsia"/>
          <w:bCs/>
          <w:color w:val="auto"/>
          <w:szCs w:val="21"/>
          <w:highlight w:val="none"/>
          <w:u w:val="single"/>
        </w:rPr>
        <w:t>点</w:t>
      </w:r>
      <w:r>
        <w:rPr>
          <w:rFonts w:ascii="宋体" w:hAnsi="宋体" w:hint="eastAsia"/>
          <w:bCs/>
          <w:color w:val="auto"/>
          <w:szCs w:val="21"/>
          <w:highlight w:val="none"/>
          <w:u w:val="single"/>
          <w:lang w:val="en-US" w:eastAsia="zh-CN"/>
        </w:rPr>
        <w:t>30</w:t>
      </w:r>
      <w:r>
        <w:rPr>
          <w:rFonts w:ascii="宋体" w:hAnsi="宋体" w:hint="eastAsia"/>
          <w:bCs/>
          <w:color w:val="auto"/>
          <w:szCs w:val="21"/>
          <w:highlight w:val="none"/>
          <w:u w:val="single"/>
        </w:rPr>
        <w:t>分（</w:t>
      </w:r>
      <w:r>
        <w:rPr>
          <w:rFonts w:ascii="宋体" w:hAnsi="宋体" w:hint="eastAsia"/>
          <w:bCs/>
          <w:color w:val="auto"/>
          <w:szCs w:val="21"/>
          <w:highlight w:val="none"/>
        </w:rPr>
        <w:t>北京时间）前递交投标</w:t>
      </w:r>
      <w:r>
        <w:rPr>
          <w:rFonts w:ascii="宋体" w:hAnsi="宋体"/>
          <w:bCs/>
          <w:color w:val="auto"/>
          <w:szCs w:val="21"/>
          <w:highlight w:val="none"/>
        </w:rPr>
        <w:t>文件</w:t>
      </w:r>
      <w:r>
        <w:rPr>
          <w:rFonts w:asciiTheme="minorEastAsia" w:eastAsiaTheme="minorEastAsia" w:hAnsiTheme="minorEastAsia" w:cstheme="minorEastAsia" w:hint="eastAsia"/>
          <w:color w:val="auto"/>
          <w:szCs w:val="21"/>
          <w:highlight w:val="none"/>
        </w:rPr>
        <w:t>。</w:t>
      </w:r>
    </w:p>
    <w:p>
      <w:pPr>
        <w:rPr>
          <w:color w:val="auto"/>
          <w:highlight w:val="none"/>
        </w:rPr>
      </w:pPr>
    </w:p>
    <w:p>
      <w:pPr>
        <w:jc w:val="left"/>
        <w:rPr>
          <w:color w:val="auto"/>
          <w:highlight w:val="none"/>
        </w:rPr>
      </w:pPr>
      <w:r>
        <w:rPr>
          <w:rFonts w:hint="eastAsia"/>
          <w:color w:val="auto"/>
          <w:highlight w:val="none"/>
        </w:rPr>
        <w:t>一、项目基本情况</w:t>
      </w:r>
    </w:p>
    <w:p>
      <w:pPr>
        <w:ind w:firstLine="420" w:firstLineChars="200"/>
        <w:jc w:val="left"/>
        <w:rPr>
          <w:rFonts w:eastAsiaTheme="minorEastAsia" w:hint="eastAsia"/>
          <w:color w:val="auto"/>
          <w:highlight w:val="none"/>
          <w:lang w:eastAsia="zh-CN"/>
        </w:rPr>
      </w:pPr>
      <w:r>
        <w:rPr>
          <w:rFonts w:hint="eastAsia"/>
          <w:color w:val="auto"/>
          <w:highlight w:val="none"/>
        </w:rPr>
        <w:t>项目编号：</w:t>
      </w:r>
      <w:r>
        <w:rPr>
          <w:rFonts w:cstheme="minorEastAsia" w:hint="eastAsia"/>
          <w:b w:val="0"/>
          <w:color w:val="auto"/>
          <w:sz w:val="21"/>
          <w:szCs w:val="21"/>
          <w:highlight w:val="none"/>
          <w:lang w:eastAsia="zh-CN"/>
        </w:rPr>
        <w:t>GX2024-ZXGK-C0066-B00</w:t>
      </w:r>
    </w:p>
    <w:p>
      <w:pPr>
        <w:ind w:firstLine="420" w:firstLineChars="200"/>
        <w:jc w:val="left"/>
        <w:rPr>
          <w:rFonts w:eastAsiaTheme="minorEastAsia" w:hint="eastAsia"/>
          <w:bCs/>
          <w:color w:val="auto"/>
          <w:spacing w:val="-6"/>
          <w:sz w:val="21"/>
          <w:highlight w:val="none"/>
          <w:lang w:eastAsia="zh-CN"/>
        </w:rPr>
      </w:pPr>
      <w:r>
        <w:rPr>
          <w:rFonts w:hint="eastAsia"/>
          <w:color w:val="auto"/>
          <w:highlight w:val="none"/>
        </w:rPr>
        <w:t>项目名称：</w:t>
      </w:r>
      <w:r>
        <w:rPr>
          <w:rFonts w:eastAsiaTheme="minorEastAsia" w:hint="eastAsia"/>
          <w:bCs/>
          <w:color w:val="auto"/>
          <w:spacing w:val="-6"/>
          <w:sz w:val="21"/>
          <w:highlight w:val="none"/>
          <w:lang w:eastAsia="zh-CN"/>
        </w:rPr>
        <w:t>国家税务总局广西壮族自治区税务局金税工程运维服务管理平台2024年运维服务项目</w:t>
      </w:r>
    </w:p>
    <w:p>
      <w:pPr>
        <w:ind w:firstLine="420" w:firstLineChars="200"/>
        <w:jc w:val="left"/>
        <w:rPr>
          <w:color w:val="auto"/>
          <w:highlight w:val="none"/>
        </w:rPr>
      </w:pPr>
      <w:r>
        <w:rPr>
          <w:rFonts w:hint="eastAsia"/>
          <w:color w:val="auto"/>
          <w:highlight w:val="none"/>
        </w:rPr>
        <w:t>预算金额：人民币（大写）</w:t>
      </w:r>
      <w:r>
        <w:rPr>
          <w:rFonts w:hint="eastAsia"/>
          <w:color w:val="auto"/>
          <w:highlight w:val="none"/>
          <w:lang w:val="en-US" w:eastAsia="zh-CN"/>
        </w:rPr>
        <w:fldChar w:fldCharType="begin"/>
      </w:r>
      <w:r>
        <w:rPr>
          <w:rFonts w:hint="eastAsia"/>
          <w:color w:val="auto"/>
          <w:highlight w:val="none"/>
          <w:lang w:val="en-US" w:eastAsia="zh-CN"/>
        </w:rPr>
        <w:instrText xml:space="preserve"> = 283900 \* CHINESENUM2 \* MERGEFORMAT </w:instrText>
      </w:r>
      <w:r>
        <w:rPr>
          <w:rFonts w:hint="eastAsia"/>
          <w:color w:val="auto"/>
          <w:highlight w:val="none"/>
          <w:lang w:val="en-US" w:eastAsia="zh-CN"/>
        </w:rPr>
        <w:fldChar w:fldCharType="separate"/>
      </w:r>
      <w:r>
        <w:rPr>
          <w:color w:val="auto"/>
          <w:highlight w:val="none"/>
        </w:rPr>
        <w:t>贰拾捌万叁仟玖佰</w:t>
      </w:r>
      <w:r>
        <w:rPr>
          <w:rFonts w:hint="eastAsia"/>
          <w:color w:val="auto"/>
          <w:highlight w:val="none"/>
          <w:lang w:val="en-US" w:eastAsia="zh-CN"/>
        </w:rPr>
        <w:fldChar w:fldCharType="end"/>
      </w:r>
      <w:r>
        <w:rPr>
          <w:rFonts w:hint="eastAsia"/>
          <w:color w:val="auto"/>
          <w:highlight w:val="none"/>
          <w:lang w:val="en-US" w:eastAsia="zh-CN"/>
        </w:rPr>
        <w:t>元整</w:t>
      </w:r>
      <w:r>
        <w:rPr>
          <w:rFonts w:hint="eastAsia"/>
          <w:color w:val="auto"/>
          <w:highlight w:val="none"/>
        </w:rPr>
        <w:t>（¥</w:t>
      </w:r>
      <w:r>
        <w:rPr>
          <w:rFonts w:hint="eastAsia"/>
          <w:color w:val="auto"/>
          <w:highlight w:val="none"/>
          <w:lang w:val="en-US" w:eastAsia="zh-CN"/>
        </w:rPr>
        <w:t>283900</w:t>
      </w:r>
      <w:r>
        <w:rPr>
          <w:rFonts w:hint="eastAsia"/>
          <w:color w:val="auto"/>
          <w:highlight w:val="none"/>
        </w:rPr>
        <w:t>.00元）</w:t>
      </w:r>
    </w:p>
    <w:p>
      <w:pPr>
        <w:ind w:firstLine="420" w:firstLineChars="200"/>
        <w:jc w:val="left"/>
        <w:rPr>
          <w:color w:val="auto"/>
          <w:highlight w:val="none"/>
        </w:rPr>
      </w:pPr>
      <w:r>
        <w:rPr>
          <w:rFonts w:hint="eastAsia"/>
          <w:color w:val="auto"/>
          <w:highlight w:val="none"/>
        </w:rPr>
        <w:t>最高限价：人民币（大写）</w:t>
      </w:r>
      <w:r>
        <w:rPr>
          <w:rFonts w:hint="eastAsia"/>
          <w:color w:val="auto"/>
          <w:highlight w:val="none"/>
          <w:lang w:val="en-US" w:eastAsia="zh-CN"/>
        </w:rPr>
        <w:fldChar w:fldCharType="begin"/>
      </w:r>
      <w:r>
        <w:rPr>
          <w:rFonts w:hint="eastAsia"/>
          <w:color w:val="auto"/>
          <w:highlight w:val="none"/>
          <w:lang w:val="en-US" w:eastAsia="zh-CN"/>
        </w:rPr>
        <w:instrText xml:space="preserve"> = 283900 \* CHINESENUM2 \* MERGEFORMAT </w:instrText>
      </w:r>
      <w:r>
        <w:rPr>
          <w:rFonts w:hint="eastAsia"/>
          <w:color w:val="auto"/>
          <w:highlight w:val="none"/>
          <w:lang w:val="en-US" w:eastAsia="zh-CN"/>
        </w:rPr>
        <w:fldChar w:fldCharType="separate"/>
      </w:r>
      <w:r>
        <w:rPr>
          <w:color w:val="auto"/>
          <w:highlight w:val="none"/>
        </w:rPr>
        <w:t>贰拾捌万叁仟玖佰</w:t>
      </w:r>
      <w:r>
        <w:rPr>
          <w:rFonts w:hint="eastAsia"/>
          <w:color w:val="auto"/>
          <w:highlight w:val="none"/>
          <w:lang w:val="en-US" w:eastAsia="zh-CN"/>
        </w:rPr>
        <w:fldChar w:fldCharType="end"/>
      </w:r>
      <w:r>
        <w:rPr>
          <w:rFonts w:hint="eastAsia"/>
          <w:color w:val="auto"/>
          <w:highlight w:val="none"/>
          <w:lang w:val="en-US" w:eastAsia="zh-CN"/>
        </w:rPr>
        <w:t>元整</w:t>
      </w:r>
      <w:r>
        <w:rPr>
          <w:rFonts w:hint="eastAsia"/>
          <w:color w:val="auto"/>
          <w:highlight w:val="none"/>
        </w:rPr>
        <w:t>（¥</w:t>
      </w:r>
      <w:r>
        <w:rPr>
          <w:rFonts w:hint="eastAsia"/>
          <w:color w:val="auto"/>
          <w:highlight w:val="none"/>
          <w:lang w:val="en-US" w:eastAsia="zh-CN"/>
        </w:rPr>
        <w:t>283900</w:t>
      </w:r>
      <w:r>
        <w:rPr>
          <w:rFonts w:hint="eastAsia"/>
          <w:color w:val="auto"/>
          <w:highlight w:val="none"/>
        </w:rPr>
        <w:t>.00元）</w:t>
      </w:r>
    </w:p>
    <w:p>
      <w:pPr>
        <w:ind w:firstLine="420" w:firstLineChars="200"/>
        <w:jc w:val="left"/>
        <w:rPr>
          <w:color w:val="auto"/>
          <w:highlight w:val="none"/>
          <w:u w:val="single"/>
        </w:rPr>
      </w:pPr>
      <w:r>
        <w:rPr>
          <w:rFonts w:hint="eastAsia"/>
          <w:color w:val="auto"/>
          <w:highlight w:val="none"/>
        </w:rPr>
        <w:t>采购需求：本次采购内容主要是采购国家税务总局广西壮族自治区税务局金税工程运维服务管理平台2024年运维服务，工作范围包括：日常巡检、运行环境设施巡检、运维平台运行状况巡检、业务支持及运维保障服务等。本项目采用远程服务的服务方式，对运维平台提供专项运维服务，对于远程服务无法解决的问题，按照采购</w:t>
      </w:r>
      <w:r>
        <w:rPr>
          <w:rFonts w:hint="eastAsia"/>
          <w:color w:val="auto"/>
          <w:highlight w:val="none"/>
          <w:lang w:val="en-US" w:eastAsia="zh-CN"/>
        </w:rPr>
        <w:t>人</w:t>
      </w:r>
      <w:r>
        <w:rPr>
          <w:rFonts w:hint="eastAsia"/>
          <w:color w:val="auto"/>
          <w:highlight w:val="none"/>
        </w:rPr>
        <w:t>需求，安排运维服务人员到现场解决运维问题。具体要求详见本项目招标文件。</w:t>
      </w:r>
    </w:p>
    <w:p>
      <w:pPr>
        <w:ind w:firstLine="420" w:firstLineChars="200"/>
        <w:jc w:val="left"/>
        <w:rPr>
          <w:color w:val="auto"/>
          <w:highlight w:val="none"/>
          <w:u w:val="single"/>
        </w:rPr>
      </w:pPr>
      <w:r>
        <w:rPr>
          <w:rFonts w:hint="eastAsia"/>
          <w:color w:val="auto"/>
          <w:highlight w:val="none"/>
        </w:rPr>
        <w:t>合同履行期限：</w:t>
      </w:r>
      <w:r>
        <w:rPr>
          <w:rFonts w:hint="eastAsia"/>
          <w:color w:val="auto"/>
          <w:highlight w:val="none"/>
          <w:lang w:val="en-US" w:eastAsia="zh-CN"/>
        </w:rPr>
        <w:t>服务期1年</w:t>
      </w:r>
      <w:r>
        <w:rPr>
          <w:rFonts w:hint="eastAsia"/>
          <w:color w:val="auto"/>
          <w:highlight w:val="none"/>
        </w:rPr>
        <w:t>。</w:t>
      </w:r>
    </w:p>
    <w:p>
      <w:pPr>
        <w:ind w:firstLine="420" w:firstLineChars="200"/>
        <w:jc w:val="left"/>
        <w:rPr>
          <w:color w:val="auto"/>
          <w:highlight w:val="none"/>
        </w:rPr>
      </w:pPr>
      <w:r>
        <w:rPr>
          <w:rFonts w:hint="eastAsia"/>
          <w:color w:val="auto"/>
          <w:highlight w:val="none"/>
        </w:rPr>
        <w:t>本项目</w:t>
      </w:r>
      <w:r>
        <w:rPr>
          <w:rFonts w:hint="eastAsia"/>
          <w:color w:val="auto"/>
          <w:highlight w:val="none"/>
          <w:lang w:eastAsia="zh-CN"/>
        </w:rPr>
        <w:t>不</w:t>
      </w:r>
      <w:r>
        <w:rPr>
          <w:rFonts w:hint="eastAsia"/>
          <w:color w:val="auto"/>
          <w:highlight w:val="none"/>
        </w:rPr>
        <w:t>接受联合体投标。</w:t>
      </w:r>
    </w:p>
    <w:p>
      <w:pPr>
        <w:jc w:val="left"/>
        <w:rPr>
          <w:color w:val="auto"/>
          <w:highlight w:val="none"/>
        </w:rPr>
      </w:pPr>
      <w:r>
        <w:rPr>
          <w:rFonts w:hint="eastAsia"/>
          <w:color w:val="auto"/>
          <w:highlight w:val="none"/>
          <w:lang w:eastAsia="zh-CN"/>
        </w:rPr>
        <w:t>二、</w:t>
      </w:r>
      <w:r>
        <w:rPr>
          <w:rFonts w:hint="eastAsia"/>
          <w:color w:val="auto"/>
          <w:highlight w:val="none"/>
        </w:rPr>
        <w:t>申请人的资格要求</w:t>
      </w:r>
    </w:p>
    <w:p>
      <w:pPr>
        <w:ind w:firstLine="420" w:firstLineChars="200"/>
        <w:jc w:val="left"/>
        <w:rPr>
          <w:color w:val="auto"/>
          <w:highlight w:val="none"/>
        </w:rPr>
      </w:pPr>
      <w:r>
        <w:rPr>
          <w:rFonts w:hint="eastAsia"/>
          <w:color w:val="auto"/>
          <w:highlight w:val="none"/>
        </w:rPr>
        <w:t>1.符合国家有关法律规定，在中国境内（指关境内）注册。</w:t>
      </w:r>
    </w:p>
    <w:p>
      <w:pPr>
        <w:ind w:firstLine="420" w:firstLineChars="200"/>
        <w:jc w:val="left"/>
        <w:rPr>
          <w:color w:val="auto"/>
          <w:highlight w:val="none"/>
        </w:rPr>
      </w:pPr>
      <w:r>
        <w:rPr>
          <w:rFonts w:hint="eastAsia"/>
          <w:color w:val="auto"/>
          <w:highlight w:val="none"/>
        </w:rPr>
        <w:t>2.满足《中华人民共和国政府采购法》第二十二条规定。</w:t>
      </w:r>
    </w:p>
    <w:p>
      <w:pPr>
        <w:pStyle w:val="BodyText"/>
        <w:ind w:firstLine="420" w:firstLineChars="200"/>
        <w:jc w:val="left"/>
        <w:rPr>
          <w:color w:val="auto"/>
          <w:highlight w:val="none"/>
        </w:rPr>
      </w:pPr>
      <w:r>
        <w:rPr>
          <w:rFonts w:hint="eastAsia"/>
          <w:color w:val="auto"/>
          <w:highlight w:val="none"/>
        </w:rPr>
        <w:t>3.落实政府采购政策需满足的资格要求：</w:t>
      </w:r>
      <w:r>
        <w:rPr>
          <w:rFonts w:ascii="宋体" w:hAnsi="宋体" w:cs="宋体" w:hint="eastAsia"/>
          <w:color w:val="auto"/>
          <w:szCs w:val="21"/>
          <w:highlight w:val="none"/>
        </w:rPr>
        <w:t>本项目属</w:t>
      </w:r>
      <w:r>
        <w:rPr>
          <w:rFonts w:hint="eastAsia"/>
          <w:color w:val="auto"/>
          <w:highlight w:val="none"/>
        </w:rPr>
        <w:t>于专门面向中小企业采购的项目,供应商应中小微企业、监狱企业、残疾人福利性单位。</w:t>
      </w:r>
    </w:p>
    <w:p>
      <w:pPr>
        <w:ind w:firstLine="420" w:firstLineChars="200"/>
        <w:jc w:val="left"/>
        <w:rPr>
          <w:i/>
          <w:iCs/>
          <w:color w:val="auto"/>
          <w:highlight w:val="none"/>
          <w:u w:val="single"/>
        </w:rPr>
      </w:pPr>
      <w:r>
        <w:rPr>
          <w:rFonts w:hint="eastAsia"/>
          <w:color w:val="auto"/>
          <w:highlight w:val="none"/>
        </w:rPr>
        <w:t>4.本项目的特定资格要求：</w:t>
      </w:r>
      <w:r>
        <w:rPr>
          <w:rFonts w:hint="eastAsia"/>
          <w:color w:val="auto"/>
          <w:highlight w:val="none"/>
          <w:lang w:val="en-US" w:eastAsia="zh-CN"/>
        </w:rPr>
        <w:t>无</w:t>
      </w:r>
      <w:r>
        <w:rPr>
          <w:rFonts w:hint="eastAsia"/>
          <w:color w:val="auto"/>
          <w:highlight w:val="none"/>
        </w:rPr>
        <w:t>。</w:t>
      </w:r>
    </w:p>
    <w:p>
      <w:pPr>
        <w:ind w:firstLine="420" w:firstLineChars="200"/>
        <w:jc w:val="left"/>
        <w:rPr>
          <w:color w:val="auto"/>
          <w:highlight w:val="none"/>
        </w:rPr>
      </w:pPr>
      <w:r>
        <w:rPr>
          <w:rFonts w:hint="eastAsia"/>
          <w:color w:val="auto"/>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ind w:firstLine="420" w:firstLineChars="200"/>
        <w:jc w:val="left"/>
        <w:rPr>
          <w:color w:val="auto"/>
          <w:highlight w:val="none"/>
        </w:rPr>
      </w:pPr>
      <w:r>
        <w:rPr>
          <w:rFonts w:hint="eastAsia"/>
          <w:color w:val="auto"/>
          <w:highlight w:val="none"/>
        </w:rPr>
        <w:t>6.单位负责人为同一人或者存在直接控股、管理关系的不同供应商，不得参加同一合同项下的政府采购活动。</w:t>
      </w:r>
    </w:p>
    <w:p>
      <w:pPr>
        <w:ind w:firstLine="420" w:firstLineChars="200"/>
        <w:jc w:val="left"/>
        <w:rPr>
          <w:color w:val="auto"/>
          <w:highlight w:val="none"/>
        </w:rPr>
      </w:pPr>
      <w:r>
        <w:rPr>
          <w:rFonts w:hint="eastAsia"/>
          <w:color w:val="auto"/>
          <w:highlight w:val="none"/>
        </w:rPr>
        <w:t>7.为本项目提供整体设计、规范编制或者项目管理、监理、检测等服务的供应商，不得再参加本次政府采购活动。</w:t>
      </w:r>
    </w:p>
    <w:p>
      <w:pPr>
        <w:jc w:val="left"/>
        <w:rPr>
          <w:b/>
          <w:bCs w:val="0"/>
          <w:color w:val="auto"/>
          <w:highlight w:val="none"/>
        </w:rPr>
      </w:pPr>
      <w:r>
        <w:rPr>
          <w:rFonts w:hint="eastAsia"/>
          <w:b/>
          <w:bCs w:val="0"/>
          <w:color w:val="auto"/>
          <w:highlight w:val="none"/>
        </w:rPr>
        <w:t>三、获取招标文件</w:t>
      </w:r>
    </w:p>
    <w:p>
      <w:pPr>
        <w:ind w:firstLine="420" w:firstLineChars="200"/>
        <w:jc w:val="left"/>
        <w:rPr>
          <w:rFonts w:hint="eastAsia"/>
          <w:color w:val="auto"/>
          <w:highlight w:val="none"/>
        </w:rPr>
      </w:pPr>
      <w:r>
        <w:rPr>
          <w:rFonts w:hint="eastAsia"/>
          <w:color w:val="auto"/>
          <w:highlight w:val="none"/>
        </w:rPr>
        <w:t>时间：2024年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30</w:t>
      </w:r>
      <w:r>
        <w:rPr>
          <w:rFonts w:hint="eastAsia"/>
          <w:color w:val="auto"/>
          <w:highlight w:val="none"/>
        </w:rPr>
        <w:t>日至2024年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日（提供期限自本公告发布之日起不得少于5个工作日），每天上午0</w:t>
      </w:r>
      <w:r>
        <w:rPr>
          <w:rFonts w:hint="eastAsia"/>
          <w:color w:val="auto"/>
          <w:highlight w:val="none"/>
          <w:lang w:val="en-US" w:eastAsia="zh-CN"/>
        </w:rPr>
        <w:t>0</w:t>
      </w:r>
      <w:r>
        <w:rPr>
          <w:rFonts w:hint="eastAsia"/>
          <w:color w:val="auto"/>
          <w:highlight w:val="none"/>
        </w:rPr>
        <w:t>：00至12：00，下午12：00至23：59（北京时间，法定节假日除外）</w:t>
      </w:r>
    </w:p>
    <w:p>
      <w:pPr>
        <w:ind w:firstLine="420" w:firstLineChars="200"/>
        <w:jc w:val="left"/>
        <w:rPr>
          <w:rFonts w:hint="eastAsia"/>
          <w:color w:val="auto"/>
          <w:highlight w:val="none"/>
        </w:rPr>
      </w:pPr>
      <w:r>
        <w:rPr>
          <w:rFonts w:hint="eastAsia"/>
          <w:color w:val="auto"/>
          <w:highlight w:val="none"/>
        </w:rPr>
        <w:t>地点：国家税务总局集中采购中心网站（https://swcg.chinatax.gov.cn）</w:t>
      </w:r>
    </w:p>
    <w:p>
      <w:pPr>
        <w:ind w:firstLine="420" w:firstLineChars="200"/>
        <w:jc w:val="left"/>
        <w:rPr>
          <w:rFonts w:hint="eastAsia"/>
          <w:color w:val="auto"/>
          <w:highlight w:val="none"/>
        </w:rPr>
      </w:pPr>
      <w:r>
        <w:rPr>
          <w:rFonts w:hint="eastAsia"/>
          <w:color w:val="auto"/>
          <w:highlight w:val="none"/>
        </w:rPr>
        <w:t>方式：在线下载。</w:t>
      </w:r>
    </w:p>
    <w:p>
      <w:pPr>
        <w:ind w:firstLine="420" w:firstLineChars="200"/>
        <w:jc w:val="left"/>
        <w:rPr>
          <w:rFonts w:hint="eastAsia"/>
          <w:color w:val="auto"/>
          <w:highlight w:val="none"/>
        </w:rPr>
      </w:pPr>
      <w:r>
        <w:rPr>
          <w:rFonts w:hint="eastAsia"/>
          <w:color w:val="auto"/>
          <w:highlight w:val="none"/>
        </w:rPr>
        <w:t>售价：招标文件工本费每本 0 元人民币。</w:t>
      </w:r>
    </w:p>
    <w:p>
      <w:pPr>
        <w:jc w:val="left"/>
        <w:rPr>
          <w:b/>
          <w:bCs w:val="0"/>
          <w:color w:val="auto"/>
          <w:highlight w:val="none"/>
        </w:rPr>
      </w:pPr>
      <w:r>
        <w:rPr>
          <w:rFonts w:hint="eastAsia"/>
          <w:b/>
          <w:bCs w:val="0"/>
          <w:color w:val="auto"/>
          <w:highlight w:val="none"/>
        </w:rPr>
        <w:t>四、提交投标文件截止时间、开标时间和地点</w:t>
      </w:r>
    </w:p>
    <w:p>
      <w:pPr>
        <w:ind w:firstLine="420" w:firstLineChars="200"/>
        <w:jc w:val="left"/>
        <w:rPr>
          <w:rFonts w:hint="eastAsia"/>
          <w:color w:val="auto"/>
          <w:highlight w:val="none"/>
        </w:rPr>
      </w:pPr>
      <w:r>
        <w:rPr>
          <w:rFonts w:hint="eastAsia"/>
          <w:color w:val="auto"/>
          <w:highlight w:val="none"/>
        </w:rPr>
        <w:t>1.投标文件递交截止时间及开标时间：2024年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20</w:t>
      </w:r>
      <w:r>
        <w:rPr>
          <w:rFonts w:hint="eastAsia"/>
          <w:color w:val="auto"/>
          <w:highlight w:val="none"/>
        </w:rPr>
        <w:t>日9时30分（北京时间）。</w:t>
      </w:r>
    </w:p>
    <w:p>
      <w:pPr>
        <w:ind w:firstLine="420" w:firstLineChars="200"/>
        <w:jc w:val="left"/>
        <w:rPr>
          <w:color w:val="auto"/>
          <w:highlight w:val="none"/>
        </w:rPr>
      </w:pPr>
      <w:r>
        <w:rPr>
          <w:rFonts w:hint="eastAsia"/>
          <w:color w:val="auto"/>
          <w:highlight w:val="none"/>
        </w:rPr>
        <w:t>2.地点：本项目采用国家税务总局政府采购评审管理系统进行网上投标、开标。</w:t>
      </w:r>
    </w:p>
    <w:p>
      <w:pPr>
        <w:jc w:val="left"/>
        <w:rPr>
          <w:b/>
          <w:bCs w:val="0"/>
          <w:color w:val="auto"/>
          <w:highlight w:val="none"/>
        </w:rPr>
      </w:pPr>
      <w:r>
        <w:rPr>
          <w:rFonts w:hint="eastAsia"/>
          <w:b/>
          <w:bCs w:val="0"/>
          <w:color w:val="auto"/>
          <w:highlight w:val="none"/>
        </w:rPr>
        <w:t>五、公告期限</w:t>
      </w:r>
    </w:p>
    <w:p>
      <w:pPr>
        <w:ind w:firstLine="420" w:firstLineChars="200"/>
        <w:jc w:val="left"/>
        <w:rPr>
          <w:color w:val="auto"/>
          <w:highlight w:val="none"/>
        </w:rPr>
      </w:pPr>
      <w:r>
        <w:rPr>
          <w:rFonts w:hint="eastAsia"/>
          <w:color w:val="auto"/>
          <w:highlight w:val="none"/>
        </w:rPr>
        <w:t>自本公告发布之日起5个工作日。</w:t>
      </w:r>
    </w:p>
    <w:p>
      <w:pPr>
        <w:jc w:val="left"/>
        <w:rPr>
          <w:b/>
          <w:bCs w:val="0"/>
          <w:color w:val="auto"/>
          <w:highlight w:val="none"/>
        </w:rPr>
      </w:pPr>
      <w:r>
        <w:rPr>
          <w:rFonts w:hint="eastAsia"/>
          <w:b/>
          <w:bCs w:val="0"/>
          <w:color w:val="auto"/>
          <w:highlight w:val="none"/>
        </w:rPr>
        <w:t>六、其他补充事宜</w:t>
      </w:r>
    </w:p>
    <w:p>
      <w:pPr>
        <w:ind w:firstLine="420" w:firstLineChars="200"/>
        <w:jc w:val="left"/>
        <w:rPr>
          <w:rFonts w:hint="eastAsia"/>
          <w:color w:val="auto"/>
          <w:highlight w:val="none"/>
        </w:rPr>
      </w:pPr>
      <w:r>
        <w:rPr>
          <w:rFonts w:hint="eastAsia"/>
          <w:color w:val="auto"/>
          <w:highlight w:val="none"/>
        </w:rPr>
        <w:t>1.本项目采用国家税务总局政府采购评审管理系统进行招投标，供应商请在投标前详细阅读国家税务总局集中采购中心网站（https://swcg.chinatax.gov.cn）《供应商操作手册》。</w:t>
      </w:r>
    </w:p>
    <w:p>
      <w:pPr>
        <w:ind w:firstLine="420" w:firstLineChars="200"/>
        <w:jc w:val="left"/>
        <w:rPr>
          <w:rFonts w:hint="eastAsia"/>
          <w:color w:val="auto"/>
          <w:highlight w:val="none"/>
        </w:rPr>
      </w:pPr>
      <w:r>
        <w:rPr>
          <w:rFonts w:hint="eastAsia"/>
          <w:color w:val="auto"/>
          <w:highlight w:val="none"/>
        </w:rPr>
        <w:t>2.供应商在国家税务总局集中采购中心网站，点击“供应商登录”，完成注册，登录国家税务总局政府采购评审管理系统，报名并免费下载采购文件电子版。没有报名的供应商，不能参加本项目采购活动。</w:t>
      </w:r>
    </w:p>
    <w:p>
      <w:pPr>
        <w:ind w:firstLine="420" w:firstLineChars="200"/>
        <w:jc w:val="left"/>
        <w:rPr>
          <w:rFonts w:hint="eastAsia"/>
          <w:color w:val="auto"/>
          <w:highlight w:val="none"/>
        </w:rPr>
      </w:pPr>
      <w:r>
        <w:rPr>
          <w:rFonts w:hint="eastAsia"/>
          <w:color w:val="auto"/>
          <w:highlight w:val="none"/>
        </w:rPr>
        <w:t>3.供应商制作投标文件前须提前办理数字证书和电子签章，办理方式和注意事项详见网站《供应商操作手册》。</w:t>
      </w:r>
    </w:p>
    <w:p>
      <w:pPr>
        <w:ind w:firstLine="420" w:firstLineChars="200"/>
        <w:jc w:val="left"/>
        <w:rPr>
          <w:rFonts w:hint="eastAsia"/>
          <w:color w:val="auto"/>
          <w:highlight w:val="none"/>
        </w:rPr>
      </w:pPr>
      <w:r>
        <w:rPr>
          <w:rFonts w:hint="eastAsia"/>
          <w:color w:val="auto"/>
          <w:highlight w:val="none"/>
        </w:rPr>
        <w:t>4.供应商在国家税务总局集中采购中心网站 “下载中心”下载并安装“供应商投标工具”，使用投标工具编制投标文件，并在提交投标文件截止时间前加密上传。除上述方式之外，不接受以纸质文件以及其他任何方式提交的投标文件。</w:t>
      </w:r>
    </w:p>
    <w:p>
      <w:pPr>
        <w:ind w:firstLine="420" w:firstLineChars="200"/>
        <w:jc w:val="left"/>
        <w:rPr>
          <w:rFonts w:hint="eastAsia"/>
          <w:color w:val="auto"/>
          <w:highlight w:val="none"/>
        </w:rPr>
      </w:pPr>
      <w:r>
        <w:rPr>
          <w:rFonts w:hint="eastAsia"/>
          <w:color w:val="auto"/>
          <w:highlight w:val="none"/>
        </w:rPr>
        <w:t>5.本项目通过国家税务总局政府采购评审管理系统进行开标，投标人应在开标前登录系统点击“开标大厅”，参加开标过程并确认开标结果，投标人未参加开标的视同认同开标结果。</w:t>
      </w:r>
    </w:p>
    <w:p>
      <w:pPr>
        <w:ind w:firstLine="420" w:firstLineChars="200"/>
        <w:jc w:val="left"/>
        <w:rPr>
          <w:rFonts w:hint="eastAsia"/>
          <w:color w:val="auto"/>
          <w:highlight w:val="none"/>
        </w:rPr>
      </w:pPr>
      <w:r>
        <w:rPr>
          <w:rFonts w:hint="eastAsia"/>
          <w:color w:val="auto"/>
          <w:highlight w:val="none"/>
        </w:rPr>
        <w:t>6.供应商在投标过程中涉及系统操作的技术问题，可致电系统服务热线：15195887725。</w:t>
      </w:r>
    </w:p>
    <w:p>
      <w:pPr>
        <w:ind w:firstLine="420" w:firstLineChars="200"/>
        <w:jc w:val="left"/>
        <w:rPr>
          <w:rFonts w:hint="eastAsia"/>
          <w:color w:val="auto"/>
          <w:highlight w:val="none"/>
        </w:rPr>
      </w:pPr>
      <w:r>
        <w:rPr>
          <w:rFonts w:hint="eastAsia"/>
          <w:color w:val="auto"/>
          <w:highlight w:val="none"/>
        </w:rPr>
        <w:t>7.公告媒体：本招标公告在中国政府采购网（http://www.ccgp.gov.cn）、国家税务总局集中采购中心网站（https://swcg.chinatax.gov.cn）、国家税务总局广西壮族自治区税务局网（https://guangxi.chinatax.gov.cn/）上发布。</w:t>
      </w:r>
    </w:p>
    <w:p>
      <w:pPr>
        <w:numPr>
          <w:ilvl w:val="0"/>
          <w:numId w:val="0"/>
        </w:numPr>
        <w:ind w:firstLine="420" w:firstLineChars="200"/>
        <w:jc w:val="left"/>
        <w:rPr>
          <w:rFonts w:hint="eastAsia"/>
          <w:color w:val="auto"/>
          <w:highlight w:val="none"/>
        </w:rPr>
      </w:pPr>
      <w:r>
        <w:rPr>
          <w:rFonts w:hint="eastAsia"/>
          <w:color w:val="auto"/>
          <w:highlight w:val="none"/>
          <w:lang w:val="en-US" w:eastAsia="zh-CN"/>
        </w:rPr>
        <w:t>8.</w:t>
      </w:r>
      <w:r>
        <w:rPr>
          <w:rFonts w:hint="eastAsia"/>
          <w:color w:val="auto"/>
          <w:highlight w:val="none"/>
        </w:rPr>
        <w:t>本项目需要落实的政府采购支持中小企业、监狱企业、残疾人福利性单位等政策：</w:t>
      </w:r>
    </w:p>
    <w:p>
      <w:pPr>
        <w:numPr>
          <w:ilvl w:val="0"/>
          <w:numId w:val="0"/>
        </w:numPr>
        <w:ind w:firstLine="420" w:firstLineChars="200"/>
        <w:jc w:val="left"/>
        <w:rPr>
          <w:rFonts w:hint="eastAsia"/>
          <w:color w:val="auto"/>
          <w:highlight w:val="none"/>
        </w:rPr>
      </w:pPr>
      <w:r>
        <w:rPr>
          <w:rFonts w:hint="eastAsia"/>
          <w:color w:val="auto"/>
          <w:highlight w:val="none"/>
        </w:rPr>
        <w:t>（1）政府采购促进中小企业发展。</w:t>
      </w:r>
    </w:p>
    <w:p>
      <w:pPr>
        <w:numPr>
          <w:ilvl w:val="0"/>
          <w:numId w:val="0"/>
        </w:numPr>
        <w:ind w:firstLine="420" w:firstLineChars="200"/>
        <w:jc w:val="left"/>
        <w:rPr>
          <w:rFonts w:hint="eastAsia"/>
          <w:color w:val="auto"/>
          <w:highlight w:val="none"/>
        </w:rPr>
      </w:pPr>
      <w:r>
        <w:rPr>
          <w:rFonts w:hint="eastAsia"/>
          <w:color w:val="auto"/>
          <w:highlight w:val="none"/>
        </w:rPr>
        <w:t>（2）政府采购促进残疾人就业政策。</w:t>
      </w:r>
    </w:p>
    <w:p>
      <w:pPr>
        <w:numPr>
          <w:ilvl w:val="0"/>
          <w:numId w:val="0"/>
        </w:numPr>
        <w:ind w:firstLine="420" w:firstLineChars="200"/>
        <w:jc w:val="left"/>
        <w:rPr>
          <w:rFonts w:hint="eastAsia"/>
          <w:color w:val="auto"/>
          <w:highlight w:val="none"/>
        </w:rPr>
      </w:pPr>
      <w:r>
        <w:rPr>
          <w:rFonts w:hint="eastAsia"/>
          <w:color w:val="auto"/>
          <w:highlight w:val="none"/>
        </w:rPr>
        <w:t>（3）政府采购支持监狱企业发展。</w:t>
      </w:r>
    </w:p>
    <w:p>
      <w:pPr>
        <w:numPr>
          <w:ilvl w:val="0"/>
          <w:numId w:val="0"/>
        </w:numPr>
        <w:jc w:val="left"/>
        <w:rPr>
          <w:b/>
          <w:bCs w:val="0"/>
          <w:color w:val="auto"/>
          <w:highlight w:val="none"/>
        </w:rPr>
      </w:pPr>
      <w:r>
        <w:rPr>
          <w:rFonts w:hint="eastAsia"/>
          <w:b/>
          <w:bCs w:val="0"/>
          <w:color w:val="auto"/>
          <w:highlight w:val="none"/>
        </w:rPr>
        <w:t>七、对本次招标提出询问，请按以下方式联系。</w:t>
      </w:r>
    </w:p>
    <w:p>
      <w:pPr>
        <w:ind w:firstLine="420" w:firstLineChars="200"/>
        <w:jc w:val="left"/>
        <w:rPr>
          <w:color w:val="auto"/>
          <w:highlight w:val="none"/>
        </w:rPr>
      </w:pPr>
      <w:r>
        <w:rPr>
          <w:rFonts w:hint="eastAsia"/>
          <w:color w:val="auto"/>
          <w:highlight w:val="none"/>
        </w:rPr>
        <w:t>1.采购人信息</w:t>
      </w:r>
    </w:p>
    <w:p>
      <w:pPr>
        <w:ind w:firstLine="420" w:firstLineChars="200"/>
        <w:jc w:val="left"/>
        <w:rPr>
          <w:rFonts w:eastAsiaTheme="minorEastAsia" w:hint="eastAsia"/>
          <w:color w:val="auto"/>
          <w:highlight w:val="none"/>
          <w:lang w:eastAsia="zh-CN"/>
        </w:rPr>
      </w:pPr>
      <w:r>
        <w:rPr>
          <w:rFonts w:hint="eastAsia"/>
          <w:color w:val="auto"/>
          <w:highlight w:val="none"/>
        </w:rPr>
        <w:t>名 称：</w:t>
      </w:r>
      <w:r>
        <w:rPr>
          <w:rFonts w:hint="eastAsia"/>
          <w:color w:val="auto"/>
          <w:highlight w:val="none"/>
          <w:lang w:eastAsia="zh-CN"/>
        </w:rPr>
        <w:t>国家税务总局广西壮族自治区税务局</w:t>
      </w:r>
    </w:p>
    <w:p>
      <w:pPr>
        <w:ind w:firstLine="420" w:firstLineChars="200"/>
        <w:jc w:val="left"/>
        <w:rPr>
          <w:color w:val="auto"/>
          <w:highlight w:val="none"/>
        </w:rPr>
      </w:pPr>
      <w:r>
        <w:rPr>
          <w:rFonts w:hint="eastAsia"/>
          <w:color w:val="auto"/>
          <w:highlight w:val="none"/>
        </w:rPr>
        <w:t>地址：</w:t>
      </w:r>
      <w:r>
        <w:rPr>
          <w:rFonts w:hint="eastAsia"/>
          <w:color w:val="auto"/>
          <w:highlight w:val="none"/>
          <w:lang w:eastAsia="zh-CN"/>
        </w:rPr>
        <w:t>南宁市青秀区民族大道105号</w:t>
      </w:r>
      <w:r>
        <w:rPr>
          <w:rFonts w:hint="eastAsia"/>
          <w:color w:val="auto"/>
          <w:highlight w:val="none"/>
        </w:rPr>
        <w:t>　　</w:t>
      </w:r>
    </w:p>
    <w:p>
      <w:pPr>
        <w:ind w:firstLine="420" w:firstLineChars="200"/>
        <w:jc w:val="left"/>
        <w:rPr>
          <w:color w:val="auto"/>
          <w:highlight w:val="none"/>
        </w:rPr>
      </w:pPr>
      <w:r>
        <w:rPr>
          <w:rFonts w:hint="eastAsia"/>
          <w:color w:val="auto"/>
          <w:highlight w:val="none"/>
        </w:rPr>
        <w:t>联系方式：</w:t>
      </w:r>
      <w:r>
        <w:rPr>
          <w:rFonts w:hint="eastAsia"/>
          <w:color w:val="auto"/>
          <w:highlight w:val="none"/>
          <w:lang w:eastAsia="zh-CN"/>
        </w:rPr>
        <w:t>梁峰瑜</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lang w:eastAsia="zh-CN"/>
        </w:rPr>
        <w:t>0771-5562132</w:t>
      </w:r>
      <w:r>
        <w:rPr>
          <w:rFonts w:hint="eastAsia"/>
          <w:color w:val="auto"/>
          <w:highlight w:val="none"/>
          <w:lang w:val="en-US" w:eastAsia="zh-CN"/>
        </w:rPr>
        <w:t xml:space="preserve">  </w:t>
      </w:r>
      <w:r>
        <w:rPr>
          <w:rFonts w:hint="eastAsia"/>
          <w:color w:val="auto"/>
          <w:highlight w:val="none"/>
          <w:lang w:eastAsia="zh-CN"/>
        </w:rPr>
        <w:t>覃燕倩</w:t>
      </w:r>
      <w:r>
        <w:rPr>
          <w:rFonts w:hint="eastAsia"/>
          <w:color w:val="auto"/>
          <w:highlight w:val="none"/>
          <w:lang w:val="en-US" w:eastAsia="zh-CN"/>
        </w:rPr>
        <w:t xml:space="preserve"> 0771-5651320</w:t>
      </w:r>
      <w:r>
        <w:rPr>
          <w:rFonts w:hint="eastAsia"/>
          <w:color w:val="auto"/>
          <w:highlight w:val="none"/>
        </w:rPr>
        <w:t>　　</w:t>
      </w:r>
    </w:p>
    <w:p>
      <w:pPr>
        <w:widowControl/>
        <w:spacing w:line="360" w:lineRule="auto"/>
        <w:ind w:firstLine="420" w:firstLineChars="200"/>
        <w:jc w:val="left"/>
        <w:rPr>
          <w:rFonts w:ascii="宋体" w:eastAsia="宋体" w:hAnsi="宋体" w:hint="eastAsia"/>
          <w:color w:val="auto"/>
          <w:szCs w:val="21"/>
          <w:highlight w:val="none"/>
          <w:lang w:eastAsia="zh-CN"/>
        </w:rPr>
      </w:pPr>
      <w:r>
        <w:rPr>
          <w:rFonts w:hint="eastAsia"/>
          <w:color w:val="auto"/>
          <w:highlight w:val="none"/>
        </w:rPr>
        <w:t>2.采购代理机构信息</w:t>
      </w:r>
      <w:r>
        <w:rPr>
          <w:rFonts w:hint="eastAsia"/>
          <w:color w:val="auto"/>
          <w:highlight w:val="none"/>
          <w:lang w:eastAsia="zh-CN"/>
        </w:rPr>
        <w:t>：</w:t>
      </w:r>
      <w:r>
        <w:rPr>
          <w:rFonts w:ascii="宋体" w:hAnsi="宋体" w:cs="宋体" w:hint="eastAsia"/>
          <w:color w:val="auto"/>
          <w:szCs w:val="21"/>
          <w:highlight w:val="none"/>
          <w:lang w:eastAsia="zh-CN"/>
        </w:rPr>
        <w:t>无</w:t>
      </w:r>
    </w:p>
    <w:p>
      <w:pPr>
        <w:widowControl/>
        <w:spacing w:line="360" w:lineRule="auto"/>
        <w:ind w:firstLine="420" w:firstLineChars="200"/>
        <w:jc w:val="left"/>
        <w:rPr>
          <w:rFonts w:ascii="宋体" w:hAnsi="宋体"/>
          <w:color w:val="auto"/>
          <w:szCs w:val="21"/>
          <w:highlight w:val="none"/>
          <w:u w:val="single"/>
        </w:rPr>
      </w:pPr>
      <w:r>
        <w:rPr>
          <w:rFonts w:ascii="宋体" w:hAnsi="宋体" w:cs="宋体" w:hint="eastAsia"/>
          <w:color w:val="auto"/>
          <w:szCs w:val="21"/>
          <w:highlight w:val="none"/>
        </w:rPr>
        <w:t>3.项目</w:t>
      </w:r>
      <w:r>
        <w:rPr>
          <w:rFonts w:ascii="宋体" w:hAnsi="宋体" w:cs="宋体"/>
          <w:color w:val="auto"/>
          <w:szCs w:val="21"/>
          <w:highlight w:val="none"/>
        </w:rPr>
        <w:t>联系方式</w:t>
      </w:r>
    </w:p>
    <w:p>
      <w:pPr>
        <w:widowControl/>
        <w:spacing w:line="360" w:lineRule="auto"/>
        <w:ind w:firstLine="420" w:firstLineChars="200"/>
        <w:jc w:val="left"/>
        <w:rPr>
          <w:rFonts w:ascii="宋体" w:hAnsi="宋体"/>
          <w:color w:val="auto"/>
          <w:szCs w:val="21"/>
          <w:highlight w:val="none"/>
        </w:rPr>
      </w:pPr>
      <w:r>
        <w:rPr>
          <w:rFonts w:ascii="宋体" w:hAnsi="宋体" w:hint="eastAsia"/>
          <w:color w:val="auto"/>
          <w:szCs w:val="21"/>
          <w:highlight w:val="none"/>
        </w:rPr>
        <w:t>项目联系人：</w:t>
      </w:r>
      <w:r>
        <w:rPr>
          <w:rFonts w:ascii="宋体" w:hAnsi="宋体" w:cs="宋体" w:hint="eastAsia"/>
          <w:color w:val="auto"/>
          <w:sz w:val="21"/>
          <w:szCs w:val="21"/>
          <w:highlight w:val="none"/>
          <w:u w:val="none"/>
        </w:rPr>
        <w:t>梁峰瑜</w:t>
      </w:r>
      <w:r>
        <w:rPr>
          <w:rFonts w:hint="eastAsia"/>
          <w:color w:val="auto"/>
          <w:highlight w:val="none"/>
          <w:lang w:eastAsia="zh-CN"/>
        </w:rPr>
        <w:t>、覃燕倩</w:t>
      </w:r>
    </w:p>
    <w:p>
      <w:pPr>
        <w:ind w:firstLine="420" w:firstLineChars="200"/>
        <w:jc w:val="left"/>
        <w:rPr>
          <w:color w:val="auto"/>
          <w:highlight w:val="none"/>
        </w:rPr>
      </w:pPr>
      <w:r>
        <w:rPr>
          <w:rFonts w:ascii="宋体" w:hAnsi="宋体" w:cs="宋体" w:hint="eastAsia"/>
          <w:color w:val="auto"/>
          <w:szCs w:val="21"/>
          <w:highlight w:val="none"/>
        </w:rPr>
        <w:t>电　    话</w:t>
      </w:r>
      <w:r>
        <w:rPr>
          <w:rFonts w:ascii="宋体" w:hAnsi="宋体" w:hint="eastAsia"/>
          <w:color w:val="auto"/>
          <w:szCs w:val="21"/>
          <w:highlight w:val="none"/>
        </w:rPr>
        <w:t>：</w:t>
      </w:r>
      <w:r>
        <w:rPr>
          <w:rFonts w:ascii="宋体" w:hAnsi="宋体" w:cs="宋体" w:hint="eastAsia"/>
          <w:color w:val="auto"/>
          <w:sz w:val="21"/>
          <w:szCs w:val="21"/>
          <w:highlight w:val="none"/>
          <w:u w:val="none"/>
        </w:rPr>
        <w:t>0771-5562132</w:t>
      </w:r>
      <w:r>
        <w:rPr>
          <w:rFonts w:ascii="宋体" w:hAnsi="宋体" w:hint="eastAsia"/>
          <w:color w:val="auto"/>
          <w:szCs w:val="21"/>
          <w:highlight w:val="none"/>
          <w:u w:val="none"/>
          <w:lang w:eastAsia="zh-CN"/>
        </w:rPr>
        <w:t>、</w:t>
      </w:r>
      <w:r>
        <w:rPr>
          <w:rFonts w:hint="eastAsia"/>
          <w:color w:val="auto"/>
          <w:highlight w:val="none"/>
          <w:lang w:val="en-US" w:eastAsia="zh-CN"/>
        </w:rPr>
        <w:t xml:space="preserve"> 0771-5651320</w:t>
      </w:r>
      <w:r>
        <w:rPr>
          <w:rFonts w:ascii="宋体" w:hAnsi="宋体" w:hint="eastAsia"/>
          <w:color w:val="auto"/>
          <w:szCs w:val="21"/>
          <w:highlight w:val="none"/>
          <w:u w:val="none"/>
        </w:rPr>
        <w:t>　</w:t>
      </w:r>
    </w:p>
    <w:p>
      <w:pPr>
        <w:jc w:val="left"/>
        <w:rPr>
          <w:color w:val="auto"/>
          <w:highlight w:val="none"/>
        </w:rPr>
      </w:pPr>
    </w:p>
    <w:p>
      <w:pPr>
        <w:jc w:val="left"/>
        <w:rPr>
          <w:color w:val="auto"/>
          <w:highlight w:val="none"/>
        </w:rPr>
      </w:pPr>
    </w:p>
    <w:p>
      <w:pPr>
        <w:jc w:val="left"/>
        <w:rPr>
          <w:color w:val="auto"/>
          <w:highlight w:val="none"/>
        </w:rPr>
      </w:pPr>
    </w:p>
    <w:p>
      <w:pPr>
        <w:jc w:val="left"/>
        <w:rPr>
          <w:color w:val="auto"/>
          <w:highlight w:val="none"/>
        </w:rPr>
      </w:pPr>
    </w:p>
    <w:p>
      <w:pPr>
        <w:rPr>
          <w:rFonts w:hint="eastAsia"/>
          <w:b/>
          <w:bCs w:val="0"/>
          <w:color w:val="auto"/>
          <w:sz w:val="44"/>
          <w:szCs w:val="44"/>
          <w:highlight w:val="none"/>
          <w:lang w:val="en-US" w:eastAsia="zh-CN"/>
        </w:rPr>
      </w:pPr>
      <w:r>
        <w:rPr>
          <w:rFonts w:hint="eastAsia"/>
          <w:b/>
          <w:bCs w:val="0"/>
          <w:color w:val="auto"/>
          <w:sz w:val="44"/>
          <w:szCs w:val="44"/>
          <w:highlight w:val="none"/>
          <w:lang w:val="en-US" w:eastAsia="zh-CN"/>
        </w:rPr>
        <w:br w:type="page"/>
      </w:r>
    </w:p>
    <w:p>
      <w:pPr>
        <w:bidi w:val="0"/>
        <w:spacing w:line="360" w:lineRule="auto"/>
        <w:rPr>
          <w:b/>
          <w:bCs w:val="0"/>
          <w:color w:val="auto"/>
          <w:sz w:val="44"/>
          <w:szCs w:val="44"/>
          <w:highlight w:val="none"/>
        </w:rPr>
      </w:pPr>
      <w:r>
        <w:rPr>
          <w:rFonts w:hint="eastAsia"/>
          <w:b/>
          <w:bCs w:val="0"/>
          <w:color w:val="auto"/>
          <w:sz w:val="44"/>
          <w:szCs w:val="44"/>
          <w:highlight w:val="none"/>
          <w:lang w:val="en-US" w:eastAsia="zh-CN"/>
        </w:rPr>
        <w:t xml:space="preserve">第二章 </w:t>
      </w:r>
      <w:r>
        <w:rPr>
          <w:rFonts w:hint="eastAsia"/>
          <w:b/>
          <w:bCs w:val="0"/>
          <w:color w:val="auto"/>
          <w:sz w:val="44"/>
          <w:szCs w:val="44"/>
          <w:highlight w:val="none"/>
        </w:rPr>
        <w:t>投标人须知</w:t>
      </w:r>
    </w:p>
    <w:p>
      <w:pPr>
        <w:spacing w:line="360" w:lineRule="auto"/>
        <w:rPr>
          <w:b/>
          <w:bCs w:val="0"/>
          <w:color w:val="auto"/>
          <w:sz w:val="28"/>
          <w:szCs w:val="28"/>
          <w:highlight w:val="none"/>
        </w:rPr>
      </w:pPr>
      <w:r>
        <w:rPr>
          <w:rFonts w:hint="eastAsia"/>
          <w:b/>
          <w:bCs w:val="0"/>
          <w:color w:val="auto"/>
          <w:sz w:val="28"/>
          <w:szCs w:val="28"/>
          <w:highlight w:val="none"/>
        </w:rPr>
        <w:t>投标人须知前附表</w:t>
      </w:r>
    </w:p>
    <w:tbl>
      <w:tblPr>
        <w:tblStyle w:val="TableNormal"/>
        <w:tblW w:w="89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35"/>
        <w:gridCol w:w="1984"/>
        <w:gridCol w:w="851"/>
        <w:gridCol w:w="5207"/>
      </w:tblGrid>
      <w:tr>
        <w:tblPrEx>
          <w:tblW w:w="89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3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序 号</w:t>
            </w:r>
          </w:p>
        </w:tc>
        <w:tc>
          <w:tcPr>
            <w:tcW w:w="198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类  别</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内     容</w:t>
            </w:r>
          </w:p>
        </w:tc>
      </w:tr>
      <w:tr>
        <w:tblPrEx>
          <w:tblW w:w="8977" w:type="dxa"/>
          <w:tblInd w:w="0" w:type="dxa"/>
          <w:tblLayout w:type="fixed"/>
          <w:tblCellMar>
            <w:top w:w="0" w:type="dxa"/>
            <w:left w:w="108" w:type="dxa"/>
            <w:bottom w:w="0" w:type="dxa"/>
            <w:right w:w="108" w:type="dxa"/>
          </w:tblCellMar>
        </w:tblPrEx>
        <w:trPr>
          <w:trHeight w:val="398"/>
        </w:trPr>
        <w:tc>
          <w:tcPr>
            <w:tcW w:w="935" w:type="dxa"/>
            <w:vMerge w:val="restart"/>
            <w:tcBorders>
              <w:top w:val="single" w:sz="4" w:space="0" w:color="auto"/>
              <w:left w:val="single" w:sz="4" w:space="0" w:color="auto"/>
              <w:right w:val="single" w:sz="4" w:space="0" w:color="auto"/>
            </w:tcBorders>
            <w:noWrap/>
            <w:vAlign w:val="center"/>
          </w:tcPr>
          <w:p>
            <w:pPr>
              <w:rPr>
                <w:color w:val="auto"/>
                <w:highlight w:val="none"/>
              </w:rPr>
            </w:pPr>
            <w:r>
              <w:rPr>
                <w:rFonts w:hint="eastAsia"/>
                <w:color w:val="auto"/>
                <w:highlight w:val="none"/>
              </w:rPr>
              <w:t>1</w:t>
            </w:r>
          </w:p>
        </w:tc>
        <w:tc>
          <w:tcPr>
            <w:tcW w:w="1984" w:type="dxa"/>
            <w:vMerge w:val="restart"/>
            <w:tcBorders>
              <w:top w:val="single" w:sz="4" w:space="0" w:color="auto"/>
              <w:left w:val="single" w:sz="4" w:space="0" w:color="auto"/>
              <w:right w:val="single" w:sz="4" w:space="0" w:color="auto"/>
            </w:tcBorders>
            <w:noWrap/>
            <w:vAlign w:val="center"/>
          </w:tcPr>
          <w:p>
            <w:pPr>
              <w:rPr>
                <w:b/>
                <w:color w:val="auto"/>
                <w:highlight w:val="none"/>
              </w:rPr>
            </w:pPr>
            <w:r>
              <w:rPr>
                <w:rFonts w:hint="eastAsia"/>
                <w:color w:val="auto"/>
                <w:highlight w:val="none"/>
              </w:rPr>
              <w:t>项目名称、编号、预算及最高限价</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rFonts w:eastAsiaTheme="minorEastAsia" w:hint="eastAsia"/>
                <w:b/>
                <w:color w:val="auto"/>
                <w:highlight w:val="none"/>
                <w:lang w:eastAsia="zh-CN"/>
              </w:rPr>
            </w:pPr>
            <w:r>
              <w:rPr>
                <w:rFonts w:hint="eastAsia"/>
                <w:color w:val="auto"/>
                <w:highlight w:val="none"/>
              </w:rPr>
              <w:t>项目名称：</w:t>
            </w:r>
            <w:r>
              <w:rPr>
                <w:rFonts w:hint="eastAsia"/>
                <w:color w:val="auto"/>
                <w:highlight w:val="none"/>
                <w:lang w:eastAsia="zh-CN"/>
              </w:rPr>
              <w:t>国家税务总局广西壮族自治区税务局金税工程运维服务管理平台2024年运维服务项目</w:t>
            </w:r>
          </w:p>
        </w:tc>
      </w:tr>
      <w:tr>
        <w:tblPrEx>
          <w:tblW w:w="8977" w:type="dxa"/>
          <w:tblInd w:w="0" w:type="dxa"/>
          <w:tblLayout w:type="fixed"/>
          <w:tblCellMar>
            <w:top w:w="0" w:type="dxa"/>
            <w:left w:w="108" w:type="dxa"/>
            <w:bottom w:w="0" w:type="dxa"/>
            <w:right w:w="108" w:type="dxa"/>
          </w:tblCellMar>
        </w:tblPrEx>
        <w:trPr>
          <w:trHeight w:val="380"/>
        </w:trPr>
        <w:tc>
          <w:tcPr>
            <w:tcW w:w="935" w:type="dxa"/>
            <w:vMerge/>
            <w:tcBorders>
              <w:left w:val="single" w:sz="4" w:space="0" w:color="auto"/>
              <w:right w:val="single" w:sz="4" w:space="0" w:color="auto"/>
            </w:tcBorders>
            <w:noWrap/>
            <w:vAlign w:val="center"/>
          </w:tcPr>
          <w:p>
            <w:pPr>
              <w:rPr>
                <w:color w:val="auto"/>
                <w:highlight w:val="none"/>
              </w:rPr>
            </w:pPr>
          </w:p>
        </w:tc>
        <w:tc>
          <w:tcPr>
            <w:tcW w:w="1984" w:type="dxa"/>
            <w:vMerge/>
            <w:tcBorders>
              <w:left w:val="single" w:sz="4" w:space="0" w:color="auto"/>
              <w:right w:val="single" w:sz="4" w:space="0" w:color="auto"/>
            </w:tcBorders>
            <w:noWrap/>
            <w:vAlign w:val="center"/>
          </w:tcPr>
          <w:p>
            <w:pPr>
              <w:rPr>
                <w:color w:val="auto"/>
                <w:highlight w:val="none"/>
              </w:rPr>
            </w:pP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rFonts w:eastAsiaTheme="minorEastAsia" w:hint="eastAsia"/>
                <w:color w:val="auto"/>
                <w:highlight w:val="none"/>
                <w:lang w:eastAsia="zh-CN"/>
              </w:rPr>
            </w:pPr>
            <w:r>
              <w:rPr>
                <w:rFonts w:hint="eastAsia"/>
                <w:color w:val="auto"/>
                <w:highlight w:val="none"/>
              </w:rPr>
              <w:t>项目编号：GX2024-ZXGK-C0066-B00</w:t>
            </w:r>
          </w:p>
        </w:tc>
      </w:tr>
      <w:tr>
        <w:tblPrEx>
          <w:tblW w:w="8977" w:type="dxa"/>
          <w:tblInd w:w="0" w:type="dxa"/>
          <w:tblLayout w:type="fixed"/>
          <w:tblCellMar>
            <w:top w:w="0" w:type="dxa"/>
            <w:left w:w="108" w:type="dxa"/>
            <w:bottom w:w="0" w:type="dxa"/>
            <w:right w:w="108" w:type="dxa"/>
          </w:tblCellMar>
        </w:tblPrEx>
        <w:tc>
          <w:tcPr>
            <w:tcW w:w="935" w:type="dxa"/>
            <w:vMerge/>
            <w:tcBorders>
              <w:left w:val="single" w:sz="4" w:space="0" w:color="auto"/>
              <w:right w:val="single" w:sz="4" w:space="0" w:color="auto"/>
            </w:tcBorders>
            <w:noWrap/>
            <w:vAlign w:val="center"/>
          </w:tcPr>
          <w:p>
            <w:pPr>
              <w:rPr>
                <w:color w:val="auto"/>
                <w:highlight w:val="none"/>
              </w:rPr>
            </w:pPr>
          </w:p>
        </w:tc>
        <w:tc>
          <w:tcPr>
            <w:tcW w:w="1984" w:type="dxa"/>
            <w:vMerge/>
            <w:tcBorders>
              <w:left w:val="single" w:sz="4" w:space="0" w:color="auto"/>
              <w:right w:val="single" w:sz="4" w:space="0" w:color="auto"/>
            </w:tcBorders>
            <w:noWrap/>
            <w:vAlign w:val="center"/>
          </w:tcPr>
          <w:p>
            <w:pPr>
              <w:rPr>
                <w:color w:val="auto"/>
                <w:highlight w:val="none"/>
              </w:rPr>
            </w:pP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color w:val="auto"/>
                <w:highlight w:val="none"/>
              </w:rPr>
            </w:pPr>
            <w:r>
              <w:rPr>
                <w:rFonts w:hint="eastAsia"/>
                <w:color w:val="auto"/>
                <w:highlight w:val="none"/>
              </w:rPr>
              <w:t>项目预算：</w:t>
            </w:r>
            <w:r>
              <w:rPr>
                <w:rFonts w:hint="eastAsia"/>
                <w:color w:val="auto"/>
                <w:highlight w:val="none"/>
                <w:lang w:val="en-US" w:eastAsia="zh-CN"/>
              </w:rPr>
              <w:fldChar w:fldCharType="begin"/>
            </w:r>
            <w:r>
              <w:rPr>
                <w:rFonts w:hint="eastAsia"/>
                <w:color w:val="auto"/>
                <w:highlight w:val="none"/>
                <w:lang w:val="en-US" w:eastAsia="zh-CN"/>
              </w:rPr>
              <w:instrText xml:space="preserve"> = 283900 \* CHINESENUM2 \* MERGEFORMAT </w:instrText>
            </w:r>
            <w:r>
              <w:rPr>
                <w:rFonts w:hint="eastAsia"/>
                <w:color w:val="auto"/>
                <w:highlight w:val="none"/>
                <w:lang w:val="en-US" w:eastAsia="zh-CN"/>
              </w:rPr>
              <w:fldChar w:fldCharType="separate"/>
            </w:r>
            <w:r>
              <w:rPr>
                <w:color w:val="auto"/>
                <w:highlight w:val="none"/>
              </w:rPr>
              <w:t>贰拾捌万叁仟玖佰</w:t>
            </w:r>
            <w:r>
              <w:rPr>
                <w:rFonts w:hint="eastAsia"/>
                <w:color w:val="auto"/>
                <w:highlight w:val="none"/>
                <w:lang w:val="en-US" w:eastAsia="zh-CN"/>
              </w:rPr>
              <w:fldChar w:fldCharType="end"/>
            </w:r>
            <w:r>
              <w:rPr>
                <w:rFonts w:hint="eastAsia"/>
                <w:color w:val="auto"/>
                <w:highlight w:val="none"/>
                <w:lang w:val="en-US" w:eastAsia="zh-CN"/>
              </w:rPr>
              <w:t>元整</w:t>
            </w:r>
            <w:r>
              <w:rPr>
                <w:rFonts w:hint="eastAsia"/>
                <w:color w:val="auto"/>
                <w:highlight w:val="none"/>
              </w:rPr>
              <w:t>（¥</w:t>
            </w:r>
            <w:r>
              <w:rPr>
                <w:rFonts w:hint="eastAsia"/>
                <w:color w:val="auto"/>
                <w:highlight w:val="none"/>
                <w:lang w:val="en-US" w:eastAsia="zh-CN"/>
              </w:rPr>
              <w:t>283900</w:t>
            </w:r>
            <w:r>
              <w:rPr>
                <w:rFonts w:hint="eastAsia"/>
                <w:color w:val="auto"/>
                <w:highlight w:val="none"/>
              </w:rPr>
              <w:t>.00元）</w:t>
            </w:r>
          </w:p>
        </w:tc>
      </w:tr>
      <w:tr>
        <w:tblPrEx>
          <w:tblW w:w="8977" w:type="dxa"/>
          <w:tblInd w:w="0" w:type="dxa"/>
          <w:tblLayout w:type="fixed"/>
          <w:tblCellMar>
            <w:top w:w="0" w:type="dxa"/>
            <w:left w:w="108" w:type="dxa"/>
            <w:bottom w:w="0" w:type="dxa"/>
            <w:right w:w="108" w:type="dxa"/>
          </w:tblCellMar>
        </w:tblPrEx>
        <w:tc>
          <w:tcPr>
            <w:tcW w:w="935" w:type="dxa"/>
            <w:vMerge/>
            <w:tcBorders>
              <w:left w:val="single" w:sz="4" w:space="0" w:color="auto"/>
              <w:bottom w:val="single" w:sz="4" w:space="0" w:color="auto"/>
              <w:right w:val="single" w:sz="4" w:space="0" w:color="auto"/>
            </w:tcBorders>
            <w:noWrap/>
            <w:vAlign w:val="center"/>
          </w:tcPr>
          <w:p>
            <w:pPr>
              <w:rPr>
                <w:color w:val="auto"/>
                <w:highlight w:val="none"/>
              </w:rPr>
            </w:pPr>
          </w:p>
        </w:tc>
        <w:tc>
          <w:tcPr>
            <w:tcW w:w="1984" w:type="dxa"/>
            <w:vMerge/>
            <w:tcBorders>
              <w:left w:val="single" w:sz="4" w:space="0" w:color="auto"/>
              <w:bottom w:val="single" w:sz="4" w:space="0" w:color="auto"/>
              <w:right w:val="single" w:sz="4" w:space="0" w:color="auto"/>
            </w:tcBorders>
            <w:noWrap/>
            <w:vAlign w:val="center"/>
          </w:tcPr>
          <w:p>
            <w:pPr>
              <w:rPr>
                <w:color w:val="auto"/>
                <w:highlight w:val="none"/>
              </w:rPr>
            </w:pP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color w:val="auto"/>
                <w:highlight w:val="none"/>
              </w:rPr>
            </w:pPr>
            <w:r>
              <w:rPr>
                <w:rFonts w:hint="eastAsia"/>
                <w:color w:val="auto"/>
                <w:highlight w:val="none"/>
              </w:rPr>
              <w:t>最高限价：</w:t>
            </w:r>
            <w:r>
              <w:rPr>
                <w:rFonts w:hint="eastAsia"/>
                <w:color w:val="auto"/>
                <w:highlight w:val="none"/>
                <w:lang w:val="en-US" w:eastAsia="zh-CN"/>
              </w:rPr>
              <w:fldChar w:fldCharType="begin"/>
            </w:r>
            <w:r>
              <w:rPr>
                <w:rFonts w:hint="eastAsia"/>
                <w:color w:val="auto"/>
                <w:highlight w:val="none"/>
                <w:lang w:val="en-US" w:eastAsia="zh-CN"/>
              </w:rPr>
              <w:instrText xml:space="preserve"> = 283900 \* CHINESENUM2 \* MERGEFORMAT </w:instrText>
            </w:r>
            <w:r>
              <w:rPr>
                <w:rFonts w:hint="eastAsia"/>
                <w:color w:val="auto"/>
                <w:highlight w:val="none"/>
                <w:lang w:val="en-US" w:eastAsia="zh-CN"/>
              </w:rPr>
              <w:fldChar w:fldCharType="separate"/>
            </w:r>
            <w:r>
              <w:rPr>
                <w:color w:val="auto"/>
                <w:highlight w:val="none"/>
              </w:rPr>
              <w:t>贰拾捌万叁仟玖佰</w:t>
            </w:r>
            <w:r>
              <w:rPr>
                <w:rFonts w:hint="eastAsia"/>
                <w:color w:val="auto"/>
                <w:highlight w:val="none"/>
                <w:lang w:val="en-US" w:eastAsia="zh-CN"/>
              </w:rPr>
              <w:fldChar w:fldCharType="end"/>
            </w:r>
            <w:r>
              <w:rPr>
                <w:rFonts w:hint="eastAsia"/>
                <w:color w:val="auto"/>
                <w:highlight w:val="none"/>
                <w:lang w:val="en-US" w:eastAsia="zh-CN"/>
              </w:rPr>
              <w:t>元整</w:t>
            </w:r>
            <w:r>
              <w:rPr>
                <w:rFonts w:hint="eastAsia"/>
                <w:color w:val="auto"/>
                <w:highlight w:val="none"/>
              </w:rPr>
              <w:t>（¥</w:t>
            </w:r>
            <w:r>
              <w:rPr>
                <w:rFonts w:hint="eastAsia"/>
                <w:color w:val="auto"/>
                <w:highlight w:val="none"/>
                <w:lang w:val="en-US" w:eastAsia="zh-CN"/>
              </w:rPr>
              <w:t>283900</w:t>
            </w:r>
            <w:r>
              <w:rPr>
                <w:rFonts w:hint="eastAsia"/>
                <w:color w:val="auto"/>
                <w:highlight w:val="none"/>
              </w:rPr>
              <w:t>.00元）</w:t>
            </w:r>
          </w:p>
        </w:tc>
      </w:tr>
      <w:tr>
        <w:tblPrEx>
          <w:tblW w:w="8977" w:type="dxa"/>
          <w:tblInd w:w="0" w:type="dxa"/>
          <w:tblLayout w:type="fixed"/>
          <w:tblCellMar>
            <w:top w:w="0" w:type="dxa"/>
            <w:left w:w="108" w:type="dxa"/>
            <w:bottom w:w="0" w:type="dxa"/>
            <w:right w:w="108" w:type="dxa"/>
          </w:tblCellMar>
        </w:tblPrEx>
        <w:tc>
          <w:tcPr>
            <w:tcW w:w="93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2</w:t>
            </w:r>
          </w:p>
        </w:tc>
        <w:tc>
          <w:tcPr>
            <w:tcW w:w="198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采购需求</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color w:val="auto"/>
                <w:highlight w:val="none"/>
              </w:rPr>
            </w:pPr>
            <w:r>
              <w:rPr>
                <w:rFonts w:hint="eastAsia"/>
                <w:color w:val="auto"/>
                <w:highlight w:val="none"/>
              </w:rPr>
              <w:t>详见《招标文件（技术部分）》</w:t>
            </w:r>
          </w:p>
        </w:tc>
      </w:tr>
      <w:tr>
        <w:tblPrEx>
          <w:tblW w:w="8977" w:type="dxa"/>
          <w:tblInd w:w="0" w:type="dxa"/>
          <w:tblLayout w:type="fixed"/>
          <w:tblCellMar>
            <w:top w:w="0" w:type="dxa"/>
            <w:left w:w="108" w:type="dxa"/>
            <w:bottom w:w="0" w:type="dxa"/>
            <w:right w:w="108" w:type="dxa"/>
          </w:tblCellMar>
        </w:tblPrEx>
        <w:tc>
          <w:tcPr>
            <w:tcW w:w="93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3</w:t>
            </w:r>
          </w:p>
        </w:tc>
        <w:tc>
          <w:tcPr>
            <w:tcW w:w="198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项目属性、类别等</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color w:val="auto"/>
                <w:highlight w:val="none"/>
              </w:rPr>
            </w:pPr>
            <w:r>
              <w:rPr>
                <w:rFonts w:hint="eastAsia"/>
                <w:color w:val="auto"/>
                <w:highlight w:val="none"/>
              </w:rPr>
              <w:t>项目属性：</w:t>
            </w:r>
            <w:r>
              <w:rPr>
                <w:rFonts w:ascii="Wingdings 2" w:hAnsi="Wingdings 2"/>
                <w:color w:val="auto"/>
                <w:highlight w:val="none"/>
              </w:rPr>
              <w:sym w:font="Wingdings 2" w:char="F0A3"/>
            </w:r>
            <w:r>
              <w:rPr>
                <w:rFonts w:hint="eastAsia"/>
                <w:color w:val="auto"/>
                <w:highlight w:val="none"/>
              </w:rPr>
              <w:t xml:space="preserve">货物           </w:t>
            </w:r>
            <w:r>
              <w:rPr>
                <w:rFonts w:ascii="Wingdings 2" w:hAnsi="Wingdings 2"/>
                <w:color w:val="auto"/>
                <w:highlight w:val="none"/>
              </w:rPr>
              <w:sym w:font="Wingdings 2" w:char="F052"/>
            </w:r>
            <w:r>
              <w:rPr>
                <w:rFonts w:hint="eastAsia"/>
                <w:color w:val="auto"/>
                <w:highlight w:val="none"/>
              </w:rPr>
              <w:t>服务</w:t>
            </w:r>
          </w:p>
          <w:p>
            <w:pPr>
              <w:jc w:val="left"/>
              <w:rPr>
                <w:color w:val="auto"/>
                <w:highlight w:val="none"/>
              </w:rPr>
            </w:pPr>
            <w:r>
              <w:rPr>
                <w:rFonts w:hint="eastAsia"/>
                <w:color w:val="auto"/>
                <w:highlight w:val="none"/>
              </w:rPr>
              <w:t>项目类别：</w:t>
            </w:r>
            <w:r>
              <w:rPr>
                <w:rFonts w:ascii="Wingdings 2" w:hAnsi="Wingdings 2"/>
                <w:color w:val="auto"/>
                <w:highlight w:val="none"/>
              </w:rPr>
              <w:sym w:font="Wingdings 2" w:char="F052"/>
            </w:r>
            <w:r>
              <w:rPr>
                <w:rFonts w:hint="eastAsia"/>
                <w:color w:val="auto"/>
                <w:highlight w:val="none"/>
              </w:rPr>
              <w:t xml:space="preserve">信息化项目     </w:t>
            </w:r>
            <w:r>
              <w:rPr>
                <w:rFonts w:ascii="Wingdings 2" w:hAnsi="Wingdings 2"/>
                <w:color w:val="auto"/>
                <w:highlight w:val="none"/>
              </w:rPr>
              <w:sym w:font="Wingdings 2" w:char="F0A3"/>
            </w:r>
            <w:r>
              <w:rPr>
                <w:rFonts w:hint="eastAsia"/>
                <w:color w:val="auto"/>
                <w:highlight w:val="none"/>
              </w:rPr>
              <w:t>非信息化项目</w:t>
            </w:r>
          </w:p>
          <w:p>
            <w:pPr>
              <w:jc w:val="left"/>
              <w:rPr>
                <w:color w:val="auto"/>
                <w:highlight w:val="none"/>
              </w:rPr>
            </w:pPr>
            <w:r>
              <w:rPr>
                <w:rFonts w:hint="eastAsia"/>
                <w:color w:val="auto"/>
                <w:highlight w:val="none"/>
              </w:rPr>
              <w:t>线上采购项目：</w:t>
            </w:r>
            <w:r>
              <w:rPr>
                <w:rFonts w:ascii="Wingdings 2" w:hAnsi="Wingdings 2"/>
                <w:color w:val="auto"/>
                <w:highlight w:val="none"/>
              </w:rPr>
              <w:sym w:font="Wingdings 2" w:char="F052"/>
            </w:r>
            <w:r>
              <w:rPr>
                <w:rFonts w:hint="eastAsia"/>
                <w:color w:val="auto"/>
                <w:highlight w:val="none"/>
              </w:rPr>
              <w:t>是</w:t>
            </w:r>
            <w:r>
              <w:rPr>
                <w:rFonts w:hint="eastAsia"/>
                <w:color w:val="auto"/>
                <w:highlight w:val="none"/>
                <w:lang w:val="en-US" w:eastAsia="zh-CN"/>
              </w:rPr>
              <w:t xml:space="preserve">  </w:t>
            </w:r>
            <w:r>
              <w:rPr>
                <w:rFonts w:ascii="Wingdings 2" w:hAnsi="Wingdings 2"/>
                <w:color w:val="auto"/>
                <w:highlight w:val="none"/>
              </w:rPr>
              <w:sym w:font="Wingdings 2" w:char="F0A3"/>
            </w:r>
            <w:r>
              <w:rPr>
                <w:rFonts w:hint="eastAsia"/>
                <w:color w:val="auto"/>
                <w:highlight w:val="none"/>
              </w:rPr>
              <w:t>否</w:t>
            </w:r>
          </w:p>
        </w:tc>
      </w:tr>
      <w:tr>
        <w:tblPrEx>
          <w:tblW w:w="8977" w:type="dxa"/>
          <w:tblInd w:w="0" w:type="dxa"/>
          <w:tblLayout w:type="fixed"/>
          <w:tblCellMar>
            <w:top w:w="0" w:type="dxa"/>
            <w:left w:w="108" w:type="dxa"/>
            <w:bottom w:w="0" w:type="dxa"/>
            <w:right w:w="108" w:type="dxa"/>
          </w:tblCellMar>
        </w:tblPrEx>
        <w:tc>
          <w:tcPr>
            <w:tcW w:w="93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4</w:t>
            </w:r>
          </w:p>
        </w:tc>
        <w:tc>
          <w:tcPr>
            <w:tcW w:w="198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采购人</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color w:val="auto"/>
                <w:highlight w:val="none"/>
              </w:rPr>
            </w:pPr>
            <w:r>
              <w:rPr>
                <w:rFonts w:hint="eastAsia"/>
                <w:color w:val="auto"/>
                <w:highlight w:val="none"/>
              </w:rPr>
              <w:t>名称：国家税务总局广西壮族自治区税务局</w:t>
            </w:r>
          </w:p>
          <w:p>
            <w:pPr>
              <w:jc w:val="left"/>
              <w:rPr>
                <w:color w:val="auto"/>
                <w:highlight w:val="none"/>
              </w:rPr>
            </w:pPr>
            <w:r>
              <w:rPr>
                <w:rFonts w:hint="eastAsia"/>
                <w:color w:val="auto"/>
                <w:highlight w:val="none"/>
              </w:rPr>
              <w:t>地址：南宁市青秀区民族大道105号</w:t>
            </w:r>
          </w:p>
          <w:p>
            <w:pPr>
              <w:jc w:val="left"/>
              <w:rPr>
                <w:color w:val="auto"/>
                <w:highlight w:val="none"/>
              </w:rPr>
            </w:pPr>
            <w:r>
              <w:rPr>
                <w:rFonts w:hint="eastAsia"/>
                <w:color w:val="auto"/>
                <w:highlight w:val="none"/>
              </w:rPr>
              <w:t>联系电话：</w:t>
            </w:r>
            <w:r>
              <w:rPr>
                <w:rFonts w:hint="eastAsia"/>
                <w:color w:val="auto"/>
                <w:highlight w:val="none"/>
                <w:lang w:eastAsia="zh-CN"/>
              </w:rPr>
              <w:t>梁峰瑜、覃燕倩</w:t>
            </w:r>
            <w:r>
              <w:rPr>
                <w:rFonts w:hint="eastAsia"/>
                <w:color w:val="auto"/>
                <w:highlight w:val="none"/>
                <w:lang w:val="en-US" w:eastAsia="zh-CN"/>
              </w:rPr>
              <w:t xml:space="preserve"> </w:t>
            </w:r>
            <w:r>
              <w:rPr>
                <w:rFonts w:hint="eastAsia"/>
                <w:color w:val="auto"/>
                <w:highlight w:val="none"/>
              </w:rPr>
              <w:t xml:space="preserve">       </w:t>
            </w:r>
          </w:p>
          <w:p>
            <w:pPr>
              <w:jc w:val="left"/>
              <w:rPr>
                <w:color w:val="auto"/>
                <w:highlight w:val="none"/>
                <w:lang w:val="zh-CN"/>
              </w:rPr>
            </w:pPr>
            <w:r>
              <w:rPr>
                <w:rFonts w:hint="eastAsia"/>
                <w:color w:val="auto"/>
                <w:highlight w:val="none"/>
              </w:rPr>
              <w:t>联系方式：</w:t>
            </w:r>
            <w:r>
              <w:rPr>
                <w:rFonts w:hint="eastAsia"/>
                <w:color w:val="auto"/>
                <w:highlight w:val="none"/>
                <w:lang w:eastAsia="zh-CN"/>
              </w:rPr>
              <w:t>0771-5562132、</w:t>
            </w:r>
            <w:r>
              <w:rPr>
                <w:rFonts w:hint="eastAsia"/>
                <w:color w:val="auto"/>
                <w:highlight w:val="none"/>
                <w:lang w:val="en-US" w:eastAsia="zh-CN"/>
              </w:rPr>
              <w:t>0771-5651320</w:t>
            </w:r>
            <w:r>
              <w:rPr>
                <w:rFonts w:hint="eastAsia"/>
                <w:color w:val="auto"/>
                <w:highlight w:val="none"/>
              </w:rPr>
              <w:t xml:space="preserve"> </w:t>
            </w:r>
          </w:p>
        </w:tc>
      </w:tr>
      <w:tr>
        <w:tblPrEx>
          <w:tblW w:w="8977" w:type="dxa"/>
          <w:tblInd w:w="0" w:type="dxa"/>
          <w:tblLayout w:type="fixed"/>
          <w:tblCellMar>
            <w:top w:w="0" w:type="dxa"/>
            <w:left w:w="108" w:type="dxa"/>
            <w:bottom w:w="0" w:type="dxa"/>
            <w:right w:w="108" w:type="dxa"/>
          </w:tblCellMar>
        </w:tblPrEx>
        <w:tc>
          <w:tcPr>
            <w:tcW w:w="93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5</w:t>
            </w:r>
          </w:p>
        </w:tc>
        <w:tc>
          <w:tcPr>
            <w:tcW w:w="198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采购代理机构</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color w:val="auto"/>
                <w:highlight w:val="none"/>
              </w:rPr>
            </w:pPr>
            <w:r>
              <w:rPr>
                <w:rFonts w:hint="eastAsia"/>
                <w:color w:val="auto"/>
                <w:highlight w:val="none"/>
                <w:lang w:eastAsia="zh-CN"/>
              </w:rPr>
              <w:t>无</w:t>
            </w:r>
          </w:p>
        </w:tc>
      </w:tr>
      <w:tr>
        <w:tblPrEx>
          <w:tblW w:w="8977" w:type="dxa"/>
          <w:tblInd w:w="0" w:type="dxa"/>
          <w:tblLayout w:type="fixed"/>
          <w:tblCellMar>
            <w:top w:w="0" w:type="dxa"/>
            <w:left w:w="108" w:type="dxa"/>
            <w:bottom w:w="0" w:type="dxa"/>
            <w:right w:w="108" w:type="dxa"/>
          </w:tblCellMar>
        </w:tblPrEx>
        <w:tc>
          <w:tcPr>
            <w:tcW w:w="93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6</w:t>
            </w:r>
          </w:p>
        </w:tc>
        <w:tc>
          <w:tcPr>
            <w:tcW w:w="198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投标人资格要求</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color w:val="auto"/>
                <w:highlight w:val="none"/>
              </w:rPr>
            </w:pPr>
            <w:r>
              <w:rPr>
                <w:rFonts w:hint="eastAsia"/>
                <w:color w:val="auto"/>
                <w:highlight w:val="none"/>
              </w:rPr>
              <w:t>1.符合国家有关法律规定，在中国境内（指关境内）注册。</w:t>
            </w:r>
          </w:p>
          <w:p>
            <w:pPr>
              <w:jc w:val="left"/>
              <w:rPr>
                <w:color w:val="auto"/>
                <w:highlight w:val="none"/>
              </w:rPr>
            </w:pPr>
            <w:r>
              <w:rPr>
                <w:rFonts w:hint="eastAsia"/>
                <w:color w:val="auto"/>
                <w:highlight w:val="none"/>
              </w:rPr>
              <w:t>2.满足《中华人民共和国政府采购法》第二十二条规定。</w:t>
            </w:r>
          </w:p>
          <w:p>
            <w:pPr>
              <w:pStyle w:val="BodyText"/>
              <w:ind w:firstLine="420" w:firstLineChars="200"/>
              <w:jc w:val="left"/>
              <w:rPr>
                <w:color w:val="auto"/>
                <w:highlight w:val="none"/>
              </w:rPr>
            </w:pPr>
            <w:r>
              <w:rPr>
                <w:rFonts w:hint="eastAsia"/>
                <w:color w:val="auto"/>
                <w:highlight w:val="none"/>
              </w:rPr>
              <w:t>3.落实政府采购政策需满足的资格要求：</w:t>
            </w:r>
            <w:r>
              <w:rPr>
                <w:rFonts w:ascii="宋体" w:hAnsi="宋体" w:cs="宋体" w:hint="eastAsia"/>
                <w:color w:val="auto"/>
                <w:szCs w:val="21"/>
                <w:highlight w:val="none"/>
              </w:rPr>
              <w:t>本项目属</w:t>
            </w:r>
            <w:r>
              <w:rPr>
                <w:rFonts w:hint="eastAsia"/>
                <w:color w:val="auto"/>
                <w:highlight w:val="none"/>
              </w:rPr>
              <w:t>于专门面向中小企业采购的项目,供应商应中小微企业、监狱企业、残疾人福利性单位。</w:t>
            </w:r>
          </w:p>
          <w:p>
            <w:pPr>
              <w:numPr>
                <w:ilvl w:val="0"/>
                <w:numId w:val="0"/>
              </w:numPr>
              <w:jc w:val="left"/>
              <w:rPr>
                <w:rFonts w:hint="eastAsia"/>
                <w:color w:val="auto"/>
                <w:highlight w:val="none"/>
                <w:lang w:val="en-US" w:eastAsia="zh-CN"/>
              </w:rPr>
            </w:pPr>
            <w:r>
              <w:rPr>
                <w:rFonts w:hint="eastAsia"/>
                <w:color w:val="auto"/>
                <w:highlight w:val="none"/>
                <w:lang w:val="en-US" w:eastAsia="zh-CN"/>
              </w:rPr>
              <w:t>4.</w:t>
            </w:r>
            <w:r>
              <w:rPr>
                <w:rFonts w:hint="eastAsia"/>
                <w:color w:val="auto"/>
                <w:highlight w:val="none"/>
              </w:rPr>
              <w:t>本项目的特定资格要求：</w:t>
            </w:r>
            <w:r>
              <w:rPr>
                <w:rFonts w:hint="eastAsia"/>
                <w:color w:val="auto"/>
                <w:highlight w:val="none"/>
                <w:lang w:val="en-US" w:eastAsia="zh-CN"/>
              </w:rPr>
              <w:t>无。</w:t>
            </w:r>
          </w:p>
          <w:p>
            <w:pPr>
              <w:numPr>
                <w:ilvl w:val="0"/>
                <w:numId w:val="0"/>
              </w:numPr>
              <w:jc w:val="left"/>
              <w:rPr>
                <w:color w:val="auto"/>
                <w:highlight w:val="none"/>
              </w:rPr>
            </w:pPr>
            <w:r>
              <w:rPr>
                <w:rFonts w:hint="eastAsia"/>
                <w:color w:val="auto"/>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jc w:val="left"/>
              <w:rPr>
                <w:color w:val="auto"/>
                <w:highlight w:val="none"/>
              </w:rPr>
            </w:pPr>
            <w:r>
              <w:rPr>
                <w:rFonts w:hint="eastAsia"/>
                <w:color w:val="auto"/>
                <w:highlight w:val="none"/>
              </w:rPr>
              <w:t>6.单位负责人为同一人或者存在直接控股、管理关系的不同供应商，不得参加同一合同项下的政府采购活动。</w:t>
            </w:r>
          </w:p>
          <w:p>
            <w:pPr>
              <w:jc w:val="left"/>
              <w:rPr>
                <w:color w:val="auto"/>
                <w:highlight w:val="none"/>
              </w:rPr>
            </w:pPr>
            <w:r>
              <w:rPr>
                <w:rFonts w:hint="eastAsia"/>
                <w:color w:val="auto"/>
                <w:highlight w:val="none"/>
              </w:rPr>
              <w:t>7.为本项目提供整体设计、规范编制或者项目管理、监理、检测等服务的供应商，不得再参加本次政府采购活动。</w:t>
            </w:r>
          </w:p>
          <w:p>
            <w:pPr>
              <w:jc w:val="left"/>
              <w:rPr>
                <w:color w:val="auto"/>
                <w:highlight w:val="none"/>
              </w:rPr>
            </w:pPr>
          </w:p>
        </w:tc>
      </w:tr>
      <w:tr>
        <w:tblPrEx>
          <w:tblW w:w="8977" w:type="dxa"/>
          <w:tblInd w:w="0" w:type="dxa"/>
          <w:tblLayout w:type="fixed"/>
          <w:tblCellMar>
            <w:top w:w="0" w:type="dxa"/>
            <w:left w:w="108" w:type="dxa"/>
            <w:bottom w:w="0" w:type="dxa"/>
            <w:right w:w="108" w:type="dxa"/>
          </w:tblCellMar>
        </w:tblPrEx>
        <w:tc>
          <w:tcPr>
            <w:tcW w:w="93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7</w:t>
            </w:r>
          </w:p>
        </w:tc>
        <w:tc>
          <w:tcPr>
            <w:tcW w:w="198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是否接受联合体投标</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color w:val="auto"/>
                <w:highlight w:val="none"/>
              </w:rPr>
            </w:pPr>
            <w:r>
              <w:rPr>
                <w:rFonts w:ascii="Wingdings 2" w:hAnsi="Wingdings 2"/>
                <w:color w:val="auto"/>
                <w:highlight w:val="none"/>
              </w:rPr>
              <w:sym w:font="Wingdings 2" w:char="F052"/>
            </w:r>
            <w:r>
              <w:rPr>
                <w:rFonts w:hint="eastAsia"/>
                <w:color w:val="auto"/>
                <w:highlight w:val="none"/>
              </w:rPr>
              <w:t>不接受</w:t>
            </w:r>
          </w:p>
          <w:p>
            <w:pPr>
              <w:jc w:val="left"/>
              <w:rPr>
                <w:color w:val="auto"/>
                <w:highlight w:val="none"/>
              </w:rPr>
            </w:pPr>
            <w:r>
              <w:rPr>
                <w:rFonts w:ascii="Wingdings 2" w:hAnsi="Wingdings 2"/>
                <w:color w:val="auto"/>
                <w:highlight w:val="none"/>
              </w:rPr>
              <w:sym w:font="Wingdings 2" w:char="F0A3"/>
            </w:r>
            <w:r>
              <w:rPr>
                <w:rFonts w:hint="eastAsia"/>
                <w:color w:val="auto"/>
                <w:highlight w:val="none"/>
              </w:rPr>
              <w:t>接受（接受联合体投标且投标人为联合体的，投标人应提供联合体协议；否则无须提供。）</w:t>
            </w:r>
          </w:p>
        </w:tc>
      </w:tr>
      <w:tr>
        <w:tblPrEx>
          <w:tblW w:w="8977" w:type="dxa"/>
          <w:tblInd w:w="0" w:type="dxa"/>
          <w:tblLayout w:type="fixed"/>
          <w:tblCellMar>
            <w:top w:w="0" w:type="dxa"/>
            <w:left w:w="108" w:type="dxa"/>
            <w:bottom w:w="0" w:type="dxa"/>
            <w:right w:w="108" w:type="dxa"/>
          </w:tblCellMar>
        </w:tblPrEx>
        <w:tc>
          <w:tcPr>
            <w:tcW w:w="93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8</w:t>
            </w:r>
          </w:p>
        </w:tc>
        <w:tc>
          <w:tcPr>
            <w:tcW w:w="198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采购标的对应的中小企业划分标准所属行业</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pStyle w:val="CommentText"/>
              <w:jc w:val="left"/>
              <w:rPr>
                <w:color w:val="auto"/>
                <w:highlight w:val="none"/>
              </w:rPr>
            </w:pPr>
            <w:r>
              <w:rPr>
                <w:rFonts w:hint="eastAsia"/>
                <w:color w:val="auto"/>
                <w:highlight w:val="none"/>
              </w:rPr>
              <w:t>软件和信息技术服务业</w:t>
            </w:r>
          </w:p>
        </w:tc>
      </w:tr>
      <w:tr>
        <w:tblPrEx>
          <w:tblW w:w="8977" w:type="dxa"/>
          <w:tblInd w:w="0" w:type="dxa"/>
          <w:tblLayout w:type="fixed"/>
          <w:tblCellMar>
            <w:top w:w="0" w:type="dxa"/>
            <w:left w:w="108" w:type="dxa"/>
            <w:bottom w:w="0" w:type="dxa"/>
            <w:right w:w="108" w:type="dxa"/>
          </w:tblCellMar>
        </w:tblPrEx>
        <w:tc>
          <w:tcPr>
            <w:tcW w:w="93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9</w:t>
            </w:r>
          </w:p>
        </w:tc>
        <w:tc>
          <w:tcPr>
            <w:tcW w:w="198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非主体、非关键性工作分包</w:t>
            </w:r>
          </w:p>
        </w:tc>
        <w:tc>
          <w:tcPr>
            <w:tcW w:w="6058" w:type="dxa"/>
            <w:gridSpan w:val="2"/>
            <w:tcBorders>
              <w:top w:val="single" w:sz="4" w:space="0" w:color="auto"/>
              <w:left w:val="single" w:sz="4" w:space="0" w:color="auto"/>
              <w:bottom w:val="single" w:sz="4" w:space="0" w:color="auto"/>
              <w:right w:val="single" w:sz="4" w:space="0" w:color="auto"/>
            </w:tcBorders>
            <w:noWrap/>
            <w:vAlign w:val="center"/>
          </w:tcPr>
          <w:p>
            <w:pPr>
              <w:jc w:val="left"/>
              <w:rPr>
                <w:color w:val="auto"/>
                <w:highlight w:val="none"/>
              </w:rPr>
            </w:pPr>
            <w:r>
              <w:rPr>
                <w:rFonts w:hint="eastAsia"/>
                <w:color w:val="auto"/>
                <w:highlight w:val="none"/>
              </w:rPr>
              <w:t>是否允许中标人将本项目的非主体、非关键性工作进行分包：</w:t>
            </w:r>
          </w:p>
          <w:p>
            <w:pPr>
              <w:jc w:val="left"/>
              <w:rPr>
                <w:color w:val="auto"/>
                <w:highlight w:val="none"/>
              </w:rPr>
            </w:pPr>
            <w:r>
              <w:rPr>
                <w:rFonts w:hint="eastAsia"/>
                <w:color w:val="auto"/>
                <w:highlight w:val="none"/>
              </w:rPr>
              <w:t>采购包1：</w:t>
            </w:r>
          </w:p>
          <w:p>
            <w:pPr>
              <w:jc w:val="left"/>
              <w:rPr>
                <w:color w:val="auto"/>
                <w:highlight w:val="none"/>
              </w:rPr>
            </w:pPr>
            <w:r>
              <w:rPr>
                <w:rFonts w:ascii="Wingdings 2" w:hAnsi="Wingdings 2"/>
                <w:color w:val="auto"/>
                <w:highlight w:val="none"/>
              </w:rPr>
              <w:sym w:font="Wingdings 2" w:char="F052"/>
            </w:r>
            <w:r>
              <w:rPr>
                <w:rFonts w:hint="eastAsia"/>
                <w:color w:val="auto"/>
                <w:highlight w:val="none"/>
              </w:rPr>
              <w:t>不允许</w:t>
            </w:r>
          </w:p>
          <w:p>
            <w:pPr>
              <w:jc w:val="left"/>
              <w:rPr>
                <w:i/>
                <w:color w:val="auto"/>
                <w:highlight w:val="none"/>
                <w:u w:val="single"/>
              </w:rPr>
            </w:pPr>
            <w:r>
              <w:rPr>
                <w:rFonts w:hint="eastAsia"/>
                <w:color w:val="auto"/>
                <w:highlight w:val="none"/>
              </w:rPr>
              <w:t>□允许，（写明可以分包履行的具体内容、金额或者比例）</w:t>
            </w:r>
          </w:p>
          <w:p>
            <w:pPr>
              <w:jc w:val="left"/>
              <w:rPr>
                <w:color w:val="auto"/>
                <w:highlight w:val="none"/>
              </w:rPr>
            </w:pPr>
            <w:r>
              <w:rPr>
                <w:rFonts w:hint="eastAsia"/>
                <w:color w:val="auto"/>
                <w:highlight w:val="none"/>
              </w:rPr>
              <w:t>采购包2：</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10</w:t>
            </w:r>
          </w:p>
        </w:tc>
        <w:tc>
          <w:tcPr>
            <w:tcW w:w="1984" w:type="dxa"/>
            <w:noWrap/>
            <w:vAlign w:val="center"/>
          </w:tcPr>
          <w:p>
            <w:pPr>
              <w:rPr>
                <w:color w:val="auto"/>
                <w:highlight w:val="none"/>
              </w:rPr>
            </w:pPr>
            <w:r>
              <w:rPr>
                <w:rFonts w:hint="eastAsia"/>
                <w:color w:val="auto"/>
                <w:highlight w:val="none"/>
              </w:rPr>
              <w:t>核心产品</w:t>
            </w:r>
          </w:p>
        </w:tc>
        <w:tc>
          <w:tcPr>
            <w:tcW w:w="6058" w:type="dxa"/>
            <w:gridSpan w:val="2"/>
            <w:noWrap/>
            <w:vAlign w:val="center"/>
          </w:tcPr>
          <w:p>
            <w:pPr>
              <w:jc w:val="left"/>
              <w:rPr>
                <w:color w:val="auto"/>
                <w:highlight w:val="none"/>
              </w:rPr>
            </w:pPr>
            <w:r>
              <w:rPr>
                <w:rFonts w:hint="eastAsia"/>
                <w:color w:val="auto"/>
                <w:highlight w:val="none"/>
              </w:rPr>
              <w:t>货物类项目填写此栏</w:t>
            </w:r>
          </w:p>
          <w:p>
            <w:pPr>
              <w:jc w:val="left"/>
              <w:rPr>
                <w:color w:val="auto"/>
                <w:highlight w:val="none"/>
              </w:rPr>
            </w:pPr>
            <w:r>
              <w:rPr>
                <w:rFonts w:ascii="Wingdings 2" w:hAnsi="Wingdings 2"/>
                <w:color w:val="auto"/>
                <w:highlight w:val="none"/>
              </w:rPr>
              <w:sym w:font="Wingdings 2" w:char="F0A3"/>
            </w:r>
            <w:r>
              <w:rPr>
                <w:rFonts w:hint="eastAsia"/>
                <w:color w:val="auto"/>
                <w:highlight w:val="none"/>
              </w:rPr>
              <w:t>无</w:t>
            </w:r>
          </w:p>
          <w:p>
            <w:pPr>
              <w:jc w:val="left"/>
              <w:rPr>
                <w:color w:val="auto"/>
                <w:highlight w:val="none"/>
              </w:rPr>
            </w:pPr>
            <w:r>
              <w:rPr>
                <w:rFonts w:ascii="Wingdings 2" w:hAnsi="Wingdings 2"/>
                <w:color w:val="auto"/>
                <w:highlight w:val="none"/>
              </w:rPr>
              <w:sym w:font="Wingdings 2" w:char="F0A3"/>
            </w:r>
            <w:r>
              <w:rPr>
                <w:rFonts w:hint="eastAsia"/>
                <w:color w:val="auto"/>
                <w:highlight w:val="none"/>
              </w:rPr>
              <w:t>有</w:t>
            </w:r>
          </w:p>
          <w:p>
            <w:pPr>
              <w:jc w:val="left"/>
              <w:rPr>
                <w:color w:val="auto"/>
                <w:highlight w:val="none"/>
                <w:u w:val="single"/>
              </w:rPr>
            </w:pPr>
            <w:r>
              <w:rPr>
                <w:rFonts w:hint="eastAsia"/>
                <w:color w:val="auto"/>
                <w:highlight w:val="none"/>
              </w:rPr>
              <w:t>产品名称：/</w:t>
            </w:r>
          </w:p>
          <w:p>
            <w:pPr>
              <w:jc w:val="left"/>
              <w:rPr>
                <w:color w:val="auto"/>
                <w:highlight w:val="none"/>
                <w:lang w:val="zh-CN"/>
              </w:rPr>
            </w:pPr>
            <w:r>
              <w:rPr>
                <w:rFonts w:hint="eastAsia"/>
                <w:color w:val="auto"/>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的方式确定一个参加评标的投标人，招标文件未规定的采取随机抽取方式确定，其他投标无效。</w:t>
            </w:r>
          </w:p>
          <w:p>
            <w:pPr>
              <w:jc w:val="left"/>
              <w:rPr>
                <w:color w:val="auto"/>
                <w:highlight w:val="none"/>
                <w:u w:val="single"/>
              </w:rPr>
            </w:pPr>
            <w:r>
              <w:rPr>
                <w:rFonts w:hint="eastAsia"/>
                <w:color w:val="auto"/>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color w:val="auto"/>
                <w:highlight w:val="none"/>
              </w:rPr>
              <w:t>评审得分相同的，由采购人或者采购人委托评标委员会按照的方式确定一个投标人获得中标人推荐资格，招标文件未规定的采取随机抽取方式确定</w:t>
            </w:r>
            <w:r>
              <w:rPr>
                <w:rFonts w:hint="eastAsia"/>
                <w:color w:val="auto"/>
                <w:highlight w:val="none"/>
                <w:lang w:val="zh-CN"/>
              </w:rPr>
              <w:t>），其他同品牌投标人不作为中标候选人。</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11</w:t>
            </w:r>
          </w:p>
        </w:tc>
        <w:tc>
          <w:tcPr>
            <w:tcW w:w="1984" w:type="dxa"/>
            <w:noWrap/>
            <w:vAlign w:val="center"/>
          </w:tcPr>
          <w:p>
            <w:pPr>
              <w:rPr>
                <w:color w:val="auto"/>
                <w:highlight w:val="none"/>
              </w:rPr>
            </w:pPr>
            <w:r>
              <w:rPr>
                <w:rFonts w:hint="eastAsia"/>
                <w:color w:val="auto"/>
                <w:highlight w:val="none"/>
              </w:rPr>
              <w:t>采购进口产品</w:t>
            </w:r>
          </w:p>
        </w:tc>
        <w:tc>
          <w:tcPr>
            <w:tcW w:w="6058" w:type="dxa"/>
            <w:gridSpan w:val="2"/>
            <w:noWrap/>
            <w:vAlign w:val="center"/>
          </w:tcPr>
          <w:p>
            <w:pPr>
              <w:jc w:val="left"/>
              <w:rPr>
                <w:color w:val="auto"/>
                <w:highlight w:val="none"/>
              </w:rPr>
            </w:pPr>
            <w:r>
              <w:rPr>
                <w:rFonts w:ascii="Wingdings 2" w:hAnsi="Wingdings 2"/>
                <w:color w:val="auto"/>
                <w:highlight w:val="none"/>
              </w:rPr>
              <w:sym w:font="Wingdings 2" w:char="F0A3"/>
            </w:r>
            <w:r>
              <w:rPr>
                <w:rFonts w:hint="eastAsia"/>
                <w:color w:val="auto"/>
                <w:highlight w:val="none"/>
              </w:rPr>
              <w:t>本采购项目拒绝进口产品参加投标</w:t>
            </w:r>
          </w:p>
          <w:p>
            <w:pPr>
              <w:jc w:val="left"/>
              <w:rPr>
                <w:color w:val="auto"/>
                <w:highlight w:val="none"/>
              </w:rPr>
            </w:pPr>
            <w:r>
              <w:rPr>
                <w:rFonts w:hint="eastAsia"/>
                <w:color w:val="auto"/>
                <w:highlight w:val="none"/>
              </w:rPr>
              <w:t>□本采购项目已经财政部审核同意购买进口产品</w:t>
            </w:r>
          </w:p>
          <w:p>
            <w:pPr>
              <w:jc w:val="left"/>
              <w:rPr>
                <w:color w:val="auto"/>
                <w:highlight w:val="none"/>
              </w:rPr>
            </w:pPr>
            <w:r>
              <w:rPr>
                <w:rFonts w:ascii="Wingdings 2" w:hAnsi="Wingdings 2"/>
                <w:color w:val="auto"/>
                <w:highlight w:val="none"/>
              </w:rPr>
              <w:sym w:font="Wingdings 2" w:char="F052"/>
            </w:r>
            <w:r>
              <w:rPr>
                <w:rFonts w:hint="eastAsia"/>
                <w:color w:val="auto"/>
                <w:highlight w:val="none"/>
              </w:rPr>
              <w:t>其他</w:t>
            </w:r>
            <w:r>
              <w:rPr>
                <w:rFonts w:hint="eastAsia"/>
                <w:color w:val="auto"/>
                <w:highlight w:val="none"/>
                <w:lang w:eastAsia="zh-CN"/>
              </w:rPr>
              <w:t>：</w:t>
            </w:r>
            <w:r>
              <w:rPr>
                <w:rFonts w:hint="eastAsia"/>
                <w:color w:val="auto"/>
                <w:highlight w:val="none"/>
              </w:rPr>
              <w:t xml:space="preserve">  /         </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12</w:t>
            </w:r>
          </w:p>
        </w:tc>
        <w:tc>
          <w:tcPr>
            <w:tcW w:w="1984" w:type="dxa"/>
            <w:noWrap/>
            <w:vAlign w:val="center"/>
          </w:tcPr>
          <w:p>
            <w:pPr>
              <w:rPr>
                <w:b/>
                <w:color w:val="auto"/>
                <w:highlight w:val="none"/>
              </w:rPr>
            </w:pPr>
            <w:r>
              <w:rPr>
                <w:rFonts w:hint="eastAsia"/>
                <w:color w:val="auto"/>
                <w:highlight w:val="none"/>
              </w:rPr>
              <w:t>信息发布媒体</w:t>
            </w:r>
          </w:p>
        </w:tc>
        <w:tc>
          <w:tcPr>
            <w:tcW w:w="6058" w:type="dxa"/>
            <w:gridSpan w:val="2"/>
            <w:noWrap/>
            <w:vAlign w:val="center"/>
          </w:tcPr>
          <w:p>
            <w:pPr>
              <w:jc w:val="left"/>
              <w:rPr>
                <w:color w:val="auto"/>
                <w:highlight w:val="none"/>
              </w:rPr>
            </w:pPr>
            <w:r>
              <w:rPr>
                <w:rFonts w:hint="eastAsia"/>
                <w:color w:val="auto"/>
                <w:highlight w:val="none"/>
              </w:rPr>
              <w:t>（1）中国政府采购网（</w:t>
            </w:r>
            <w:hyperlink r:id="rId9" w:history="1">
              <w:r>
                <w:rPr>
                  <w:rFonts w:hint="eastAsia"/>
                  <w:color w:val="auto"/>
                  <w:highlight w:val="none"/>
                </w:rPr>
                <w:t>www.ccgp.gov.cn</w:t>
              </w:r>
            </w:hyperlink>
            <w:r>
              <w:rPr>
                <w:rFonts w:hint="eastAsia"/>
                <w:color w:val="auto"/>
                <w:highlight w:val="none"/>
              </w:rPr>
              <w:t>）</w:t>
            </w:r>
          </w:p>
          <w:p>
            <w:pPr>
              <w:jc w:val="left"/>
              <w:rPr>
                <w:rFonts w:hint="eastAsia"/>
                <w:color w:val="auto"/>
                <w:highlight w:val="none"/>
              </w:rPr>
            </w:pPr>
            <w:r>
              <w:rPr>
                <w:rFonts w:hint="eastAsia"/>
                <w:color w:val="auto"/>
                <w:highlight w:val="none"/>
              </w:rPr>
              <w:t>（2）国家税务总局集中采购中心网站（https://swcg.chinatax.gov.cn）</w:t>
            </w:r>
          </w:p>
          <w:p>
            <w:pPr>
              <w:pStyle w:val="Default"/>
              <w:spacing w:line="440" w:lineRule="exact"/>
              <w:jc w:val="left"/>
              <w:rPr>
                <w:rFonts w:asciiTheme="minorEastAsia" w:eastAsiaTheme="minorEastAsia" w:hAnsiTheme="minorEastAsia" w:cstheme="minorEastAsia"/>
                <w:color w:val="auto"/>
                <w:sz w:val="21"/>
                <w:szCs w:val="21"/>
                <w:highlight w:val="none"/>
              </w:rPr>
            </w:pPr>
            <w:r>
              <w:rPr>
                <w:rFonts w:asciiTheme="minorEastAsia" w:eastAsiaTheme="minorEastAsia" w:hAnsiTheme="minorEastAsia" w:cstheme="minorEastAsia" w:hint="eastAsia"/>
                <w:bCs/>
                <w:color w:val="auto"/>
                <w:sz w:val="21"/>
                <w:szCs w:val="21"/>
                <w:highlight w:val="none"/>
                <w:lang w:val="en-US" w:eastAsia="zh-CN" w:bidi="ar-SA"/>
              </w:rPr>
              <w:t>（3）国家税务总局广西壮族自治区税务局网（http://guangxi.chinatax.gov.cn/）</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13</w:t>
            </w:r>
          </w:p>
        </w:tc>
        <w:tc>
          <w:tcPr>
            <w:tcW w:w="1984" w:type="dxa"/>
            <w:noWrap/>
            <w:vAlign w:val="center"/>
          </w:tcPr>
          <w:p>
            <w:pPr>
              <w:rPr>
                <w:color w:val="auto"/>
                <w:highlight w:val="none"/>
              </w:rPr>
            </w:pPr>
            <w:r>
              <w:rPr>
                <w:rFonts w:hint="eastAsia"/>
                <w:color w:val="auto"/>
                <w:highlight w:val="none"/>
              </w:rPr>
              <w:t>获取招标文件</w:t>
            </w:r>
          </w:p>
          <w:p>
            <w:pPr>
              <w:rPr>
                <w:color w:val="auto"/>
                <w:highlight w:val="none"/>
              </w:rPr>
            </w:pPr>
            <w:r>
              <w:rPr>
                <w:rFonts w:hint="eastAsia"/>
                <w:color w:val="auto"/>
                <w:highlight w:val="none"/>
              </w:rPr>
              <w:t>时间、地点和</w:t>
            </w:r>
          </w:p>
          <w:p>
            <w:pPr>
              <w:rPr>
                <w:color w:val="auto"/>
                <w:highlight w:val="none"/>
              </w:rPr>
            </w:pPr>
            <w:r>
              <w:rPr>
                <w:rFonts w:hint="eastAsia"/>
                <w:color w:val="auto"/>
                <w:highlight w:val="none"/>
              </w:rPr>
              <w:t>方式等</w:t>
            </w:r>
          </w:p>
        </w:tc>
        <w:tc>
          <w:tcPr>
            <w:tcW w:w="6058" w:type="dxa"/>
            <w:gridSpan w:val="2"/>
            <w:noWrap/>
            <w:vAlign w:val="center"/>
          </w:tcPr>
          <w:p>
            <w:pPr>
              <w:pStyle w:val="Default"/>
              <w:spacing w:line="440" w:lineRule="exact"/>
              <w:jc w:val="left"/>
              <w:rPr>
                <w:rFonts w:asciiTheme="minorEastAsia" w:eastAsiaTheme="minorEastAsia" w:hAnsiTheme="minorEastAsia" w:cstheme="minorEastAsia" w:hint="eastAsia"/>
                <w:color w:val="auto"/>
                <w:sz w:val="21"/>
                <w:szCs w:val="21"/>
                <w:highlight w:val="none"/>
              </w:rPr>
            </w:pPr>
            <w:r>
              <w:rPr>
                <w:rFonts w:hint="eastAsia"/>
                <w:color w:val="auto"/>
                <w:highlight w:val="none"/>
              </w:rPr>
              <w:t>时间：2024年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日至2024年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日，每天</w:t>
            </w:r>
            <w:r>
              <w:rPr>
                <w:rFonts w:asciiTheme="minorEastAsia" w:eastAsiaTheme="minorEastAsia" w:hAnsiTheme="minorEastAsia" w:cstheme="minorEastAsia" w:hint="eastAsia"/>
                <w:color w:val="auto"/>
                <w:sz w:val="21"/>
                <w:szCs w:val="21"/>
                <w:highlight w:val="none"/>
              </w:rPr>
              <w:t>上午0</w:t>
            </w:r>
            <w:r>
              <w:rPr>
                <w:rFonts w:asciiTheme="minorEastAsia" w:eastAsiaTheme="minorEastAsia" w:hAnsiTheme="minorEastAsia" w:cstheme="minorEastAsia" w:hint="eastAsia"/>
                <w:color w:val="auto"/>
                <w:sz w:val="21"/>
                <w:szCs w:val="21"/>
                <w:highlight w:val="none"/>
                <w:lang w:val="en-US" w:eastAsia="zh-CN"/>
              </w:rPr>
              <w:t>0</w:t>
            </w:r>
            <w:r>
              <w:rPr>
                <w:rFonts w:asciiTheme="minorEastAsia" w:eastAsiaTheme="minorEastAsia" w:hAnsiTheme="minorEastAsia" w:cstheme="minorEastAsia" w:hint="eastAsia"/>
                <w:color w:val="auto"/>
                <w:sz w:val="21"/>
                <w:szCs w:val="21"/>
                <w:highlight w:val="none"/>
              </w:rPr>
              <w:t>：00至12：00，下午12：00至23：59（北京时间，法定节假日除外）</w:t>
            </w:r>
          </w:p>
          <w:p>
            <w:pPr>
              <w:pStyle w:val="Default"/>
              <w:spacing w:line="440" w:lineRule="exact"/>
              <w:jc w:val="left"/>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地点：国家税务总局集中采购中心网站（https://swcg.chinatax.gov.cn）</w:t>
            </w:r>
          </w:p>
          <w:p>
            <w:pPr>
              <w:pStyle w:val="Default"/>
              <w:spacing w:line="440" w:lineRule="exact"/>
              <w:jc w:val="left"/>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方式：供应商在国家税务总局集中采购中心网站（https://swcg.chinatax.gov.cn），点击“供应商登录”，完成注册，登录国家税务总局政府采购评审管理系统，报名并免费下载招标文件电子版。没有报名的供应商，不能参加本项目采购活动。</w:t>
            </w:r>
          </w:p>
          <w:p>
            <w:pPr>
              <w:pStyle w:val="Default"/>
              <w:spacing w:line="440" w:lineRule="exact"/>
              <w:jc w:val="left"/>
              <w:rPr>
                <w:rFonts w:asciiTheme="minorEastAsia" w:eastAsiaTheme="minorEastAsia" w:hAnsiTheme="minorEastAsia" w:cstheme="minorEastAsia"/>
                <w:color w:val="auto"/>
                <w:sz w:val="21"/>
                <w:szCs w:val="21"/>
                <w:highlight w:val="none"/>
              </w:rPr>
            </w:pPr>
            <w:r>
              <w:rPr>
                <w:rFonts w:asciiTheme="minorEastAsia" w:eastAsiaTheme="minorEastAsia" w:hAnsiTheme="minorEastAsia" w:cstheme="minorEastAsia" w:hint="eastAsia"/>
                <w:color w:val="auto"/>
                <w:sz w:val="21"/>
                <w:szCs w:val="21"/>
                <w:highlight w:val="none"/>
              </w:rPr>
              <w:t>售价：招标文件工本费每本 0 元人民币。</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14</w:t>
            </w:r>
          </w:p>
        </w:tc>
        <w:tc>
          <w:tcPr>
            <w:tcW w:w="1984" w:type="dxa"/>
            <w:noWrap/>
            <w:vAlign w:val="center"/>
          </w:tcPr>
          <w:p>
            <w:pPr>
              <w:rPr>
                <w:color w:val="auto"/>
                <w:highlight w:val="none"/>
              </w:rPr>
            </w:pPr>
            <w:r>
              <w:rPr>
                <w:rFonts w:hint="eastAsia"/>
                <w:color w:val="auto"/>
                <w:highlight w:val="none"/>
              </w:rPr>
              <w:t>现场考察</w:t>
            </w:r>
          </w:p>
        </w:tc>
        <w:tc>
          <w:tcPr>
            <w:tcW w:w="6058" w:type="dxa"/>
            <w:gridSpan w:val="2"/>
            <w:noWrap/>
            <w:vAlign w:val="center"/>
          </w:tcPr>
          <w:p>
            <w:pPr>
              <w:jc w:val="left"/>
              <w:rPr>
                <w:color w:val="auto"/>
                <w:highlight w:val="none"/>
              </w:rPr>
            </w:pPr>
            <w:r>
              <w:rPr>
                <w:rFonts w:ascii="Wingdings 2" w:hAnsi="Wingdings 2"/>
                <w:color w:val="auto"/>
                <w:highlight w:val="none"/>
              </w:rPr>
              <w:sym w:font="Wingdings 2" w:char="F052"/>
            </w:r>
            <w:r>
              <w:rPr>
                <w:rFonts w:hint="eastAsia"/>
                <w:color w:val="auto"/>
                <w:highlight w:val="none"/>
              </w:rPr>
              <w:t>不组织现场考察</w:t>
            </w:r>
          </w:p>
          <w:p>
            <w:pPr>
              <w:jc w:val="left"/>
              <w:rPr>
                <w:color w:val="auto"/>
                <w:highlight w:val="none"/>
              </w:rPr>
            </w:pPr>
            <w:r>
              <w:rPr>
                <w:rFonts w:ascii="Wingdings 2" w:hAnsi="Wingdings 2"/>
                <w:color w:val="auto"/>
                <w:highlight w:val="none"/>
              </w:rPr>
              <w:sym w:font="Wingdings 2" w:char="F0A3"/>
            </w:r>
            <w:r>
              <w:rPr>
                <w:rFonts w:hint="eastAsia"/>
                <w:color w:val="auto"/>
                <w:highlight w:val="none"/>
              </w:rPr>
              <w:t>组织现场考察：</w:t>
            </w:r>
          </w:p>
          <w:p>
            <w:pPr>
              <w:jc w:val="left"/>
              <w:rPr>
                <w:color w:val="auto"/>
                <w:highlight w:val="none"/>
              </w:rPr>
            </w:pPr>
            <w:r>
              <w:rPr>
                <w:rFonts w:hint="eastAsia"/>
                <w:color w:val="auto"/>
                <w:highlight w:val="none"/>
              </w:rPr>
              <w:t>时间：年月日</w:t>
            </w:r>
            <w:r>
              <w:rPr>
                <w:rFonts w:hint="eastAsia"/>
                <w:color w:val="auto"/>
                <w:highlight w:val="none"/>
                <w:lang w:val="en-US" w:eastAsia="zh-CN"/>
              </w:rPr>
              <w:t>时分</w:t>
            </w:r>
            <w:r>
              <w:rPr>
                <w:rFonts w:hint="eastAsia"/>
                <w:color w:val="auto"/>
                <w:highlight w:val="none"/>
              </w:rPr>
              <w:t>（北京时间）</w:t>
            </w:r>
          </w:p>
          <w:p>
            <w:pPr>
              <w:jc w:val="left"/>
              <w:rPr>
                <w:color w:val="auto"/>
                <w:highlight w:val="none"/>
              </w:rPr>
            </w:pPr>
            <w:r>
              <w:rPr>
                <w:rFonts w:hint="eastAsia"/>
                <w:color w:val="auto"/>
                <w:highlight w:val="none"/>
              </w:rPr>
              <w:t>地点：</w:t>
            </w:r>
          </w:p>
          <w:p>
            <w:pPr>
              <w:jc w:val="left"/>
              <w:rPr>
                <w:color w:val="auto"/>
                <w:highlight w:val="none"/>
              </w:rPr>
            </w:pPr>
            <w:r>
              <w:rPr>
                <w:rFonts w:hint="eastAsia"/>
                <w:color w:val="auto"/>
                <w:highlight w:val="none"/>
              </w:rPr>
              <w:t>联系人：</w:t>
            </w:r>
          </w:p>
          <w:p>
            <w:pPr>
              <w:jc w:val="left"/>
              <w:rPr>
                <w:color w:val="auto"/>
                <w:highlight w:val="none"/>
                <w:u w:val="single"/>
              </w:rPr>
            </w:pPr>
            <w:r>
              <w:rPr>
                <w:rFonts w:hint="eastAsia"/>
                <w:color w:val="auto"/>
                <w:highlight w:val="none"/>
              </w:rPr>
              <w:t>联系电话：</w:t>
            </w:r>
          </w:p>
          <w:p>
            <w:pPr>
              <w:jc w:val="left"/>
              <w:rPr>
                <w:color w:val="auto"/>
                <w:highlight w:val="none"/>
              </w:rPr>
            </w:pPr>
            <w:r>
              <w:rPr>
                <w:rFonts w:hint="eastAsia"/>
                <w:color w:val="auto"/>
                <w:highlight w:val="none"/>
              </w:rPr>
              <w:t>要求：</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15</w:t>
            </w:r>
          </w:p>
        </w:tc>
        <w:tc>
          <w:tcPr>
            <w:tcW w:w="1984" w:type="dxa"/>
            <w:noWrap/>
            <w:vAlign w:val="center"/>
          </w:tcPr>
          <w:p>
            <w:pPr>
              <w:rPr>
                <w:color w:val="auto"/>
                <w:highlight w:val="none"/>
              </w:rPr>
            </w:pPr>
            <w:r>
              <w:rPr>
                <w:rFonts w:hint="eastAsia"/>
                <w:color w:val="auto"/>
                <w:highlight w:val="none"/>
              </w:rPr>
              <w:t>样品</w:t>
            </w:r>
          </w:p>
        </w:tc>
        <w:tc>
          <w:tcPr>
            <w:tcW w:w="6058" w:type="dxa"/>
            <w:gridSpan w:val="2"/>
            <w:noWrap/>
            <w:vAlign w:val="center"/>
          </w:tcPr>
          <w:p>
            <w:pPr>
              <w:jc w:val="left"/>
              <w:rPr>
                <w:color w:val="auto"/>
                <w:highlight w:val="none"/>
              </w:rPr>
            </w:pPr>
            <w:r>
              <w:rPr>
                <w:rFonts w:ascii="Wingdings 2" w:hAnsi="Wingdings 2"/>
                <w:color w:val="auto"/>
                <w:highlight w:val="none"/>
              </w:rPr>
              <w:sym w:font="Wingdings 2" w:char="F052"/>
            </w:r>
            <w:r>
              <w:rPr>
                <w:rFonts w:hint="eastAsia"/>
                <w:color w:val="auto"/>
                <w:highlight w:val="none"/>
              </w:rPr>
              <w:t>不要求提供</w:t>
            </w:r>
          </w:p>
          <w:p>
            <w:pPr>
              <w:jc w:val="left"/>
              <w:rPr>
                <w:color w:val="auto"/>
                <w:highlight w:val="none"/>
              </w:rPr>
            </w:pPr>
            <w:r>
              <w:rPr>
                <w:rFonts w:ascii="Wingdings 2" w:hAnsi="Wingdings 2"/>
                <w:color w:val="auto"/>
                <w:highlight w:val="none"/>
              </w:rPr>
              <w:sym w:font="Wingdings 2" w:char="F0A3"/>
            </w:r>
            <w:r>
              <w:rPr>
                <w:rFonts w:hint="eastAsia"/>
                <w:color w:val="auto"/>
                <w:highlight w:val="none"/>
              </w:rPr>
              <w:t>要求提供：</w:t>
            </w:r>
          </w:p>
          <w:p>
            <w:pPr>
              <w:jc w:val="left"/>
              <w:rPr>
                <w:color w:val="auto"/>
                <w:highlight w:val="none"/>
              </w:rPr>
            </w:pPr>
            <w:r>
              <w:rPr>
                <w:rFonts w:hint="eastAsia"/>
                <w:color w:val="auto"/>
                <w:highlight w:val="none"/>
              </w:rPr>
              <w:t>1.样品制作的标准和要求：____________________</w:t>
            </w:r>
          </w:p>
          <w:p>
            <w:pPr>
              <w:jc w:val="left"/>
              <w:rPr>
                <w:color w:val="auto"/>
                <w:highlight w:val="none"/>
              </w:rPr>
            </w:pPr>
            <w:r>
              <w:rPr>
                <w:rFonts w:hint="eastAsia"/>
                <w:color w:val="auto"/>
                <w:highlight w:val="none"/>
              </w:rPr>
              <w:t>2.样品检测报告：(□否；□是，检测机构的要求、检测内容详见第六章项目采购需求)</w:t>
            </w:r>
          </w:p>
          <w:p>
            <w:pPr>
              <w:jc w:val="left"/>
              <w:rPr>
                <w:color w:val="auto"/>
                <w:highlight w:val="none"/>
              </w:rPr>
            </w:pPr>
            <w:r>
              <w:rPr>
                <w:rFonts w:hint="eastAsia"/>
                <w:color w:val="auto"/>
                <w:highlight w:val="none"/>
              </w:rPr>
              <w:t>3.样品的评审方法及评审标准：内容详见第三章评标办法及标准</w:t>
            </w:r>
          </w:p>
        </w:tc>
      </w:tr>
      <w:tr>
        <w:tblPrEx>
          <w:tblW w:w="8977" w:type="dxa"/>
          <w:tblInd w:w="0" w:type="dxa"/>
          <w:tblLayout w:type="fixed"/>
          <w:tblCellMar>
            <w:top w:w="0" w:type="dxa"/>
            <w:left w:w="108" w:type="dxa"/>
            <w:bottom w:w="0" w:type="dxa"/>
            <w:right w:w="108" w:type="dxa"/>
          </w:tblCellMar>
        </w:tblPrEx>
        <w:tc>
          <w:tcPr>
            <w:tcW w:w="935" w:type="dxa"/>
            <w:vMerge w:val="restart"/>
            <w:noWrap/>
            <w:vAlign w:val="center"/>
          </w:tcPr>
          <w:p>
            <w:pPr>
              <w:rPr>
                <w:color w:val="auto"/>
                <w:highlight w:val="none"/>
              </w:rPr>
            </w:pPr>
            <w:r>
              <w:rPr>
                <w:rFonts w:hint="eastAsia"/>
                <w:color w:val="auto"/>
                <w:highlight w:val="none"/>
              </w:rPr>
              <w:t>16</w:t>
            </w:r>
          </w:p>
        </w:tc>
        <w:tc>
          <w:tcPr>
            <w:tcW w:w="1984" w:type="dxa"/>
            <w:vMerge w:val="restart"/>
            <w:noWrap/>
            <w:vAlign w:val="center"/>
          </w:tcPr>
          <w:p>
            <w:pPr>
              <w:rPr>
                <w:color w:val="auto"/>
                <w:highlight w:val="none"/>
              </w:rPr>
            </w:pPr>
            <w:r>
              <w:rPr>
                <w:rFonts w:hint="eastAsia"/>
                <w:color w:val="auto"/>
                <w:highlight w:val="none"/>
              </w:rPr>
              <w:t>投标文件组成</w:t>
            </w:r>
          </w:p>
        </w:tc>
        <w:tc>
          <w:tcPr>
            <w:tcW w:w="851" w:type="dxa"/>
            <w:vMerge w:val="restart"/>
            <w:noWrap/>
            <w:vAlign w:val="center"/>
          </w:tcPr>
          <w:p>
            <w:pPr>
              <w:jc w:val="left"/>
              <w:rPr>
                <w:color w:val="auto"/>
                <w:highlight w:val="none"/>
              </w:rPr>
            </w:pPr>
            <w:r>
              <w:rPr>
                <w:rFonts w:hint="eastAsia"/>
                <w:color w:val="auto"/>
                <w:highlight w:val="none"/>
              </w:rPr>
              <w:t>商务部分</w:t>
            </w:r>
          </w:p>
        </w:tc>
        <w:tc>
          <w:tcPr>
            <w:tcW w:w="5207" w:type="dxa"/>
            <w:noWrap/>
            <w:vAlign w:val="center"/>
          </w:tcPr>
          <w:p>
            <w:pPr>
              <w:jc w:val="left"/>
              <w:rPr>
                <w:color w:val="auto"/>
                <w:highlight w:val="none"/>
              </w:rPr>
            </w:pPr>
            <w:r>
              <w:rPr>
                <w:rFonts w:hint="eastAsia"/>
                <w:color w:val="auto"/>
                <w:highlight w:val="none"/>
              </w:rPr>
              <w:t>一、资格证明文件：</w:t>
            </w:r>
          </w:p>
          <w:p>
            <w:pPr>
              <w:jc w:val="left"/>
              <w:rPr>
                <w:color w:val="auto"/>
                <w:highlight w:val="none"/>
              </w:rPr>
            </w:pPr>
            <w:r>
              <w:rPr>
                <w:rFonts w:hint="eastAsia"/>
                <w:color w:val="auto"/>
                <w:highlight w:val="none"/>
              </w:rPr>
              <w:t>1.★投标人基本情况（附法人或者其他组织的营业执照等证明文件复印件；投标人如为自然人，提供自然人的身份证明复印件）（线上采购项目提供扫描件，下同）；</w:t>
            </w:r>
          </w:p>
          <w:p>
            <w:pPr>
              <w:jc w:val="left"/>
              <w:rPr>
                <w:color w:val="auto"/>
                <w:highlight w:val="none"/>
              </w:rPr>
            </w:pPr>
            <w:r>
              <w:rPr>
                <w:rFonts w:hint="eastAsia"/>
                <w:color w:val="auto"/>
                <w:highlight w:val="none"/>
              </w:rPr>
              <w:t>2.★财务状况报告：上一年度的经会计师事务所审计的财务报告（须</w:t>
            </w:r>
            <w:r>
              <w:rPr>
                <w:rFonts w:hint="eastAsia"/>
                <w:color w:val="auto"/>
                <w:highlight w:val="none"/>
                <w:lang w:val="en-US" w:eastAsia="zh-CN"/>
              </w:rPr>
              <w:t>上传</w:t>
            </w:r>
            <w:r>
              <w:rPr>
                <w:rFonts w:hint="eastAsia"/>
                <w:color w:val="auto"/>
                <w:highlight w:val="none"/>
              </w:rPr>
              <w:t>盖会计师事务所公章及注册会计师签章的</w:t>
            </w:r>
            <w:r>
              <w:rPr>
                <w:rFonts w:asciiTheme="minorEastAsia" w:eastAsiaTheme="minorEastAsia" w:hAnsiTheme="minorEastAsia" w:cstheme="minorEastAsia" w:hint="eastAsia"/>
                <w:color w:val="auto"/>
                <w:sz w:val="21"/>
                <w:szCs w:val="21"/>
                <w:highlight w:val="none"/>
              </w:rPr>
              <w:t>扫描</w:t>
            </w:r>
            <w:r>
              <w:rPr>
                <w:rFonts w:hint="eastAsia"/>
                <w:color w:val="auto"/>
                <w:highlight w:val="none"/>
              </w:rPr>
              <w:t>件）；没有经审计的财务报告的，可以提供基本开户银行出具的资信证明复印件；如供应商为投标当年新成立公司的，应提供于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PlainText"/>
              <w:jc w:val="left"/>
              <w:rPr>
                <w:color w:val="auto"/>
                <w:highlight w:val="none"/>
              </w:rPr>
            </w:pPr>
            <w:r>
              <w:rPr>
                <w:rFonts w:hint="eastAsia"/>
                <w:color w:val="auto"/>
                <w:highlight w:val="none"/>
              </w:rPr>
              <w:t>3.★依法缴纳税收：投标截止之日前半年内投标人连续三个月的依法缴纳税收（不包括个人所得税）的相关材料，如依法免税或不需要纳税的，应提供相应证明材料复印件；投标人无纳税记录或为新成立公司，应提供由投标人所在地主管税务部门出具的《依法纳税或依法免税证明》（复印件）。</w:t>
            </w:r>
          </w:p>
          <w:p>
            <w:pPr>
              <w:jc w:val="left"/>
              <w:rPr>
                <w:color w:val="auto"/>
                <w:highlight w:val="none"/>
              </w:rPr>
            </w:pPr>
            <w:r>
              <w:rPr>
                <w:rFonts w:hint="eastAsia"/>
                <w:color w:val="auto"/>
                <w:highlight w:val="none"/>
              </w:rPr>
              <w:t>4.★社会保障资金：投标截止之日前半年内投标人连续三个月的依法缴纳社会保障资金的相关材料，如依法不需要缴纳社会保障资金的，则应提供相应证明材料复印件；投标人无缴费记录或为新成立公司，应提供由投标人所在地社保部门出具的《依法缴纳或依法免缴社保费证明》（复印件）。</w:t>
            </w:r>
          </w:p>
          <w:p>
            <w:pPr>
              <w:jc w:val="left"/>
              <w:rPr>
                <w:color w:val="auto"/>
                <w:highlight w:val="none"/>
              </w:rPr>
            </w:pPr>
            <w:r>
              <w:rPr>
                <w:rFonts w:hint="eastAsia"/>
                <w:color w:val="auto"/>
                <w:highlight w:val="none"/>
              </w:rPr>
              <w:t>5.具备履行合同所必需的设备和专业技术能力的证明材料。</w:t>
            </w:r>
          </w:p>
          <w:p>
            <w:pPr>
              <w:jc w:val="left"/>
              <w:rPr>
                <w:color w:val="auto"/>
                <w:highlight w:val="none"/>
              </w:rPr>
            </w:pPr>
            <w:r>
              <w:rPr>
                <w:rFonts w:hint="eastAsia"/>
                <w:color w:val="auto"/>
                <w:highlight w:val="none"/>
              </w:rPr>
              <w:t>6.★参加政府采购活动前3年内在经营活动中没有重大违法记录的书面声明。</w:t>
            </w:r>
          </w:p>
          <w:p>
            <w:pPr>
              <w:jc w:val="left"/>
              <w:rPr>
                <w:color w:val="auto"/>
                <w:highlight w:val="none"/>
              </w:rPr>
            </w:pPr>
            <w:r>
              <w:rPr>
                <w:rFonts w:hint="eastAsia"/>
                <w:color w:val="auto"/>
                <w:highlight w:val="none"/>
              </w:rPr>
              <w:t>7.具备法律、行政法规规定的其他条件的证明材料。</w:t>
            </w:r>
          </w:p>
          <w:p>
            <w:pPr>
              <w:jc w:val="left"/>
              <w:rPr>
                <w:rFonts w:hint="eastAsia"/>
                <w:color w:val="auto"/>
                <w:highlight w:val="none"/>
                <w:lang w:eastAsia="zh-CN"/>
              </w:rPr>
            </w:pPr>
            <w:r>
              <w:rPr>
                <w:rFonts w:hint="eastAsia"/>
                <w:color w:val="auto"/>
                <w:highlight w:val="none"/>
              </w:rPr>
              <w:t>8.</w:t>
            </w:r>
            <w:r>
              <w:rPr>
                <w:rFonts w:asciiTheme="minorEastAsia" w:eastAsiaTheme="minorEastAsia" w:hAnsiTheme="minorEastAsia" w:cstheme="minorEastAsia" w:hint="eastAsia"/>
                <w:color w:val="auto"/>
                <w:sz w:val="21"/>
                <w:szCs w:val="21"/>
                <w:highlight w:val="none"/>
              </w:rPr>
              <w:t>★中小企业声明函（中小企业投标的，应按照《政府采购促进中小企业发展管理办法》（财库﹝2020﹞46 号印发）《关于印发中小企业划型标准规定的通知》 （工信部联企业〔2011〕300号）如实填写并提交此函）；监狱企业证明文件[监狱企业投标的，应提交省级以上监狱管理局、戒毒管理局（含新疆生产建设兵团）出具的证明文件]；残疾人福利性单位声明函（残疾人福利性单位投标的，应提交此函）</w:t>
            </w:r>
            <w:r>
              <w:rPr>
                <w:rFonts w:hint="eastAsia"/>
                <w:color w:val="auto"/>
                <w:highlight w:val="none"/>
                <w:lang w:eastAsia="zh-CN"/>
              </w:rPr>
              <w:t>。</w:t>
            </w:r>
          </w:p>
          <w:p>
            <w:pPr>
              <w:jc w:val="left"/>
              <w:rPr>
                <w:rFonts w:hint="eastAsia"/>
                <w:color w:val="auto"/>
                <w:highlight w:val="none"/>
              </w:rPr>
            </w:pPr>
            <w:r>
              <w:rPr>
                <w:rFonts w:hint="eastAsia"/>
                <w:color w:val="auto"/>
                <w:highlight w:val="none"/>
                <w:lang w:val="en-US" w:eastAsia="zh-CN"/>
              </w:rPr>
              <w:t>9.</w:t>
            </w:r>
            <w:r>
              <w:rPr>
                <w:rFonts w:hint="eastAsia"/>
                <w:color w:val="auto"/>
                <w:highlight w:val="none"/>
              </w:rPr>
              <w:t>投标人认为需提供的其他资格证明资料。</w:t>
            </w:r>
          </w:p>
          <w:p>
            <w:pPr>
              <w:pStyle w:val="5"/>
              <w:rPr>
                <w:color w:val="auto"/>
                <w:highlight w:val="none"/>
              </w:rPr>
            </w:pPr>
          </w:p>
        </w:tc>
      </w:tr>
      <w:tr>
        <w:tblPrEx>
          <w:tblW w:w="8977" w:type="dxa"/>
          <w:tblInd w:w="0" w:type="dxa"/>
          <w:tblLayout w:type="fixed"/>
          <w:tblCellMar>
            <w:top w:w="0" w:type="dxa"/>
            <w:left w:w="108" w:type="dxa"/>
            <w:bottom w:w="0" w:type="dxa"/>
            <w:right w:w="108" w:type="dxa"/>
          </w:tblCellMar>
        </w:tblPrEx>
        <w:tc>
          <w:tcPr>
            <w:tcW w:w="935" w:type="dxa"/>
            <w:vMerge/>
            <w:noWrap/>
            <w:vAlign w:val="center"/>
          </w:tcPr>
          <w:p>
            <w:pPr>
              <w:rPr>
                <w:color w:val="auto"/>
                <w:highlight w:val="none"/>
              </w:rPr>
            </w:pPr>
          </w:p>
        </w:tc>
        <w:tc>
          <w:tcPr>
            <w:tcW w:w="1984" w:type="dxa"/>
            <w:vMerge/>
            <w:noWrap/>
            <w:vAlign w:val="center"/>
          </w:tcPr>
          <w:p>
            <w:pPr>
              <w:rPr>
                <w:color w:val="auto"/>
                <w:highlight w:val="none"/>
              </w:rPr>
            </w:pPr>
          </w:p>
        </w:tc>
        <w:tc>
          <w:tcPr>
            <w:tcW w:w="851" w:type="dxa"/>
            <w:vMerge/>
            <w:noWrap/>
            <w:vAlign w:val="center"/>
          </w:tcPr>
          <w:p>
            <w:pPr>
              <w:jc w:val="left"/>
              <w:rPr>
                <w:color w:val="auto"/>
                <w:highlight w:val="none"/>
              </w:rPr>
            </w:pPr>
          </w:p>
        </w:tc>
        <w:tc>
          <w:tcPr>
            <w:tcW w:w="5207" w:type="dxa"/>
            <w:noWrap/>
            <w:vAlign w:val="center"/>
          </w:tcPr>
          <w:p>
            <w:pPr>
              <w:jc w:val="left"/>
              <w:rPr>
                <w:color w:val="auto"/>
                <w:highlight w:val="none"/>
              </w:rPr>
            </w:pPr>
            <w:r>
              <w:rPr>
                <w:rFonts w:hint="eastAsia"/>
                <w:color w:val="auto"/>
                <w:highlight w:val="none"/>
              </w:rPr>
              <w:t>二、开标一览表：</w:t>
            </w:r>
          </w:p>
          <w:p>
            <w:pPr>
              <w:jc w:val="left"/>
              <w:rPr>
                <w:color w:val="auto"/>
                <w:highlight w:val="none"/>
              </w:rPr>
            </w:pPr>
            <w:r>
              <w:rPr>
                <w:rFonts w:hint="eastAsia"/>
                <w:color w:val="auto"/>
                <w:highlight w:val="none"/>
              </w:rPr>
              <w:t>1.★投标报价表（线上采购项目，投标人应按照投标工具的流程和提示编制并上传）；</w:t>
            </w:r>
          </w:p>
          <w:p>
            <w:pPr>
              <w:jc w:val="left"/>
              <w:rPr>
                <w:color w:val="auto"/>
                <w:highlight w:val="none"/>
              </w:rPr>
            </w:pPr>
            <w:r>
              <w:rPr>
                <w:rFonts w:hint="eastAsia"/>
                <w:color w:val="auto"/>
                <w:highlight w:val="none"/>
              </w:rPr>
              <w:t>2.★分项价格表。</w:t>
            </w:r>
          </w:p>
        </w:tc>
      </w:tr>
      <w:tr>
        <w:tblPrEx>
          <w:tblW w:w="8977" w:type="dxa"/>
          <w:tblInd w:w="0" w:type="dxa"/>
          <w:tblLayout w:type="fixed"/>
          <w:tblCellMar>
            <w:top w:w="0" w:type="dxa"/>
            <w:left w:w="108" w:type="dxa"/>
            <w:bottom w:w="0" w:type="dxa"/>
            <w:right w:w="108" w:type="dxa"/>
          </w:tblCellMar>
        </w:tblPrEx>
        <w:tc>
          <w:tcPr>
            <w:tcW w:w="935" w:type="dxa"/>
            <w:vMerge/>
            <w:noWrap/>
            <w:vAlign w:val="center"/>
          </w:tcPr>
          <w:p>
            <w:pPr>
              <w:rPr>
                <w:color w:val="auto"/>
                <w:highlight w:val="none"/>
              </w:rPr>
            </w:pPr>
          </w:p>
        </w:tc>
        <w:tc>
          <w:tcPr>
            <w:tcW w:w="1984" w:type="dxa"/>
            <w:vMerge/>
            <w:noWrap/>
            <w:vAlign w:val="center"/>
          </w:tcPr>
          <w:p>
            <w:pPr>
              <w:rPr>
                <w:color w:val="auto"/>
                <w:highlight w:val="none"/>
              </w:rPr>
            </w:pPr>
          </w:p>
        </w:tc>
        <w:tc>
          <w:tcPr>
            <w:tcW w:w="851" w:type="dxa"/>
            <w:vMerge/>
            <w:noWrap/>
            <w:vAlign w:val="center"/>
          </w:tcPr>
          <w:p>
            <w:pPr>
              <w:jc w:val="left"/>
              <w:rPr>
                <w:color w:val="auto"/>
                <w:highlight w:val="none"/>
              </w:rPr>
            </w:pPr>
          </w:p>
        </w:tc>
        <w:tc>
          <w:tcPr>
            <w:tcW w:w="5207" w:type="dxa"/>
            <w:noWrap/>
            <w:vAlign w:val="center"/>
          </w:tcPr>
          <w:p>
            <w:pPr>
              <w:jc w:val="left"/>
              <w:rPr>
                <w:color w:val="auto"/>
                <w:highlight w:val="none"/>
              </w:rPr>
            </w:pPr>
            <w:r>
              <w:rPr>
                <w:rFonts w:hint="eastAsia"/>
                <w:color w:val="auto"/>
                <w:highlight w:val="none"/>
              </w:rPr>
              <w:t>三、其他文件及资料：</w:t>
            </w:r>
          </w:p>
          <w:p>
            <w:pPr>
              <w:jc w:val="left"/>
              <w:rPr>
                <w:color w:val="auto"/>
                <w:highlight w:val="none"/>
              </w:rPr>
            </w:pPr>
            <w:r>
              <w:rPr>
                <w:rFonts w:hint="eastAsia"/>
                <w:color w:val="auto"/>
                <w:highlight w:val="none"/>
              </w:rPr>
              <w:t>1.★授权委托书（参考投标文件格式1）；</w:t>
            </w:r>
          </w:p>
          <w:p>
            <w:pPr>
              <w:jc w:val="left"/>
              <w:rPr>
                <w:color w:val="auto"/>
                <w:highlight w:val="none"/>
              </w:rPr>
            </w:pPr>
            <w:r>
              <w:rPr>
                <w:rFonts w:hint="eastAsia"/>
                <w:color w:val="auto"/>
                <w:highlight w:val="none"/>
              </w:rPr>
              <w:t>2.★投标函（参考投标文件格式2）；</w:t>
            </w:r>
          </w:p>
          <w:p>
            <w:pPr>
              <w:jc w:val="left"/>
              <w:rPr>
                <w:color w:val="auto"/>
                <w:highlight w:val="none"/>
              </w:rPr>
            </w:pPr>
            <w:r>
              <w:rPr>
                <w:rFonts w:hint="eastAsia"/>
                <w:color w:val="auto"/>
                <w:highlight w:val="none"/>
              </w:rPr>
              <w:t>3.★商务条款偏离表；</w:t>
            </w:r>
          </w:p>
          <w:p>
            <w:pPr>
              <w:jc w:val="left"/>
              <w:rPr>
                <w:color w:val="auto"/>
                <w:highlight w:val="none"/>
              </w:rPr>
            </w:pPr>
            <w:r>
              <w:rPr>
                <w:rFonts w:hint="eastAsia"/>
                <w:color w:val="auto"/>
                <w:highlight w:val="none"/>
              </w:rPr>
              <w:t>4.投标人认为需要提供的其它说明和资料。</w:t>
            </w:r>
          </w:p>
        </w:tc>
      </w:tr>
      <w:tr>
        <w:tblPrEx>
          <w:tblW w:w="8977" w:type="dxa"/>
          <w:tblInd w:w="0" w:type="dxa"/>
          <w:tblLayout w:type="fixed"/>
          <w:tblCellMar>
            <w:top w:w="0" w:type="dxa"/>
            <w:left w:w="108" w:type="dxa"/>
            <w:bottom w:w="0" w:type="dxa"/>
            <w:right w:w="108" w:type="dxa"/>
          </w:tblCellMar>
        </w:tblPrEx>
        <w:tc>
          <w:tcPr>
            <w:tcW w:w="935" w:type="dxa"/>
            <w:vMerge/>
            <w:noWrap/>
            <w:vAlign w:val="center"/>
          </w:tcPr>
          <w:p>
            <w:pPr>
              <w:rPr>
                <w:color w:val="auto"/>
                <w:highlight w:val="none"/>
              </w:rPr>
            </w:pPr>
          </w:p>
        </w:tc>
        <w:tc>
          <w:tcPr>
            <w:tcW w:w="1984" w:type="dxa"/>
            <w:vMerge/>
            <w:noWrap/>
            <w:vAlign w:val="center"/>
          </w:tcPr>
          <w:p>
            <w:pPr>
              <w:rPr>
                <w:color w:val="auto"/>
                <w:highlight w:val="none"/>
              </w:rPr>
            </w:pPr>
          </w:p>
        </w:tc>
        <w:tc>
          <w:tcPr>
            <w:tcW w:w="851" w:type="dxa"/>
            <w:noWrap/>
            <w:vAlign w:val="center"/>
          </w:tcPr>
          <w:p>
            <w:pPr>
              <w:jc w:val="left"/>
              <w:rPr>
                <w:color w:val="auto"/>
                <w:highlight w:val="none"/>
              </w:rPr>
            </w:pPr>
            <w:r>
              <w:rPr>
                <w:rFonts w:hint="eastAsia"/>
                <w:color w:val="auto"/>
                <w:highlight w:val="none"/>
              </w:rPr>
              <w:t>技术部分</w:t>
            </w:r>
          </w:p>
        </w:tc>
        <w:tc>
          <w:tcPr>
            <w:tcW w:w="5207" w:type="dxa"/>
            <w:noWrap/>
            <w:vAlign w:val="center"/>
          </w:tcPr>
          <w:p>
            <w:pPr>
              <w:jc w:val="left"/>
              <w:rPr>
                <w:color w:val="auto"/>
                <w:highlight w:val="none"/>
              </w:rPr>
            </w:pPr>
            <w:r>
              <w:rPr>
                <w:rFonts w:hint="eastAsia"/>
                <w:color w:val="auto"/>
                <w:highlight w:val="none"/>
              </w:rPr>
              <w:t>1.★技术条款偏离表；</w:t>
            </w:r>
          </w:p>
          <w:p>
            <w:pPr>
              <w:jc w:val="left"/>
              <w:rPr>
                <w:color w:val="auto"/>
                <w:highlight w:val="none"/>
              </w:rPr>
            </w:pPr>
            <w:r>
              <w:rPr>
                <w:rFonts w:hint="eastAsia"/>
                <w:color w:val="auto"/>
                <w:highlight w:val="none"/>
              </w:rPr>
              <w:t>2.服务方案；</w:t>
            </w:r>
          </w:p>
          <w:p>
            <w:pPr>
              <w:jc w:val="left"/>
              <w:rPr>
                <w:color w:val="auto"/>
                <w:highlight w:val="none"/>
              </w:rPr>
            </w:pPr>
            <w:r>
              <w:rPr>
                <w:rFonts w:hint="eastAsia"/>
                <w:color w:val="auto"/>
                <w:highlight w:val="none"/>
              </w:rPr>
              <w:t>3.★拟投入项目技术力量一览表；</w:t>
            </w:r>
          </w:p>
          <w:p>
            <w:pPr>
              <w:pStyle w:val="BodyText"/>
              <w:jc w:val="left"/>
              <w:rPr>
                <w:color w:val="auto"/>
                <w:highlight w:val="none"/>
              </w:rPr>
            </w:pPr>
            <w:r>
              <w:rPr>
                <w:rFonts w:hint="eastAsia"/>
                <w:b w:val="0"/>
                <w:bCs w:val="0"/>
                <w:color w:val="auto"/>
                <w:highlight w:val="none"/>
              </w:rPr>
              <w:t>4.</w:t>
            </w:r>
            <w:r>
              <w:rPr>
                <w:rFonts w:hint="eastAsia"/>
                <w:color w:val="auto"/>
                <w:highlight w:val="none"/>
              </w:rPr>
              <w:t>投标人认为需要提供的其它说明和资料。</w:t>
            </w:r>
          </w:p>
        </w:tc>
      </w:tr>
      <w:tr>
        <w:tblPrEx>
          <w:tblW w:w="8977" w:type="dxa"/>
          <w:tblInd w:w="0" w:type="dxa"/>
          <w:tblLayout w:type="fixed"/>
          <w:tblCellMar>
            <w:top w:w="0" w:type="dxa"/>
            <w:left w:w="108" w:type="dxa"/>
            <w:bottom w:w="0" w:type="dxa"/>
            <w:right w:w="108" w:type="dxa"/>
          </w:tblCellMar>
        </w:tblPrEx>
        <w:tc>
          <w:tcPr>
            <w:tcW w:w="935" w:type="dxa"/>
            <w:vMerge/>
            <w:noWrap/>
            <w:vAlign w:val="center"/>
          </w:tcPr>
          <w:p>
            <w:pPr>
              <w:rPr>
                <w:color w:val="auto"/>
                <w:highlight w:val="none"/>
              </w:rPr>
            </w:pPr>
          </w:p>
        </w:tc>
        <w:tc>
          <w:tcPr>
            <w:tcW w:w="1984" w:type="dxa"/>
            <w:vMerge/>
            <w:noWrap/>
            <w:vAlign w:val="center"/>
          </w:tcPr>
          <w:p>
            <w:pPr>
              <w:rPr>
                <w:color w:val="auto"/>
                <w:highlight w:val="none"/>
              </w:rPr>
            </w:pPr>
          </w:p>
        </w:tc>
        <w:tc>
          <w:tcPr>
            <w:tcW w:w="6058" w:type="dxa"/>
            <w:gridSpan w:val="2"/>
            <w:noWrap/>
            <w:vAlign w:val="center"/>
          </w:tcPr>
          <w:p>
            <w:pPr>
              <w:pStyle w:val="CommentText"/>
              <w:rPr>
                <w:color w:val="auto"/>
                <w:highlight w:val="none"/>
              </w:rPr>
            </w:pPr>
            <w:r>
              <w:rPr>
                <w:rFonts w:hint="eastAsia"/>
                <w:color w:val="auto"/>
                <w:highlight w:val="none"/>
              </w:rPr>
              <w:t>1.以上带★的文件及资料未提供或提供的无效，则投标无效。</w:t>
            </w:r>
          </w:p>
          <w:p>
            <w:pPr>
              <w:pStyle w:val="CommentText"/>
              <w:jc w:val="left"/>
              <w:rPr>
                <w:rFonts w:eastAsiaTheme="minorEastAsia" w:hint="default"/>
                <w:color w:val="auto"/>
                <w:highlight w:val="none"/>
                <w:lang w:val="en-US" w:eastAsia="zh-CN"/>
              </w:rPr>
            </w:pPr>
            <w:r>
              <w:rPr>
                <w:rFonts w:hint="eastAsia"/>
                <w:color w:val="auto"/>
                <w:highlight w:val="none"/>
              </w:rPr>
              <w:t>2</w:t>
            </w:r>
            <w:r>
              <w:rPr>
                <w:rFonts w:hint="eastAsia"/>
                <w:color w:val="auto"/>
                <w:highlight w:val="none"/>
                <w:lang w:val="en-US" w:eastAsia="zh-CN"/>
              </w:rPr>
              <w:t>.</w:t>
            </w:r>
            <w:r>
              <w:rPr>
                <w:rFonts w:hint="eastAsia"/>
                <w:color w:val="auto"/>
                <w:highlight w:val="none"/>
              </w:rPr>
              <w:t>以上带★的文件，必须加盖投标人公章，否则按无效投标处理。</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17</w:t>
            </w:r>
          </w:p>
        </w:tc>
        <w:tc>
          <w:tcPr>
            <w:tcW w:w="1984" w:type="dxa"/>
            <w:noWrap/>
            <w:vAlign w:val="center"/>
          </w:tcPr>
          <w:p>
            <w:pPr>
              <w:rPr>
                <w:color w:val="auto"/>
                <w:highlight w:val="none"/>
              </w:rPr>
            </w:pPr>
            <w:r>
              <w:rPr>
                <w:rFonts w:hint="eastAsia"/>
                <w:color w:val="auto"/>
                <w:highlight w:val="none"/>
              </w:rPr>
              <w:t>投标有效期</w:t>
            </w:r>
          </w:p>
        </w:tc>
        <w:tc>
          <w:tcPr>
            <w:tcW w:w="6058" w:type="dxa"/>
            <w:gridSpan w:val="2"/>
            <w:noWrap/>
            <w:vAlign w:val="center"/>
          </w:tcPr>
          <w:p>
            <w:pPr>
              <w:jc w:val="left"/>
              <w:rPr>
                <w:color w:val="auto"/>
                <w:highlight w:val="none"/>
              </w:rPr>
            </w:pPr>
            <w:r>
              <w:rPr>
                <w:rFonts w:hint="eastAsia"/>
                <w:color w:val="auto"/>
                <w:highlight w:val="none"/>
              </w:rPr>
              <w:t>从提交投标文件的截止之日起计算</w:t>
            </w:r>
            <w:r>
              <w:rPr>
                <w:rFonts w:hint="eastAsia"/>
                <w:color w:val="auto"/>
                <w:highlight w:val="none"/>
                <w:u w:val="single"/>
              </w:rPr>
              <w:t>90</w:t>
            </w:r>
            <w:r>
              <w:rPr>
                <w:rFonts w:hint="eastAsia"/>
                <w:color w:val="auto"/>
                <w:highlight w:val="none"/>
              </w:rPr>
              <w:t>日历日。</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18</w:t>
            </w:r>
          </w:p>
        </w:tc>
        <w:tc>
          <w:tcPr>
            <w:tcW w:w="1984" w:type="dxa"/>
            <w:noWrap/>
            <w:vAlign w:val="center"/>
          </w:tcPr>
          <w:p>
            <w:pPr>
              <w:rPr>
                <w:color w:val="auto"/>
                <w:highlight w:val="none"/>
              </w:rPr>
            </w:pPr>
            <w:r>
              <w:rPr>
                <w:rFonts w:hint="eastAsia"/>
                <w:color w:val="auto"/>
                <w:highlight w:val="none"/>
              </w:rPr>
              <w:t>提交投标文件方式、截止时间、开标时间、地点</w:t>
            </w:r>
          </w:p>
        </w:tc>
        <w:tc>
          <w:tcPr>
            <w:tcW w:w="6058" w:type="dxa"/>
            <w:gridSpan w:val="2"/>
            <w:noWrap/>
            <w:vAlign w:val="center"/>
          </w:tcPr>
          <w:p>
            <w:pPr>
              <w:jc w:val="left"/>
              <w:rPr>
                <w:rFonts w:eastAsiaTheme="minorEastAsia" w:hint="default"/>
                <w:b w:val="0"/>
                <w:bCs w:val="0"/>
                <w:color w:val="auto"/>
                <w:highlight w:val="none"/>
                <w:lang w:val="en-US" w:eastAsia="zh-CN"/>
              </w:rPr>
            </w:pPr>
            <w:r>
              <w:rPr>
                <w:rFonts w:hint="eastAsia"/>
                <w:b w:val="0"/>
                <w:bCs w:val="0"/>
                <w:color w:val="auto"/>
                <w:highlight w:val="none"/>
                <w:lang w:val="en-US" w:eastAsia="zh-CN"/>
              </w:rPr>
              <w:t>截止</w:t>
            </w:r>
            <w:r>
              <w:rPr>
                <w:rFonts w:hint="eastAsia"/>
                <w:b w:val="0"/>
                <w:bCs w:val="0"/>
                <w:color w:val="auto"/>
                <w:highlight w:val="none"/>
              </w:rPr>
              <w:t>时间</w:t>
            </w:r>
            <w:r>
              <w:rPr>
                <w:rFonts w:hint="eastAsia"/>
                <w:b w:val="0"/>
                <w:bCs w:val="0"/>
                <w:color w:val="auto"/>
                <w:highlight w:val="none"/>
                <w:lang w:eastAsia="zh-CN"/>
              </w:rPr>
              <w:t>、</w:t>
            </w:r>
            <w:r>
              <w:rPr>
                <w:rFonts w:hint="eastAsia"/>
                <w:b w:val="0"/>
                <w:bCs w:val="0"/>
                <w:color w:val="auto"/>
                <w:highlight w:val="none"/>
                <w:lang w:val="en-US" w:eastAsia="zh-CN"/>
              </w:rPr>
              <w:t>开标时间</w:t>
            </w:r>
            <w:r>
              <w:rPr>
                <w:rFonts w:hint="eastAsia"/>
                <w:b w:val="0"/>
                <w:bCs w:val="0"/>
                <w:color w:val="auto"/>
                <w:highlight w:val="none"/>
              </w:rPr>
              <w:t>：2024年</w:t>
            </w:r>
            <w:r>
              <w:rPr>
                <w:rFonts w:hint="eastAsia"/>
                <w:b w:val="0"/>
                <w:bCs w:val="0"/>
                <w:color w:val="auto"/>
                <w:highlight w:val="none"/>
                <w:lang w:val="en-US" w:eastAsia="zh-CN"/>
              </w:rPr>
              <w:t>9</w:t>
            </w:r>
            <w:r>
              <w:rPr>
                <w:rFonts w:hint="eastAsia"/>
                <w:b w:val="0"/>
                <w:bCs w:val="0"/>
                <w:color w:val="auto"/>
                <w:highlight w:val="none"/>
              </w:rPr>
              <w:t>月</w:t>
            </w:r>
            <w:r>
              <w:rPr>
                <w:rFonts w:hint="eastAsia"/>
                <w:b w:val="0"/>
                <w:bCs w:val="0"/>
                <w:color w:val="auto"/>
                <w:highlight w:val="none"/>
                <w:lang w:val="en-US" w:eastAsia="zh-CN"/>
              </w:rPr>
              <w:t>20</w:t>
            </w:r>
            <w:r>
              <w:rPr>
                <w:rFonts w:hint="eastAsia"/>
                <w:b w:val="0"/>
                <w:bCs w:val="0"/>
                <w:color w:val="auto"/>
                <w:highlight w:val="none"/>
              </w:rPr>
              <w:t>日</w:t>
            </w:r>
            <w:r>
              <w:rPr>
                <w:rFonts w:hint="eastAsia"/>
                <w:b w:val="0"/>
                <w:bCs w:val="0"/>
                <w:color w:val="auto"/>
                <w:highlight w:val="none"/>
                <w:lang w:val="en-US" w:eastAsia="zh-CN"/>
              </w:rPr>
              <w:t>9时30分00秒（北京时间）</w:t>
            </w:r>
          </w:p>
          <w:p>
            <w:pPr>
              <w:jc w:val="left"/>
              <w:rPr>
                <w:rFonts w:hint="eastAsia"/>
                <w:b w:val="0"/>
                <w:bCs w:val="0"/>
                <w:color w:val="auto"/>
                <w:highlight w:val="none"/>
              </w:rPr>
            </w:pPr>
            <w:r>
              <w:rPr>
                <w:rFonts w:hint="eastAsia"/>
                <w:b w:val="0"/>
                <w:bCs w:val="0"/>
                <w:color w:val="auto"/>
                <w:highlight w:val="none"/>
                <w:lang w:val="en-US" w:eastAsia="zh-CN"/>
              </w:rPr>
              <w:t>开标</w:t>
            </w:r>
            <w:r>
              <w:rPr>
                <w:rFonts w:hint="eastAsia"/>
                <w:b w:val="0"/>
                <w:bCs w:val="0"/>
                <w:color w:val="auto"/>
                <w:highlight w:val="none"/>
              </w:rPr>
              <w:t>地点：国家税务总局集中采购中心网站（https://swcg.chinatax.gov.cn）</w:t>
            </w:r>
          </w:p>
          <w:p>
            <w:pPr>
              <w:jc w:val="left"/>
              <w:rPr>
                <w:rFonts w:hint="eastAsia"/>
                <w:b w:val="0"/>
                <w:bCs w:val="0"/>
                <w:color w:val="auto"/>
                <w:highlight w:val="none"/>
              </w:rPr>
            </w:pPr>
            <w:r>
              <w:rPr>
                <w:rFonts w:hint="eastAsia"/>
                <w:b w:val="0"/>
                <w:bCs w:val="0"/>
                <w:color w:val="auto"/>
                <w:highlight w:val="none"/>
              </w:rPr>
              <w:t>提交方式：供应商在国家税务总局集中采购中心网站（https://swcg.chinatax.gov.cn），点击“供应商登录”，完成注册，登录国家税务总局政府采购评审管理系统，报名并免费下载招标文件电子版。没有报名的供应商，不能参加本项目采购活动。</w:t>
            </w:r>
          </w:p>
          <w:p>
            <w:pPr>
              <w:jc w:val="left"/>
              <w:rPr>
                <w:b/>
                <w:color w:val="auto"/>
                <w:highlight w:val="none"/>
              </w:rPr>
            </w:pPr>
            <w:r>
              <w:rPr>
                <w:rFonts w:hint="eastAsia"/>
                <w:b w:val="0"/>
                <w:bCs w:val="0"/>
                <w:color w:val="auto"/>
                <w:highlight w:val="none"/>
              </w:rPr>
              <w:t>售价：招标文件工本费每本 0 元人民币。</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19</w:t>
            </w:r>
          </w:p>
        </w:tc>
        <w:tc>
          <w:tcPr>
            <w:tcW w:w="1984" w:type="dxa"/>
            <w:noWrap/>
            <w:vAlign w:val="center"/>
          </w:tcPr>
          <w:p>
            <w:pPr>
              <w:rPr>
                <w:b/>
                <w:color w:val="auto"/>
                <w:highlight w:val="none"/>
              </w:rPr>
            </w:pPr>
            <w:r>
              <w:rPr>
                <w:rFonts w:hint="eastAsia"/>
                <w:color w:val="auto"/>
                <w:highlight w:val="none"/>
              </w:rPr>
              <w:t>投标保证金</w:t>
            </w:r>
          </w:p>
        </w:tc>
        <w:tc>
          <w:tcPr>
            <w:tcW w:w="6058" w:type="dxa"/>
            <w:gridSpan w:val="2"/>
            <w:noWrap/>
            <w:vAlign w:val="center"/>
          </w:tcPr>
          <w:p>
            <w:pPr>
              <w:jc w:val="left"/>
              <w:rPr>
                <w:snapToGrid w:val="0"/>
                <w:color w:val="auto"/>
                <w:highlight w:val="none"/>
                <w:lang w:val="zh-CN"/>
              </w:rPr>
            </w:pPr>
            <w:r>
              <w:rPr>
                <w:rFonts w:ascii="Wingdings 2" w:hAnsi="Wingdings 2"/>
                <w:color w:val="auto"/>
                <w:highlight w:val="none"/>
              </w:rPr>
              <w:sym w:font="Wingdings 2" w:char="F052"/>
            </w:r>
            <w:r>
              <w:rPr>
                <w:rFonts w:hint="eastAsia"/>
                <w:color w:val="auto"/>
                <w:highlight w:val="none"/>
              </w:rPr>
              <w:t>不要求提供</w:t>
            </w:r>
          </w:p>
          <w:p>
            <w:pPr>
              <w:jc w:val="left"/>
              <w:rPr>
                <w:color w:val="auto"/>
                <w:highlight w:val="none"/>
              </w:rPr>
            </w:pPr>
            <w:r>
              <w:rPr>
                <w:rFonts w:ascii="Wingdings 2" w:hAnsi="Wingdings 2"/>
                <w:color w:val="auto"/>
                <w:highlight w:val="none"/>
              </w:rPr>
              <w:sym w:font="Wingdings 2" w:char="F0A3"/>
            </w:r>
            <w:r>
              <w:rPr>
                <w:rFonts w:hint="eastAsia"/>
                <w:color w:val="auto"/>
                <w:highlight w:val="none"/>
              </w:rPr>
              <w:t>要求提供：</w:t>
            </w:r>
          </w:p>
          <w:p>
            <w:pPr>
              <w:jc w:val="left"/>
              <w:rPr>
                <w:color w:val="auto"/>
                <w:highlight w:val="none"/>
              </w:rPr>
            </w:pPr>
            <w:r>
              <w:rPr>
                <w:rFonts w:hint="eastAsia"/>
                <w:color w:val="auto"/>
                <w:highlight w:val="none"/>
              </w:rPr>
              <w:t>（1）金额：</w:t>
            </w:r>
          </w:p>
          <w:p>
            <w:pPr>
              <w:jc w:val="left"/>
              <w:rPr>
                <w:color w:val="auto"/>
                <w:highlight w:val="none"/>
              </w:rPr>
            </w:pPr>
            <w:r>
              <w:rPr>
                <w:rFonts w:hint="eastAsia"/>
                <w:color w:val="auto"/>
                <w:highlight w:val="none"/>
              </w:rPr>
              <w:t>采购包1：</w:t>
            </w:r>
            <w:r>
              <w:rPr>
                <w:rFonts w:hint="eastAsia"/>
                <w:color w:val="auto"/>
                <w:highlight w:val="none"/>
                <w:lang w:val="en-US" w:eastAsia="zh-CN"/>
              </w:rPr>
              <w:t>/</w:t>
            </w:r>
            <w:r>
              <w:rPr>
                <w:rFonts w:hint="eastAsia"/>
                <w:color w:val="auto"/>
                <w:highlight w:val="none"/>
              </w:rPr>
              <w:t>。</w:t>
            </w:r>
          </w:p>
          <w:p>
            <w:pPr>
              <w:jc w:val="left"/>
              <w:rPr>
                <w:color w:val="auto"/>
                <w:highlight w:val="none"/>
              </w:rPr>
            </w:pPr>
            <w:r>
              <w:rPr>
                <w:rFonts w:hint="eastAsia"/>
                <w:color w:val="auto"/>
                <w:highlight w:val="none"/>
              </w:rPr>
              <w:t>（2）提交方式：银行转账、支票、汇票、本票或者金融、担保机构出具的保函，禁止采用现钞方式。采用银行转账方式的，在投标截止时间前交至采购人或采购代理机构指定账户并且到账；采用支票、汇票、本票或者保函等方式的，在投标截止时间前，投标人必须递交单独密封的支票、汇票、本票或者保函原件。否则视为无效投标保证金。</w:t>
            </w:r>
          </w:p>
          <w:p>
            <w:pPr>
              <w:jc w:val="left"/>
              <w:rPr>
                <w:color w:val="auto"/>
                <w:highlight w:val="none"/>
              </w:rPr>
            </w:pPr>
            <w:r>
              <w:rPr>
                <w:rFonts w:hint="eastAsia"/>
                <w:color w:val="auto"/>
                <w:highlight w:val="none"/>
              </w:rPr>
              <w:t>收款人户名：</w:t>
            </w:r>
          </w:p>
          <w:p>
            <w:pPr>
              <w:jc w:val="left"/>
              <w:rPr>
                <w:color w:val="auto"/>
                <w:highlight w:val="none"/>
              </w:rPr>
            </w:pPr>
            <w:r>
              <w:rPr>
                <w:rFonts w:hint="eastAsia"/>
                <w:color w:val="auto"/>
                <w:highlight w:val="none"/>
              </w:rPr>
              <w:t>开户银行：</w:t>
            </w:r>
          </w:p>
          <w:p>
            <w:pPr>
              <w:jc w:val="left"/>
              <w:rPr>
                <w:color w:val="auto"/>
                <w:highlight w:val="none"/>
              </w:rPr>
            </w:pPr>
            <w:r>
              <w:rPr>
                <w:rFonts w:hint="eastAsia"/>
                <w:color w:val="auto"/>
                <w:highlight w:val="none"/>
              </w:rPr>
              <w:t>银行账号：</w:t>
            </w:r>
          </w:p>
          <w:p>
            <w:pPr>
              <w:jc w:val="left"/>
              <w:rPr>
                <w:b/>
                <w:color w:val="auto"/>
                <w:highlight w:val="none"/>
              </w:rPr>
            </w:pPr>
            <w:r>
              <w:rPr>
                <w:rFonts w:hint="eastAsia"/>
                <w:color w:val="auto"/>
                <w:highlight w:val="none"/>
              </w:rPr>
              <w:t>注：以电汇方式递交投标保证金须在电汇凭据附言栏中写明采购编号、包号（如有）及用途（投标保证金）。</w:t>
            </w:r>
          </w:p>
        </w:tc>
      </w:tr>
      <w:tr>
        <w:tblPrEx>
          <w:tblW w:w="8977" w:type="dxa"/>
          <w:tblInd w:w="0" w:type="dxa"/>
          <w:tblLayout w:type="fixed"/>
          <w:tblCellMar>
            <w:top w:w="0" w:type="dxa"/>
            <w:left w:w="108" w:type="dxa"/>
            <w:bottom w:w="0" w:type="dxa"/>
            <w:right w:w="108" w:type="dxa"/>
          </w:tblCellMar>
        </w:tblPrEx>
        <w:tc>
          <w:tcPr>
            <w:tcW w:w="935" w:type="dxa"/>
            <w:vMerge w:val="restart"/>
            <w:noWrap/>
            <w:vAlign w:val="center"/>
          </w:tcPr>
          <w:p>
            <w:pPr>
              <w:rPr>
                <w:color w:val="auto"/>
                <w:highlight w:val="none"/>
              </w:rPr>
            </w:pPr>
            <w:r>
              <w:rPr>
                <w:rFonts w:hint="eastAsia"/>
                <w:color w:val="auto"/>
                <w:highlight w:val="none"/>
              </w:rPr>
              <w:t>20</w:t>
            </w:r>
          </w:p>
        </w:tc>
        <w:tc>
          <w:tcPr>
            <w:tcW w:w="1984" w:type="dxa"/>
            <w:vMerge w:val="restart"/>
            <w:noWrap/>
            <w:vAlign w:val="center"/>
          </w:tcPr>
          <w:p>
            <w:pPr>
              <w:rPr>
                <w:color w:val="auto"/>
                <w:highlight w:val="none"/>
              </w:rPr>
            </w:pPr>
            <w:r>
              <w:rPr>
                <w:rFonts w:hint="eastAsia"/>
                <w:color w:val="auto"/>
                <w:highlight w:val="none"/>
              </w:rPr>
              <w:t>不予退还投标保证金的情形</w:t>
            </w:r>
          </w:p>
        </w:tc>
        <w:tc>
          <w:tcPr>
            <w:tcW w:w="6058" w:type="dxa"/>
            <w:gridSpan w:val="2"/>
            <w:noWrap/>
            <w:vAlign w:val="center"/>
          </w:tcPr>
          <w:p>
            <w:pPr>
              <w:jc w:val="left"/>
              <w:rPr>
                <w:color w:val="auto"/>
                <w:highlight w:val="none"/>
              </w:rPr>
            </w:pPr>
            <w:r>
              <w:rPr>
                <w:rFonts w:hint="eastAsia"/>
                <w:color w:val="auto"/>
                <w:highlight w:val="none"/>
              </w:rPr>
              <w:t>有下列情形之一的，投标保证金将不予退还：</w:t>
            </w:r>
          </w:p>
          <w:p>
            <w:pPr>
              <w:jc w:val="left"/>
              <w:rPr>
                <w:color w:val="auto"/>
                <w:highlight w:val="none"/>
              </w:rPr>
            </w:pPr>
            <w:r>
              <w:rPr>
                <w:rFonts w:hint="eastAsia"/>
                <w:color w:val="auto"/>
                <w:highlight w:val="none"/>
              </w:rPr>
              <w:t>（1）投标人串通投标或有视为串通投标情形之一的；</w:t>
            </w:r>
          </w:p>
          <w:p>
            <w:pPr>
              <w:jc w:val="left"/>
              <w:rPr>
                <w:color w:val="auto"/>
                <w:highlight w:val="none"/>
              </w:rPr>
            </w:pPr>
            <w:r>
              <w:rPr>
                <w:rFonts w:hint="eastAsia"/>
                <w:color w:val="auto"/>
                <w:highlight w:val="none"/>
              </w:rPr>
              <w:t>（2）投标人提供虚假材料；</w:t>
            </w:r>
          </w:p>
          <w:p>
            <w:pPr>
              <w:jc w:val="left"/>
              <w:rPr>
                <w:color w:val="auto"/>
                <w:highlight w:val="none"/>
              </w:rPr>
            </w:pPr>
            <w:r>
              <w:rPr>
                <w:rFonts w:hint="eastAsia"/>
                <w:color w:val="auto"/>
                <w:highlight w:val="none"/>
              </w:rPr>
              <w:t>（3）投标人采取不正当手段诋毁、排挤其他投标人；</w:t>
            </w:r>
          </w:p>
          <w:p>
            <w:pPr>
              <w:jc w:val="left"/>
              <w:rPr>
                <w:color w:val="auto"/>
                <w:highlight w:val="none"/>
              </w:rPr>
            </w:pPr>
            <w:r>
              <w:rPr>
                <w:rFonts w:hint="eastAsia"/>
                <w:color w:val="auto"/>
                <w:highlight w:val="none"/>
              </w:rPr>
              <w:t>（4）投标截止时间后，投标人在投标有效期内撤销投标文件；</w:t>
            </w:r>
          </w:p>
          <w:p>
            <w:pPr>
              <w:jc w:val="left"/>
              <w:rPr>
                <w:color w:val="auto"/>
                <w:highlight w:val="none"/>
              </w:rPr>
            </w:pPr>
            <w:r>
              <w:rPr>
                <w:rFonts w:hint="eastAsia"/>
                <w:color w:val="auto"/>
                <w:highlight w:val="none"/>
              </w:rPr>
              <w:t>（5）中标人有下列情形之一的：</w:t>
            </w:r>
          </w:p>
          <w:p>
            <w:pPr>
              <w:jc w:val="left"/>
              <w:rPr>
                <w:color w:val="auto"/>
                <w:highlight w:val="none"/>
              </w:rPr>
            </w:pPr>
            <w:r>
              <w:rPr>
                <w:rFonts w:hint="eastAsia"/>
                <w:color w:val="auto"/>
                <w:highlight w:val="none"/>
              </w:rPr>
              <w:t>a.除不可抗力外，因中标人自身原因未在中标通知书要求的期限内与采购人签订政府采购合同；</w:t>
            </w:r>
          </w:p>
          <w:p>
            <w:pPr>
              <w:jc w:val="left"/>
              <w:rPr>
                <w:color w:val="auto"/>
                <w:highlight w:val="none"/>
              </w:rPr>
            </w:pPr>
            <w:r>
              <w:rPr>
                <w:rFonts w:hint="eastAsia"/>
                <w:color w:val="auto"/>
                <w:highlight w:val="none"/>
              </w:rPr>
              <w:t>b.未按照招标文件、投标文件的约定签订政府采购合同或提交履约保证金。</w:t>
            </w:r>
          </w:p>
          <w:p>
            <w:pPr>
              <w:jc w:val="left"/>
              <w:rPr>
                <w:color w:val="auto"/>
                <w:highlight w:val="none"/>
              </w:rPr>
            </w:pPr>
            <w:r>
              <w:rPr>
                <w:rFonts w:hint="eastAsia"/>
                <w:color w:val="auto"/>
                <w:highlight w:val="none"/>
              </w:rPr>
              <w:t>注：若上述投标保证金不予退还情形给采购人（采购代理机构）造成损失，则投标人还要承担相应的赔偿责任。</w:t>
            </w:r>
          </w:p>
        </w:tc>
      </w:tr>
      <w:tr>
        <w:tblPrEx>
          <w:tblW w:w="8977" w:type="dxa"/>
          <w:tblInd w:w="0" w:type="dxa"/>
          <w:tblLayout w:type="fixed"/>
          <w:tblCellMar>
            <w:top w:w="0" w:type="dxa"/>
            <w:left w:w="108" w:type="dxa"/>
            <w:bottom w:w="0" w:type="dxa"/>
            <w:right w:w="108" w:type="dxa"/>
          </w:tblCellMar>
        </w:tblPrEx>
        <w:tc>
          <w:tcPr>
            <w:tcW w:w="935" w:type="dxa"/>
            <w:vMerge/>
            <w:noWrap/>
            <w:vAlign w:val="center"/>
          </w:tcPr>
          <w:p>
            <w:pPr>
              <w:rPr>
                <w:color w:val="auto"/>
                <w:highlight w:val="none"/>
              </w:rPr>
            </w:pPr>
          </w:p>
        </w:tc>
        <w:tc>
          <w:tcPr>
            <w:tcW w:w="1984" w:type="dxa"/>
            <w:vMerge/>
            <w:noWrap/>
            <w:vAlign w:val="center"/>
          </w:tcPr>
          <w:p>
            <w:pPr>
              <w:rPr>
                <w:color w:val="auto"/>
                <w:highlight w:val="none"/>
              </w:rPr>
            </w:pPr>
          </w:p>
        </w:tc>
        <w:tc>
          <w:tcPr>
            <w:tcW w:w="6058" w:type="dxa"/>
            <w:gridSpan w:val="2"/>
            <w:noWrap/>
            <w:vAlign w:val="center"/>
          </w:tcPr>
          <w:p>
            <w:pPr>
              <w:jc w:val="left"/>
              <w:rPr>
                <w:color w:val="auto"/>
                <w:highlight w:val="none"/>
              </w:rPr>
            </w:pPr>
            <w:r>
              <w:rPr>
                <w:rFonts w:hint="eastAsia"/>
                <w:color w:val="auto"/>
                <w:highlight w:val="none"/>
              </w:rPr>
              <w:t>其他不予退还投标保证金的情形：无。</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21</w:t>
            </w:r>
          </w:p>
        </w:tc>
        <w:tc>
          <w:tcPr>
            <w:tcW w:w="1984" w:type="dxa"/>
            <w:noWrap/>
            <w:vAlign w:val="center"/>
          </w:tcPr>
          <w:p>
            <w:pPr>
              <w:rPr>
                <w:b/>
                <w:color w:val="auto"/>
                <w:highlight w:val="none"/>
              </w:rPr>
            </w:pPr>
            <w:r>
              <w:rPr>
                <w:rFonts w:hint="eastAsia"/>
                <w:color w:val="auto"/>
                <w:highlight w:val="none"/>
              </w:rPr>
              <w:t>信用记录审查</w:t>
            </w:r>
          </w:p>
        </w:tc>
        <w:tc>
          <w:tcPr>
            <w:tcW w:w="6058" w:type="dxa"/>
            <w:gridSpan w:val="2"/>
            <w:noWrap/>
            <w:vAlign w:val="center"/>
          </w:tcPr>
          <w:p>
            <w:pPr>
              <w:jc w:val="left"/>
              <w:rPr>
                <w:snapToGrid w:val="0"/>
                <w:color w:val="auto"/>
                <w:highlight w:val="none"/>
              </w:rPr>
            </w:pPr>
            <w:r>
              <w:rPr>
                <w:rFonts w:hint="eastAsia"/>
                <w:color w:val="auto"/>
                <w:highlight w:val="none"/>
              </w:rPr>
              <w:t>根据《财政部关于在政府采购活动中查询及使用信用记录有关问题的通知》（财库〔2016〕125号）规定，开标结束后，采购人、采购代理机构将通过“信用中国”网站（www.creditchina.gov.cn）、中国政府采购网（</w:t>
            </w:r>
            <w:hyperlink r:id="rId9" w:history="1">
              <w:r>
                <w:rPr>
                  <w:rFonts w:hint="eastAsia"/>
                  <w:color w:val="auto"/>
                  <w:highlight w:val="none"/>
                </w:rPr>
                <w:t>www.ccgp.gov.cn</w:t>
              </w:r>
            </w:hyperlink>
            <w:r>
              <w:rPr>
                <w:rFonts w:hint="eastAsia"/>
                <w:color w:val="auto"/>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jc w:val="left"/>
              <w:rPr>
                <w:color w:val="auto"/>
                <w:highlight w:val="none"/>
              </w:rPr>
            </w:pPr>
            <w:r>
              <w:rPr>
                <w:rFonts w:hint="eastAsia"/>
                <w:color w:val="auto"/>
                <w:highlight w:val="none"/>
              </w:rPr>
              <w:t>本次查询的信用记录仅限于本项目使用，查询结果将留存在采购档案中。</w:t>
            </w:r>
          </w:p>
          <w:p>
            <w:pPr>
              <w:jc w:val="left"/>
              <w:rPr>
                <w:color w:val="auto"/>
                <w:highlight w:val="none"/>
              </w:rPr>
            </w:pPr>
            <w:r>
              <w:rPr>
                <w:rFonts w:hint="eastAsia"/>
                <w:color w:val="auto"/>
                <w:highlight w:val="none"/>
              </w:rPr>
              <w:t>在上述指定网站不能查询信用信息的投标人，应提供相关证明材料（原件加盖公章）。</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22</w:t>
            </w:r>
          </w:p>
        </w:tc>
        <w:tc>
          <w:tcPr>
            <w:tcW w:w="1984" w:type="dxa"/>
            <w:noWrap/>
            <w:vAlign w:val="center"/>
          </w:tcPr>
          <w:p>
            <w:pPr>
              <w:rPr>
                <w:color w:val="auto"/>
                <w:highlight w:val="none"/>
              </w:rPr>
            </w:pPr>
            <w:r>
              <w:rPr>
                <w:rFonts w:hint="eastAsia"/>
                <w:color w:val="auto"/>
                <w:highlight w:val="none"/>
              </w:rPr>
              <w:t>支持中小型</w:t>
            </w:r>
          </w:p>
          <w:p>
            <w:pPr>
              <w:rPr>
                <w:b/>
                <w:color w:val="auto"/>
                <w:highlight w:val="none"/>
              </w:rPr>
            </w:pPr>
            <w:r>
              <w:rPr>
                <w:rFonts w:hint="eastAsia"/>
                <w:color w:val="auto"/>
                <w:highlight w:val="none"/>
              </w:rPr>
              <w:t>企业发展</w:t>
            </w:r>
          </w:p>
        </w:tc>
        <w:tc>
          <w:tcPr>
            <w:tcW w:w="6058" w:type="dxa"/>
            <w:gridSpan w:val="2"/>
            <w:noWrap/>
            <w:vAlign w:val="center"/>
          </w:tcPr>
          <w:p>
            <w:pPr>
              <w:jc w:val="left"/>
              <w:rPr>
                <w:color w:val="auto"/>
                <w:highlight w:val="none"/>
              </w:rPr>
            </w:pPr>
            <w:r>
              <w:rPr>
                <w:rFonts w:hint="eastAsia"/>
                <w:color w:val="auto"/>
                <w:highlight w:val="none"/>
              </w:rPr>
              <w:t>根据《政府采购促进中小型企业发展管理办法》（财库〔2020〕46号），鼓励中小企业参加本项目采购活动。</w:t>
            </w:r>
          </w:p>
          <w:p>
            <w:pPr>
              <w:jc w:val="left"/>
              <w:rPr>
                <w:color w:val="auto"/>
                <w:highlight w:val="none"/>
              </w:rPr>
            </w:pPr>
            <w:r>
              <w:rPr>
                <w:rFonts w:hint="eastAsia"/>
                <w:color w:val="auto"/>
                <w:highlight w:val="none"/>
              </w:rPr>
              <w:t>在货物采购项目中，满足所有标的均由中小企业制造，即所有标的均由中小企业生产且使用该中小企业商号或者注册商标的，可享受中小企业扶持政策。</w:t>
            </w:r>
          </w:p>
          <w:p>
            <w:pPr>
              <w:jc w:val="left"/>
              <w:rPr>
                <w:color w:val="auto"/>
                <w:highlight w:val="none"/>
              </w:rPr>
            </w:pPr>
            <w:r>
              <w:rPr>
                <w:rFonts w:hint="eastAsia"/>
                <w:color w:val="auto"/>
                <w:highlight w:val="none"/>
              </w:rPr>
              <w:t>在服务采购项目中，满足服务由中小企业承接，即提供服务的人员为中小企业依照《中华人民共和国劳动合同法》订立劳动合同的从业人员的，可享受中小企业扶持政策。</w:t>
            </w:r>
          </w:p>
          <w:p>
            <w:pPr>
              <w:jc w:val="left"/>
              <w:rPr>
                <w:color w:val="auto"/>
                <w:highlight w:val="none"/>
              </w:rPr>
            </w:pPr>
            <w:r>
              <w:rPr>
                <w:rFonts w:hint="eastAsia"/>
                <w:color w:val="auto"/>
                <w:highlight w:val="none"/>
              </w:rPr>
              <w:t>本项目：</w:t>
            </w:r>
          </w:p>
          <w:p>
            <w:pPr>
              <w:jc w:val="left"/>
              <w:rPr>
                <w:color w:val="auto"/>
                <w:highlight w:val="none"/>
              </w:rPr>
            </w:pPr>
            <w:r>
              <w:rPr>
                <w:rFonts w:hint="eastAsia"/>
                <w:color w:val="auto"/>
                <w:highlight w:val="none"/>
                <w:lang w:eastAsia="zh-CN"/>
              </w:rPr>
              <w:t>☑</w:t>
            </w:r>
            <w:r>
              <w:rPr>
                <w:rFonts w:hint="eastAsia"/>
                <w:color w:val="auto"/>
                <w:highlight w:val="none"/>
              </w:rPr>
              <w:t>专门面向中小企业采购项目。</w:t>
            </w:r>
          </w:p>
          <w:p>
            <w:pPr>
              <w:jc w:val="left"/>
              <w:rPr>
                <w:color w:val="auto"/>
                <w:highlight w:val="none"/>
              </w:rPr>
            </w:pPr>
            <w:r>
              <w:rPr>
                <w:rFonts w:hint="eastAsia"/>
                <w:color w:val="auto"/>
                <w:highlight w:val="none"/>
              </w:rPr>
              <w:t>□预留份额面向中小企业采购项目（说明：）。</w:t>
            </w:r>
          </w:p>
          <w:p>
            <w:pPr>
              <w:jc w:val="left"/>
              <w:rPr>
                <w:color w:val="auto"/>
                <w:highlight w:val="none"/>
              </w:rPr>
            </w:pPr>
            <w:r>
              <w:rPr>
                <w:rFonts w:ascii="Wingdings 2" w:hAnsi="Wingdings 2"/>
                <w:color w:val="auto"/>
                <w:highlight w:val="none"/>
              </w:rPr>
              <w:sym w:font="Wingdings 2" w:char="F0A3"/>
            </w:r>
            <w:r>
              <w:rPr>
                <w:rFonts w:hint="eastAsia"/>
                <w:color w:val="auto"/>
                <w:highlight w:val="none"/>
              </w:rPr>
              <w:t>非专门面向中小企业采购项目。对小型和微型企业的投标价格给予15%的扣除，用扣除后的价格参与评审。</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23</w:t>
            </w:r>
          </w:p>
        </w:tc>
        <w:tc>
          <w:tcPr>
            <w:tcW w:w="1984" w:type="dxa"/>
            <w:noWrap/>
            <w:vAlign w:val="center"/>
          </w:tcPr>
          <w:p>
            <w:pPr>
              <w:rPr>
                <w:b/>
                <w:color w:val="auto"/>
                <w:highlight w:val="none"/>
              </w:rPr>
            </w:pPr>
            <w:r>
              <w:rPr>
                <w:rFonts w:hint="eastAsia"/>
                <w:color w:val="auto"/>
                <w:highlight w:val="none"/>
              </w:rPr>
              <w:t>支持监狱企业发展</w:t>
            </w:r>
          </w:p>
        </w:tc>
        <w:tc>
          <w:tcPr>
            <w:tcW w:w="6058" w:type="dxa"/>
            <w:gridSpan w:val="2"/>
            <w:noWrap/>
            <w:vAlign w:val="center"/>
          </w:tcPr>
          <w:p>
            <w:pPr>
              <w:jc w:val="left"/>
              <w:rPr>
                <w:b/>
                <w:color w:val="auto"/>
                <w:highlight w:val="none"/>
              </w:rPr>
            </w:pPr>
            <w:r>
              <w:rPr>
                <w:rFonts w:hint="eastAsia"/>
                <w:color w:val="auto"/>
                <w:highlight w:val="none"/>
              </w:rPr>
              <w:t>根据《关于政府采购支持监狱企业发展有关问题的通知》（财库〔2014〕68号），监狱企业视同小型、微型企业，按照</w:t>
            </w:r>
            <w:r>
              <w:rPr>
                <w:rFonts w:hint="eastAsia"/>
                <w:b/>
                <w:color w:val="auto"/>
                <w:highlight w:val="none"/>
              </w:rPr>
              <w:t>投标人须知前附表第22项</w:t>
            </w:r>
            <w:r>
              <w:rPr>
                <w:rFonts w:hint="eastAsia"/>
                <w:color w:val="auto"/>
                <w:highlight w:val="none"/>
              </w:rPr>
              <w:t>享受价格扣除政策。</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24</w:t>
            </w:r>
          </w:p>
        </w:tc>
        <w:tc>
          <w:tcPr>
            <w:tcW w:w="1984" w:type="dxa"/>
            <w:noWrap/>
            <w:vAlign w:val="center"/>
          </w:tcPr>
          <w:p>
            <w:pPr>
              <w:rPr>
                <w:color w:val="auto"/>
                <w:highlight w:val="none"/>
              </w:rPr>
            </w:pPr>
            <w:r>
              <w:rPr>
                <w:rFonts w:hint="eastAsia"/>
                <w:color w:val="auto"/>
                <w:highlight w:val="none"/>
              </w:rPr>
              <w:t>促进残疾人</w:t>
            </w:r>
          </w:p>
          <w:p>
            <w:pPr>
              <w:rPr>
                <w:color w:val="auto"/>
                <w:highlight w:val="none"/>
              </w:rPr>
            </w:pPr>
            <w:r>
              <w:rPr>
                <w:rFonts w:hint="eastAsia"/>
                <w:color w:val="auto"/>
                <w:highlight w:val="none"/>
              </w:rPr>
              <w:t>就业</w:t>
            </w:r>
          </w:p>
        </w:tc>
        <w:tc>
          <w:tcPr>
            <w:tcW w:w="6058" w:type="dxa"/>
            <w:gridSpan w:val="2"/>
            <w:noWrap/>
            <w:vAlign w:val="center"/>
          </w:tcPr>
          <w:p>
            <w:pPr>
              <w:jc w:val="left"/>
              <w:rPr>
                <w:color w:val="auto"/>
                <w:highlight w:val="none"/>
              </w:rPr>
            </w:pPr>
            <w:r>
              <w:rPr>
                <w:rFonts w:hint="eastAsia"/>
                <w:color w:val="auto"/>
                <w:highlight w:val="none"/>
              </w:rPr>
              <w:t>根据《关于促进残疾人就业政府采购政策的通知》（财库〔2017〕141号），残疾人福利性单位视同小型、微型企业，按照</w:t>
            </w:r>
            <w:r>
              <w:rPr>
                <w:rFonts w:hint="eastAsia"/>
                <w:b/>
                <w:color w:val="auto"/>
                <w:highlight w:val="none"/>
              </w:rPr>
              <w:t>投标人须知前附表第22项</w:t>
            </w:r>
            <w:r>
              <w:rPr>
                <w:rFonts w:hint="eastAsia"/>
                <w:color w:val="auto"/>
                <w:highlight w:val="none"/>
              </w:rPr>
              <w:t>享受价格扣除政策。</w:t>
            </w:r>
          </w:p>
        </w:tc>
      </w:tr>
      <w:tr>
        <w:tblPrEx>
          <w:tblW w:w="8977" w:type="dxa"/>
          <w:tblInd w:w="0" w:type="dxa"/>
          <w:tblLayout w:type="fixed"/>
          <w:tblCellMar>
            <w:top w:w="0" w:type="dxa"/>
            <w:left w:w="108" w:type="dxa"/>
            <w:bottom w:w="0" w:type="dxa"/>
            <w:right w:w="108" w:type="dxa"/>
          </w:tblCellMar>
        </w:tblPrEx>
        <w:tc>
          <w:tcPr>
            <w:tcW w:w="935" w:type="dxa"/>
            <w:vMerge w:val="restart"/>
            <w:noWrap/>
            <w:vAlign w:val="center"/>
          </w:tcPr>
          <w:p>
            <w:pPr>
              <w:rPr>
                <w:color w:val="auto"/>
                <w:highlight w:val="none"/>
              </w:rPr>
            </w:pPr>
            <w:r>
              <w:rPr>
                <w:rFonts w:hint="eastAsia"/>
                <w:color w:val="auto"/>
                <w:highlight w:val="none"/>
              </w:rPr>
              <w:t>25</w:t>
            </w:r>
          </w:p>
        </w:tc>
        <w:tc>
          <w:tcPr>
            <w:tcW w:w="1984" w:type="dxa"/>
            <w:vMerge w:val="restart"/>
            <w:noWrap/>
            <w:vAlign w:val="center"/>
          </w:tcPr>
          <w:p>
            <w:pPr>
              <w:rPr>
                <w:b/>
                <w:color w:val="auto"/>
                <w:highlight w:val="none"/>
              </w:rPr>
            </w:pPr>
            <w:r>
              <w:rPr>
                <w:rFonts w:hint="eastAsia"/>
                <w:color w:val="auto"/>
                <w:highlight w:val="none"/>
              </w:rPr>
              <w:t>其他法律法规强制性规定或扶持政策</w:t>
            </w:r>
          </w:p>
        </w:tc>
        <w:tc>
          <w:tcPr>
            <w:tcW w:w="6058" w:type="dxa"/>
            <w:gridSpan w:val="2"/>
            <w:noWrap/>
            <w:vAlign w:val="center"/>
          </w:tcPr>
          <w:p>
            <w:pPr>
              <w:jc w:val="left"/>
              <w:rPr>
                <w:color w:val="auto"/>
                <w:highlight w:val="none"/>
              </w:rPr>
            </w:pPr>
            <w:r>
              <w:rPr>
                <w:rFonts w:hint="eastAsia"/>
                <w:color w:val="auto"/>
                <w:highlight w:val="none"/>
              </w:rPr>
              <w:t>本项目中强制采购节能产品的货物名称：</w:t>
            </w:r>
          </w:p>
          <w:p>
            <w:pPr>
              <w:jc w:val="left"/>
              <w:rPr>
                <w:color w:val="auto"/>
                <w:highlight w:val="none"/>
              </w:rPr>
            </w:pPr>
            <w:r>
              <w:rPr>
                <w:rFonts w:hint="eastAsia"/>
                <w:color w:val="auto"/>
                <w:highlight w:val="none"/>
              </w:rPr>
              <w:t>采购包1：</w:t>
            </w:r>
            <w:r>
              <w:rPr>
                <w:rFonts w:hint="eastAsia"/>
                <w:color w:val="auto"/>
                <w:highlight w:val="none"/>
                <w:u w:val="single"/>
              </w:rPr>
              <w:t>/</w:t>
            </w:r>
            <w:r>
              <w:rPr>
                <w:rFonts w:hint="eastAsia"/>
                <w:color w:val="auto"/>
                <w:highlight w:val="none"/>
              </w:rPr>
              <w:t>。</w:t>
            </w:r>
          </w:p>
          <w:p>
            <w:pPr>
              <w:jc w:val="left"/>
              <w:rPr>
                <w:b/>
                <w:color w:val="auto"/>
                <w:highlight w:val="none"/>
              </w:rPr>
            </w:pPr>
            <w:r>
              <w:rPr>
                <w:rFonts w:hint="eastAsia"/>
                <w:color w:val="auto"/>
                <w:highlight w:val="none"/>
              </w:rPr>
              <w:t>注：投标人所投上述产品必须具有节能产品认证证书，并提供依据国家确定的认证机构出具的、处于有效期之内的节能产品认证证书复印件，否则投标无效。</w:t>
            </w:r>
          </w:p>
        </w:tc>
      </w:tr>
      <w:tr>
        <w:tblPrEx>
          <w:tblW w:w="8977" w:type="dxa"/>
          <w:tblInd w:w="0" w:type="dxa"/>
          <w:tblLayout w:type="fixed"/>
          <w:tblCellMar>
            <w:top w:w="0" w:type="dxa"/>
            <w:left w:w="108" w:type="dxa"/>
            <w:bottom w:w="0" w:type="dxa"/>
            <w:right w:w="108" w:type="dxa"/>
          </w:tblCellMar>
        </w:tblPrEx>
        <w:tc>
          <w:tcPr>
            <w:tcW w:w="935" w:type="dxa"/>
            <w:vMerge/>
            <w:noWrap/>
            <w:vAlign w:val="center"/>
          </w:tcPr>
          <w:p>
            <w:pPr>
              <w:rPr>
                <w:color w:val="auto"/>
                <w:highlight w:val="none"/>
              </w:rPr>
            </w:pPr>
          </w:p>
        </w:tc>
        <w:tc>
          <w:tcPr>
            <w:tcW w:w="1984" w:type="dxa"/>
            <w:vMerge/>
            <w:noWrap/>
            <w:vAlign w:val="center"/>
          </w:tcPr>
          <w:p>
            <w:pPr>
              <w:rPr>
                <w:color w:val="auto"/>
                <w:highlight w:val="none"/>
              </w:rPr>
            </w:pPr>
          </w:p>
        </w:tc>
        <w:tc>
          <w:tcPr>
            <w:tcW w:w="6058" w:type="dxa"/>
            <w:gridSpan w:val="2"/>
            <w:noWrap/>
            <w:vAlign w:val="center"/>
          </w:tcPr>
          <w:p>
            <w:pPr>
              <w:jc w:val="left"/>
              <w:rPr>
                <w:color w:val="auto"/>
                <w:highlight w:val="none"/>
              </w:rPr>
            </w:pPr>
            <w:r>
              <w:rPr>
                <w:rFonts w:hint="eastAsia"/>
                <w:color w:val="auto"/>
                <w:highlight w:val="none"/>
              </w:rPr>
              <w:t>本项目中采购信息安全认证或安全检测的货物名称：/</w:t>
            </w:r>
          </w:p>
          <w:p>
            <w:pPr>
              <w:jc w:val="left"/>
              <w:rPr>
                <w:color w:val="auto"/>
                <w:highlight w:val="none"/>
              </w:rPr>
            </w:pPr>
            <w:r>
              <w:rPr>
                <w:rFonts w:hint="eastAsia"/>
                <w:color w:val="auto"/>
                <w:highlight w:val="none"/>
              </w:rPr>
              <w:t>采购包1：/。</w:t>
            </w:r>
          </w:p>
          <w:p>
            <w:pPr>
              <w:jc w:val="left"/>
              <w:rPr>
                <w:color w:val="auto"/>
                <w:highlight w:val="none"/>
              </w:rPr>
            </w:pPr>
            <w:r>
              <w:rPr>
                <w:rFonts w:hint="eastAsia"/>
                <w:color w:val="auto"/>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W w:w="8977" w:type="dxa"/>
          <w:tblInd w:w="0" w:type="dxa"/>
          <w:tblLayout w:type="fixed"/>
          <w:tblCellMar>
            <w:top w:w="0" w:type="dxa"/>
            <w:left w:w="108" w:type="dxa"/>
            <w:bottom w:w="0" w:type="dxa"/>
            <w:right w:w="108" w:type="dxa"/>
          </w:tblCellMar>
        </w:tblPrEx>
        <w:tc>
          <w:tcPr>
            <w:tcW w:w="935" w:type="dxa"/>
            <w:vMerge/>
            <w:noWrap/>
            <w:vAlign w:val="center"/>
          </w:tcPr>
          <w:p>
            <w:pPr>
              <w:rPr>
                <w:color w:val="auto"/>
                <w:highlight w:val="none"/>
              </w:rPr>
            </w:pPr>
          </w:p>
        </w:tc>
        <w:tc>
          <w:tcPr>
            <w:tcW w:w="1984" w:type="dxa"/>
            <w:vMerge/>
            <w:noWrap/>
            <w:vAlign w:val="center"/>
          </w:tcPr>
          <w:p>
            <w:pPr>
              <w:rPr>
                <w:color w:val="auto"/>
                <w:highlight w:val="none"/>
              </w:rPr>
            </w:pPr>
          </w:p>
        </w:tc>
        <w:tc>
          <w:tcPr>
            <w:tcW w:w="6058" w:type="dxa"/>
            <w:gridSpan w:val="2"/>
            <w:noWrap/>
            <w:vAlign w:val="center"/>
          </w:tcPr>
          <w:p>
            <w:pPr>
              <w:jc w:val="left"/>
              <w:rPr>
                <w:color w:val="auto"/>
                <w:highlight w:val="none"/>
              </w:rPr>
            </w:pPr>
            <w:r>
              <w:rPr>
                <w:rFonts w:hint="eastAsia"/>
                <w:color w:val="auto"/>
                <w:highlight w:val="none"/>
              </w:rPr>
              <w:t>其他法律法规强制性规定或扶持政策：</w:t>
            </w:r>
          </w:p>
          <w:p>
            <w:pPr>
              <w:jc w:val="left"/>
              <w:rPr>
                <w:color w:val="auto"/>
                <w:highlight w:val="none"/>
              </w:rPr>
            </w:pPr>
            <w:r>
              <w:rPr>
                <w:rFonts w:hint="eastAsia"/>
                <w:color w:val="auto"/>
                <w:highlight w:val="none"/>
              </w:rPr>
              <w:t>采购包1：</w:t>
            </w:r>
            <w:r>
              <w:rPr>
                <w:rFonts w:hint="eastAsia"/>
                <w:color w:val="auto"/>
                <w:highlight w:val="none"/>
                <w:u w:val="single"/>
              </w:rPr>
              <w:t>/</w:t>
            </w:r>
            <w:r>
              <w:rPr>
                <w:rFonts w:hint="eastAsia"/>
                <w:color w:val="auto"/>
                <w:highlight w:val="none"/>
              </w:rPr>
              <w:t>。</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26</w:t>
            </w:r>
          </w:p>
        </w:tc>
        <w:tc>
          <w:tcPr>
            <w:tcW w:w="1984" w:type="dxa"/>
            <w:noWrap/>
            <w:vAlign w:val="center"/>
          </w:tcPr>
          <w:p>
            <w:pPr>
              <w:rPr>
                <w:color w:val="auto"/>
                <w:highlight w:val="none"/>
              </w:rPr>
            </w:pPr>
            <w:r>
              <w:rPr>
                <w:rFonts w:hint="eastAsia"/>
                <w:color w:val="auto"/>
                <w:highlight w:val="none"/>
              </w:rPr>
              <w:t>评标方法</w:t>
            </w:r>
          </w:p>
          <w:p>
            <w:pPr>
              <w:rPr>
                <w:b/>
                <w:color w:val="auto"/>
                <w:highlight w:val="none"/>
              </w:rPr>
            </w:pPr>
            <w:r>
              <w:rPr>
                <w:rFonts w:hint="eastAsia"/>
                <w:color w:val="auto"/>
                <w:highlight w:val="none"/>
              </w:rPr>
              <w:t>及分值</w:t>
            </w:r>
          </w:p>
        </w:tc>
        <w:tc>
          <w:tcPr>
            <w:tcW w:w="6058" w:type="dxa"/>
            <w:gridSpan w:val="2"/>
            <w:noWrap/>
            <w:vAlign w:val="center"/>
          </w:tcPr>
          <w:p>
            <w:pPr>
              <w:jc w:val="left"/>
              <w:rPr>
                <w:color w:val="auto"/>
                <w:highlight w:val="none"/>
              </w:rPr>
            </w:pPr>
            <w:r>
              <w:rPr>
                <w:rFonts w:ascii="Wingdings 2" w:hAnsi="Wingdings 2"/>
                <w:color w:val="auto"/>
                <w:highlight w:val="none"/>
              </w:rPr>
              <w:sym w:font="Wingdings 2" w:char="F0A3"/>
            </w:r>
            <w:r>
              <w:rPr>
                <w:rFonts w:hint="eastAsia"/>
                <w:color w:val="auto"/>
                <w:highlight w:val="none"/>
              </w:rPr>
              <w:t>本项目采用最低评标价法，详见招标文件商务部分第三章。</w:t>
            </w:r>
          </w:p>
          <w:p>
            <w:pPr>
              <w:jc w:val="left"/>
              <w:rPr>
                <w:color w:val="auto"/>
                <w:highlight w:val="none"/>
              </w:rPr>
            </w:pPr>
            <w:r>
              <w:rPr>
                <w:rFonts w:ascii="Wingdings 2" w:hAnsi="Wingdings 2"/>
                <w:color w:val="auto"/>
                <w:highlight w:val="none"/>
              </w:rPr>
              <w:sym w:font="Wingdings 2" w:char="F052"/>
            </w:r>
            <w:r>
              <w:rPr>
                <w:rFonts w:hint="eastAsia"/>
                <w:color w:val="auto"/>
                <w:highlight w:val="none"/>
              </w:rPr>
              <w:t>本项目采用综合评分法，其中价格分值为10分，其他因素分值为90分，详见招标文件（商务部分）第三章。（注：定标原则：</w:t>
            </w:r>
            <w:r>
              <w:rPr>
                <w:rFonts w:hint="eastAsia"/>
                <w:color w:val="auto"/>
                <w:highlight w:val="none"/>
                <w:u w:val="single"/>
              </w:rPr>
              <w:t>得分相同时，以投标报价由低到高顺序排列；得分相同且投标报价相同的，按技术指标优劣顺序排列）</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27</w:t>
            </w:r>
          </w:p>
        </w:tc>
        <w:tc>
          <w:tcPr>
            <w:tcW w:w="1984" w:type="dxa"/>
            <w:noWrap/>
            <w:vAlign w:val="center"/>
          </w:tcPr>
          <w:p>
            <w:pPr>
              <w:rPr>
                <w:b/>
                <w:color w:val="auto"/>
                <w:highlight w:val="none"/>
              </w:rPr>
            </w:pPr>
            <w:r>
              <w:rPr>
                <w:rFonts w:hint="eastAsia"/>
                <w:color w:val="auto"/>
                <w:highlight w:val="none"/>
              </w:rPr>
              <w:t>履约保证金</w:t>
            </w:r>
          </w:p>
        </w:tc>
        <w:tc>
          <w:tcPr>
            <w:tcW w:w="6058" w:type="dxa"/>
            <w:gridSpan w:val="2"/>
            <w:noWrap/>
            <w:vAlign w:val="center"/>
          </w:tcPr>
          <w:p>
            <w:pPr>
              <w:jc w:val="left"/>
              <w:rPr>
                <w:color w:val="auto"/>
                <w:highlight w:val="none"/>
              </w:rPr>
            </w:pPr>
            <w:r>
              <w:rPr>
                <w:rFonts w:ascii="Wingdings 2" w:hAnsi="Wingdings 2"/>
                <w:color w:val="auto"/>
                <w:highlight w:val="none"/>
              </w:rPr>
              <w:sym w:font="Wingdings 2" w:char="F052"/>
            </w:r>
            <w:r>
              <w:rPr>
                <w:rFonts w:hint="eastAsia"/>
                <w:color w:val="auto"/>
                <w:highlight w:val="none"/>
              </w:rPr>
              <w:t>不要求提供</w:t>
            </w:r>
          </w:p>
          <w:p>
            <w:pPr>
              <w:pStyle w:val="PlainText"/>
              <w:jc w:val="left"/>
              <w:rPr>
                <w:color w:val="auto"/>
                <w:highlight w:val="none"/>
              </w:rPr>
            </w:pPr>
            <w:r>
              <w:rPr>
                <w:rFonts w:ascii="Wingdings 2" w:hAnsi="Wingdings 2"/>
                <w:color w:val="auto"/>
                <w:highlight w:val="none"/>
              </w:rPr>
              <w:sym w:font="Wingdings 2" w:char="F0A3"/>
            </w:r>
            <w:r>
              <w:rPr>
                <w:rFonts w:hint="eastAsia"/>
                <w:color w:val="auto"/>
                <w:highlight w:val="none"/>
              </w:rPr>
              <w:t>要求提供，履约保证金的数额不得超过采购合同总金额的10%，本项目履约保证金为合同总金额的/%（取整到元），提交方式为支票、汇票、本票或者金融机构、担保机构出具的保函等非现金形式，中标人在签订合同前应提交履约保证金，否则，不予签订合同。采用转账、电汇方式的，由中标人在签订合同前按规定的金额从中标人银行账户直接缴入采购人账户。</w:t>
            </w:r>
          </w:p>
          <w:p>
            <w:pPr>
              <w:jc w:val="left"/>
              <w:rPr>
                <w:color w:val="auto"/>
                <w:highlight w:val="none"/>
              </w:rPr>
            </w:pPr>
            <w:r>
              <w:rPr>
                <w:rFonts w:hint="eastAsia"/>
                <w:color w:val="auto"/>
                <w:highlight w:val="none"/>
              </w:rPr>
              <w:t>项目验收合格的，采购人在收到中标人提出申请的30日内无息返还履约保证金；采购人如逾期退还履约保证金，每逾期一天，可按应退款项的</w:t>
            </w:r>
            <w:r>
              <w:rPr>
                <w:rFonts w:hint="eastAsia"/>
                <w:color w:val="auto"/>
                <w:highlight w:val="none"/>
                <w:shd w:val="clear" w:color="auto" w:fill="FFFFFF"/>
              </w:rPr>
              <w:t>银行同期存款利息</w:t>
            </w:r>
            <w:r>
              <w:rPr>
                <w:rFonts w:hint="eastAsia"/>
                <w:color w:val="auto"/>
                <w:highlight w:val="none"/>
              </w:rPr>
              <w:t>计算违约金；项目验收不合格的，履约保证金不予退还。</w:t>
            </w:r>
          </w:p>
          <w:p>
            <w:pPr>
              <w:jc w:val="left"/>
              <w:rPr>
                <w:color w:val="auto"/>
                <w:highlight w:val="none"/>
              </w:rPr>
            </w:pPr>
            <w:r>
              <w:rPr>
                <w:rFonts w:hint="eastAsia"/>
                <w:color w:val="auto"/>
                <w:highlight w:val="none"/>
              </w:rPr>
              <w:t>收款人户名：</w:t>
            </w:r>
          </w:p>
          <w:p>
            <w:pPr>
              <w:jc w:val="left"/>
              <w:rPr>
                <w:color w:val="auto"/>
                <w:highlight w:val="none"/>
              </w:rPr>
            </w:pPr>
            <w:r>
              <w:rPr>
                <w:rFonts w:hint="eastAsia"/>
                <w:color w:val="auto"/>
                <w:highlight w:val="none"/>
              </w:rPr>
              <w:t>开户银行：</w:t>
            </w:r>
          </w:p>
          <w:p>
            <w:pPr>
              <w:jc w:val="left"/>
              <w:rPr>
                <w:color w:val="auto"/>
                <w:highlight w:val="none"/>
              </w:rPr>
            </w:pPr>
            <w:r>
              <w:rPr>
                <w:rFonts w:hint="eastAsia"/>
                <w:color w:val="auto"/>
                <w:highlight w:val="none"/>
              </w:rPr>
              <w:t>银行账号：</w:t>
            </w:r>
          </w:p>
          <w:p>
            <w:pPr>
              <w:pStyle w:val="BodyText"/>
              <w:jc w:val="left"/>
              <w:rPr>
                <w:color w:val="auto"/>
                <w:highlight w:val="none"/>
              </w:rPr>
            </w:pPr>
            <w:r>
              <w:rPr>
                <w:rFonts w:hint="eastAsia"/>
                <w:color w:val="auto"/>
                <w:highlight w:val="none"/>
              </w:rPr>
              <w:t>注：以电汇方式递交履约保证金须在电汇凭据附言栏中写明采购编号、包号及用途(履约保证金)。</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28</w:t>
            </w:r>
          </w:p>
        </w:tc>
        <w:tc>
          <w:tcPr>
            <w:tcW w:w="1984" w:type="dxa"/>
            <w:noWrap/>
            <w:vAlign w:val="center"/>
          </w:tcPr>
          <w:p>
            <w:pPr>
              <w:rPr>
                <w:b/>
                <w:color w:val="auto"/>
                <w:highlight w:val="none"/>
              </w:rPr>
            </w:pPr>
            <w:r>
              <w:rPr>
                <w:rFonts w:hint="eastAsia"/>
                <w:color w:val="auto"/>
                <w:highlight w:val="none"/>
              </w:rPr>
              <w:t>接收质疑的方式、部门、电话和通讯地址</w:t>
            </w:r>
          </w:p>
        </w:tc>
        <w:tc>
          <w:tcPr>
            <w:tcW w:w="6058" w:type="dxa"/>
            <w:gridSpan w:val="2"/>
            <w:noWrap/>
            <w:vAlign w:val="center"/>
          </w:tcPr>
          <w:p>
            <w:pPr>
              <w:jc w:val="left"/>
              <w:rPr>
                <w:rFonts w:hint="eastAsia"/>
                <w:color w:val="auto"/>
                <w:highlight w:val="none"/>
              </w:rPr>
            </w:pPr>
            <w:r>
              <w:rPr>
                <w:rFonts w:hint="eastAsia"/>
                <w:color w:val="auto"/>
                <w:highlight w:val="none"/>
              </w:rPr>
              <w:t>质疑联系方式：</w:t>
            </w:r>
          </w:p>
          <w:p>
            <w:pPr>
              <w:jc w:val="left"/>
              <w:rPr>
                <w:rFonts w:hint="eastAsia"/>
                <w:color w:val="auto"/>
                <w:highlight w:val="none"/>
              </w:rPr>
            </w:pPr>
            <w:r>
              <w:rPr>
                <w:rFonts w:hint="eastAsia"/>
                <w:color w:val="auto"/>
                <w:highlight w:val="none"/>
              </w:rPr>
              <w:t>（1）接收质疑函的方式：纸质方式</w:t>
            </w:r>
          </w:p>
          <w:p>
            <w:pPr>
              <w:jc w:val="left"/>
              <w:rPr>
                <w:rFonts w:hint="eastAsia"/>
                <w:color w:val="auto"/>
                <w:highlight w:val="none"/>
              </w:rPr>
            </w:pPr>
            <w:r>
              <w:rPr>
                <w:rFonts w:hint="eastAsia"/>
                <w:color w:val="auto"/>
                <w:highlight w:val="none"/>
              </w:rPr>
              <w:t>（2）联系部门：国家税务总局广西壮族自治区税务局财务管理处（装备和采购处）</w:t>
            </w:r>
          </w:p>
          <w:p>
            <w:pPr>
              <w:jc w:val="left"/>
              <w:rPr>
                <w:rFonts w:hint="eastAsia"/>
                <w:color w:val="auto"/>
                <w:highlight w:val="none"/>
              </w:rPr>
            </w:pPr>
            <w:r>
              <w:rPr>
                <w:rFonts w:hint="eastAsia"/>
                <w:color w:val="auto"/>
                <w:highlight w:val="none"/>
              </w:rPr>
              <w:t>（3）联系电话：梁峰瑜</w:t>
            </w:r>
            <w:r>
              <w:rPr>
                <w:rFonts w:hint="eastAsia"/>
                <w:color w:val="auto"/>
                <w:highlight w:val="none"/>
                <w:lang w:val="en-US" w:eastAsia="zh-CN"/>
              </w:rPr>
              <w:t xml:space="preserve"> </w:t>
            </w:r>
            <w:r>
              <w:rPr>
                <w:rFonts w:hint="eastAsia"/>
                <w:color w:val="auto"/>
                <w:highlight w:val="none"/>
              </w:rPr>
              <w:t xml:space="preserve">0771-5562132 </w:t>
            </w:r>
          </w:p>
          <w:p>
            <w:pPr>
              <w:jc w:val="left"/>
              <w:rPr>
                <w:rFonts w:hint="eastAsia"/>
                <w:color w:val="auto"/>
                <w:highlight w:val="none"/>
              </w:rPr>
            </w:pPr>
            <w:r>
              <w:rPr>
                <w:rFonts w:hint="eastAsia"/>
                <w:color w:val="auto"/>
                <w:highlight w:val="none"/>
              </w:rPr>
              <w:t>（4）通讯地址：南宁市青秀区民族大道105号</w:t>
            </w:r>
          </w:p>
          <w:p>
            <w:pPr>
              <w:jc w:val="left"/>
              <w:rPr>
                <w:color w:val="auto"/>
                <w:highlight w:val="none"/>
              </w:rPr>
            </w:pPr>
            <w:r>
              <w:rPr>
                <w:rFonts w:hint="eastAsia"/>
                <w:color w:val="auto"/>
                <w:highlight w:val="none"/>
              </w:rPr>
              <w:t xml:space="preserve">（5）电子邮箱：     /    </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29</w:t>
            </w:r>
          </w:p>
        </w:tc>
        <w:tc>
          <w:tcPr>
            <w:tcW w:w="1984" w:type="dxa"/>
            <w:noWrap/>
            <w:vAlign w:val="center"/>
          </w:tcPr>
          <w:p>
            <w:pPr>
              <w:rPr>
                <w:color w:val="auto"/>
                <w:highlight w:val="none"/>
              </w:rPr>
            </w:pPr>
            <w:r>
              <w:rPr>
                <w:rFonts w:hint="eastAsia"/>
                <w:color w:val="auto"/>
                <w:highlight w:val="none"/>
              </w:rPr>
              <w:t>需提交的投标文件份数</w:t>
            </w:r>
          </w:p>
        </w:tc>
        <w:tc>
          <w:tcPr>
            <w:tcW w:w="6058" w:type="dxa"/>
            <w:gridSpan w:val="2"/>
            <w:noWrap/>
            <w:vAlign w:val="center"/>
          </w:tcPr>
          <w:p>
            <w:pPr>
              <w:pStyle w:val="5"/>
              <w:jc w:val="left"/>
              <w:rPr>
                <w:color w:val="auto"/>
                <w:highlight w:val="none"/>
              </w:rPr>
            </w:pPr>
            <w:r>
              <w:rPr>
                <w:rFonts w:ascii="Times New Roman" w:hAnsi="Times New Roman" w:hint="eastAsia"/>
                <w:color w:val="auto"/>
                <w:szCs w:val="21"/>
                <w:highlight w:val="none"/>
                <w:lang w:val="en-US" w:eastAsia="zh-CN"/>
              </w:rPr>
              <w:t>/</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30</w:t>
            </w:r>
          </w:p>
        </w:tc>
        <w:tc>
          <w:tcPr>
            <w:tcW w:w="1984" w:type="dxa"/>
            <w:noWrap/>
            <w:vAlign w:val="center"/>
          </w:tcPr>
          <w:p>
            <w:pPr>
              <w:rPr>
                <w:color w:val="auto"/>
                <w:highlight w:val="none"/>
              </w:rPr>
            </w:pPr>
            <w:r>
              <w:rPr>
                <w:rFonts w:hint="eastAsia"/>
                <w:color w:val="auto"/>
                <w:highlight w:val="none"/>
              </w:rPr>
              <w:t>代理费用</w:t>
            </w:r>
          </w:p>
        </w:tc>
        <w:tc>
          <w:tcPr>
            <w:tcW w:w="6058" w:type="dxa"/>
            <w:gridSpan w:val="2"/>
            <w:noWrap/>
            <w:vAlign w:val="center"/>
          </w:tcPr>
          <w:p>
            <w:pPr>
              <w:jc w:val="left"/>
              <w:rPr>
                <w:color w:val="auto"/>
                <w:highlight w:val="none"/>
              </w:rPr>
            </w:pPr>
            <w:r>
              <w:rPr>
                <w:rFonts w:hint="eastAsia"/>
                <w:color w:val="auto"/>
                <w:highlight w:val="none"/>
              </w:rPr>
              <w:t>代理费用：</w:t>
            </w:r>
            <w:r>
              <w:rPr>
                <w:rFonts w:ascii="Times New Roman" w:hAnsi="Times New Roman" w:hint="eastAsia"/>
                <w:color w:val="auto"/>
                <w:szCs w:val="21"/>
                <w:highlight w:val="none"/>
                <w:lang w:eastAsia="zh-CN"/>
              </w:rPr>
              <w:t>本项目不收取代理费用。</w:t>
            </w:r>
          </w:p>
        </w:tc>
      </w:tr>
      <w:tr>
        <w:tblPrEx>
          <w:tblW w:w="8977" w:type="dxa"/>
          <w:tblInd w:w="0" w:type="dxa"/>
          <w:tblLayout w:type="fixed"/>
          <w:tblCellMar>
            <w:top w:w="0" w:type="dxa"/>
            <w:left w:w="108" w:type="dxa"/>
            <w:bottom w:w="0" w:type="dxa"/>
            <w:right w:w="108" w:type="dxa"/>
          </w:tblCellMar>
        </w:tblPrEx>
        <w:tc>
          <w:tcPr>
            <w:tcW w:w="935" w:type="dxa"/>
            <w:noWrap/>
            <w:vAlign w:val="center"/>
          </w:tcPr>
          <w:p>
            <w:pPr>
              <w:rPr>
                <w:color w:val="auto"/>
                <w:highlight w:val="none"/>
              </w:rPr>
            </w:pPr>
            <w:r>
              <w:rPr>
                <w:rFonts w:hint="eastAsia"/>
                <w:color w:val="auto"/>
                <w:highlight w:val="none"/>
              </w:rPr>
              <w:t>31</w:t>
            </w:r>
          </w:p>
        </w:tc>
        <w:tc>
          <w:tcPr>
            <w:tcW w:w="1984" w:type="dxa"/>
            <w:noWrap/>
            <w:vAlign w:val="center"/>
          </w:tcPr>
          <w:p>
            <w:pPr>
              <w:rPr>
                <w:color w:val="auto"/>
                <w:highlight w:val="none"/>
              </w:rPr>
            </w:pPr>
            <w:r>
              <w:rPr>
                <w:rFonts w:hint="eastAsia"/>
                <w:color w:val="auto"/>
                <w:highlight w:val="none"/>
              </w:rPr>
              <w:t>其他补充事项</w:t>
            </w:r>
          </w:p>
        </w:tc>
        <w:tc>
          <w:tcPr>
            <w:tcW w:w="6058" w:type="dxa"/>
            <w:gridSpan w:val="2"/>
            <w:noWrap/>
            <w:vAlign w:val="center"/>
          </w:tcPr>
          <w:p>
            <w:pPr>
              <w:pStyle w:val="PlainText"/>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Ansi="宋体" w:hint="eastAsia"/>
                <w:color w:val="auto"/>
                <w:highlight w:val="none"/>
              </w:rPr>
            </w:pPr>
            <w:r>
              <w:rPr>
                <w:rFonts w:hAnsi="宋体" w:hint="eastAsia"/>
                <w:color w:val="auto"/>
                <w:highlight w:val="none"/>
                <w:lang w:eastAsia="zh-CN"/>
              </w:rPr>
              <w:t>（</w:t>
            </w:r>
            <w:r>
              <w:rPr>
                <w:rFonts w:hAnsi="宋体" w:hint="eastAsia"/>
                <w:color w:val="auto"/>
                <w:highlight w:val="none"/>
                <w:lang w:val="en-US" w:eastAsia="zh-CN"/>
              </w:rPr>
              <w:t>1</w:t>
            </w:r>
            <w:r>
              <w:rPr>
                <w:rFonts w:hAnsi="宋体" w:hint="eastAsia"/>
                <w:color w:val="auto"/>
                <w:highlight w:val="none"/>
                <w:lang w:eastAsia="zh-CN"/>
              </w:rPr>
              <w:t>）</w:t>
            </w:r>
            <w:r>
              <w:rPr>
                <w:rFonts w:hAnsi="宋体" w:hint="eastAsia"/>
                <w:color w:val="auto"/>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PlainText"/>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Ansi="宋体" w:hint="eastAsia"/>
                <w:color w:val="auto"/>
                <w:highlight w:val="none"/>
              </w:rPr>
            </w:pPr>
            <w:r>
              <w:rPr>
                <w:rFonts w:hAnsi="宋体" w:hint="eastAsia"/>
                <w:color w:val="auto"/>
                <w:highlight w:val="none"/>
                <w:lang w:eastAsia="zh-CN"/>
              </w:rPr>
              <w:t>（</w:t>
            </w:r>
            <w:r>
              <w:rPr>
                <w:rFonts w:hAnsi="宋体" w:hint="eastAsia"/>
                <w:color w:val="auto"/>
                <w:highlight w:val="none"/>
                <w:lang w:val="en-US" w:eastAsia="zh-CN"/>
              </w:rPr>
              <w:t>2</w:t>
            </w:r>
            <w:r>
              <w:rPr>
                <w:rFonts w:hAnsi="宋体" w:hint="eastAsia"/>
                <w:color w:val="auto"/>
                <w:highlight w:val="none"/>
                <w:lang w:eastAsia="zh-CN"/>
              </w:rPr>
              <w:t>）</w:t>
            </w:r>
            <w:r>
              <w:rPr>
                <w:rFonts w:hAnsi="宋体" w:hint="eastAsia"/>
                <w:color w:val="auto"/>
                <w:highlight w:val="none"/>
              </w:rPr>
              <w:t>本招标文件中描述投标人的“签字”是指投标人的法定代表人（负责人）或被授权人亲自在招标文件规定签署处亲笔写上个人的名字的行为，私章、签字章、印鉴、影印等其它形式均不能代替亲笔签字。</w:t>
            </w:r>
          </w:p>
          <w:p>
            <w:pPr>
              <w:keepNext w:val="0"/>
              <w:keepLines w:val="0"/>
              <w:pageBreakBefore w:val="0"/>
              <w:widowControl/>
              <w:kinsoku/>
              <w:wordWrap/>
              <w:overflowPunct w:val="0"/>
              <w:topLinePunct w:val="0"/>
              <w:autoSpaceDE w:val="0"/>
              <w:autoSpaceDN w:val="0"/>
              <w:bidi w:val="0"/>
              <w:adjustRightInd w:val="0"/>
              <w:snapToGrid/>
              <w:spacing w:line="400" w:lineRule="exact"/>
              <w:textAlignment w:val="baseline"/>
              <w:rPr>
                <w:rFonts w:ascii="宋体" w:hAnsi="宋体" w:cs="宋体" w:hint="eastAsia"/>
                <w:color w:val="auto"/>
                <w:szCs w:val="21"/>
                <w:highlight w:val="none"/>
              </w:rPr>
            </w:pP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w:t>
            </w:r>
            <w:r>
              <w:rPr>
                <w:rFonts w:ascii="宋体" w:hAnsi="宋体" w:cs="宋体" w:hint="eastAsia"/>
                <w:color w:val="auto"/>
                <w:szCs w:val="21"/>
                <w:highlight w:val="none"/>
              </w:rPr>
              <w:t>中标供应商享受中小企业扶持政策的，采购人、采购代理机构应当随中标结果公开中标供应商的《中小企业声明函》。</w:t>
            </w:r>
          </w:p>
          <w:p>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color w:val="auto"/>
                <w:highlight w:val="none"/>
              </w:rPr>
            </w:pP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lang w:eastAsia="zh-CN"/>
              </w:rPr>
              <w:t>）</w:t>
            </w:r>
            <w:r>
              <w:rPr>
                <w:rFonts w:ascii="宋体" w:hAnsi="宋体" w:cs="宋体" w:hint="eastAsia"/>
                <w:color w:val="auto"/>
                <w:szCs w:val="21"/>
                <w:highlight w:val="none"/>
              </w:rPr>
              <w:t>中标供应商为残疾人福利性单位的，采购人或者其委托的采购代理机构应当随中标结果同时公告其《残疾人福利性单位声明函》，接受社会监督。</w:t>
            </w:r>
          </w:p>
        </w:tc>
      </w:tr>
    </w:tbl>
    <w:p>
      <w:pPr>
        <w:pStyle w:val="Heading2"/>
        <w:rPr>
          <w:color w:val="auto"/>
          <w:highlight w:val="none"/>
        </w:rPr>
      </w:pPr>
    </w:p>
    <w:p>
      <w:pPr>
        <w:rPr>
          <w:color w:val="auto"/>
          <w:highlight w:val="none"/>
        </w:rPr>
      </w:pPr>
    </w:p>
    <w:p>
      <w:pPr>
        <w:rPr>
          <w:color w:val="auto"/>
          <w:highlight w:val="none"/>
        </w:rPr>
        <w:sectPr>
          <w:footerReference w:type="default" r:id="rId10"/>
          <w:footerReference w:type="first" r:id="rId11"/>
          <w:pgSz w:w="11906" w:h="16838"/>
          <w:pgMar w:top="1417" w:right="1417" w:bottom="1417" w:left="1417" w:header="851" w:footer="992" w:gutter="0"/>
          <w:cols w:num="1" w:space="720"/>
          <w:titlePg/>
          <w:docGrid w:type="lines" w:linePitch="312" w:charSpace="0"/>
        </w:sectPr>
      </w:pPr>
    </w:p>
    <w:p>
      <w:pPr>
        <w:pStyle w:val="Heading2"/>
        <w:ind w:left="0" w:firstLine="0" w:leftChars="0" w:firstLineChars="0"/>
        <w:jc w:val="center"/>
        <w:rPr>
          <w:rFonts w:asciiTheme="minorEastAsia" w:eastAsiaTheme="minorEastAsia" w:hAnsiTheme="minorEastAsia"/>
          <w:color w:val="auto"/>
          <w:szCs w:val="21"/>
          <w:highlight w:val="none"/>
        </w:rPr>
      </w:pPr>
      <w:r>
        <w:rPr>
          <w:rFonts w:hint="eastAsia"/>
          <w:color w:val="auto"/>
          <w:highlight w:val="none"/>
        </w:rPr>
        <w:t>一、总则</w:t>
      </w:r>
    </w:p>
    <w:p>
      <w:pPr>
        <w:jc w:val="left"/>
        <w:rPr>
          <w:color w:val="auto"/>
          <w:highlight w:val="none"/>
        </w:rPr>
      </w:pPr>
      <w:r>
        <w:rPr>
          <w:rFonts w:hint="eastAsia"/>
          <w:color w:val="auto"/>
          <w:highlight w:val="none"/>
        </w:rPr>
        <w:t>1.预算资金及来源</w:t>
      </w:r>
    </w:p>
    <w:p>
      <w:pPr>
        <w:ind w:firstLine="420" w:firstLineChars="200"/>
        <w:jc w:val="left"/>
        <w:rPr>
          <w:color w:val="auto"/>
          <w:highlight w:val="none"/>
        </w:rPr>
      </w:pPr>
      <w:r>
        <w:rPr>
          <w:rFonts w:hint="eastAsia"/>
          <w:color w:val="auto"/>
          <w:highlight w:val="none"/>
        </w:rPr>
        <w:t>1.1 本项目已经国家税务总局广西壮族自治区税务局批准立项。</w:t>
      </w:r>
    </w:p>
    <w:p>
      <w:pPr>
        <w:ind w:firstLine="420" w:firstLineChars="200"/>
        <w:jc w:val="left"/>
        <w:rPr>
          <w:color w:val="auto"/>
          <w:highlight w:val="none"/>
        </w:rPr>
      </w:pPr>
      <w:r>
        <w:rPr>
          <w:rFonts w:hint="eastAsia"/>
          <w:color w:val="auto"/>
          <w:highlight w:val="none"/>
        </w:rPr>
        <w:t>1.2 本项目预算资金见投标人须知前附表，已列入国家税务总局广西壮族自治区税务局预算。</w:t>
      </w:r>
    </w:p>
    <w:p>
      <w:pPr>
        <w:jc w:val="left"/>
        <w:rPr>
          <w:color w:val="auto"/>
          <w:highlight w:val="none"/>
        </w:rPr>
      </w:pPr>
      <w:r>
        <w:rPr>
          <w:rFonts w:hint="eastAsia"/>
          <w:color w:val="auto"/>
          <w:highlight w:val="none"/>
        </w:rPr>
        <w:t>2.合格的产品和服务</w:t>
      </w:r>
    </w:p>
    <w:p>
      <w:pPr>
        <w:ind w:firstLine="420" w:firstLineChars="200"/>
        <w:jc w:val="left"/>
        <w:rPr>
          <w:color w:val="auto"/>
          <w:highlight w:val="none"/>
        </w:rPr>
      </w:pPr>
      <w:r>
        <w:rPr>
          <w:rFonts w:hint="eastAsia"/>
          <w:color w:val="auto"/>
          <w:highlight w:val="none"/>
        </w:rPr>
        <w:t>2.1 本项目所涉及的所有产品和服务均应来自中国境内（指关境内），合同总金额的支付也仅限于这些产品和服务。</w:t>
      </w:r>
    </w:p>
    <w:p>
      <w:pPr>
        <w:ind w:firstLine="420" w:firstLineChars="200"/>
        <w:jc w:val="left"/>
        <w:rPr>
          <w:color w:val="auto"/>
          <w:highlight w:val="none"/>
        </w:rPr>
      </w:pPr>
      <w:r>
        <w:rPr>
          <w:rFonts w:hint="eastAsia"/>
          <w:color w:val="auto"/>
          <w:highlight w:val="none"/>
        </w:rPr>
        <w:t>2.2 合格的产品和服务即采购需求见招标文件（技术部分）。</w:t>
      </w:r>
    </w:p>
    <w:p>
      <w:pPr>
        <w:ind w:firstLine="420" w:firstLineChars="200"/>
        <w:jc w:val="left"/>
        <w:rPr>
          <w:color w:val="auto"/>
          <w:highlight w:val="none"/>
        </w:rPr>
      </w:pPr>
      <w:r>
        <w:rPr>
          <w:rFonts w:hint="eastAsia"/>
          <w:color w:val="auto"/>
          <w:highlight w:val="none"/>
        </w:rPr>
        <w:t>2.3 投标人应保证所提供的产品及服务免受第三方提出侵犯其知识产权（专利权、商标权、工业设计权及使用权）的请求及起诉。</w:t>
      </w:r>
    </w:p>
    <w:p>
      <w:pPr>
        <w:jc w:val="left"/>
        <w:rPr>
          <w:color w:val="auto"/>
          <w:highlight w:val="none"/>
        </w:rPr>
      </w:pPr>
      <w:r>
        <w:rPr>
          <w:rFonts w:hint="eastAsia"/>
          <w:color w:val="auto"/>
          <w:highlight w:val="none"/>
        </w:rPr>
        <w:t>3.合格的投标人</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3.1一般规定</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3.1.2投标人的资格要求及本项目的特定资格要求见</w:t>
      </w:r>
      <w:r>
        <w:rPr>
          <w:rFonts w:asciiTheme="minorEastAsia" w:eastAsiaTheme="minorEastAsia" w:hAnsiTheme="minorEastAsia" w:cstheme="minorEastAsia"/>
          <w:b/>
          <w:color w:val="auto"/>
          <w:sz w:val="21"/>
          <w:szCs w:val="21"/>
          <w:highlight w:val="none"/>
        </w:rPr>
        <w:t>投标人须知前附表</w:t>
      </w:r>
      <w:r>
        <w:rPr>
          <w:rFonts w:asciiTheme="minorEastAsia" w:eastAsiaTheme="minorEastAsia" w:hAnsiTheme="minorEastAsia" w:cstheme="minorEastAsia"/>
          <w:color w:val="auto"/>
          <w:sz w:val="21"/>
          <w:szCs w:val="21"/>
          <w:highlight w:val="none"/>
        </w:rPr>
        <w:t>。</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3.1.3资格条件中所称“重大违法记录”，是指投标人因违法经营受到刑事处罚或者责令停产停业、吊销许可证或者执照、较大数额罚款等行政处罚。</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投标人在参加政府采购活动前3年内因违法经营被禁止在一定期限内参加政府采购活动，期限届满的，可以参加政府采购活动。</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“较大数额罚款”认定为200万元以上的罚款，法律、行政法规以及国务院有关部门明确规定相关领域“较大数额罚款”标准高于200万元的，从其规定。</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3.1.4信用记录要求</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3.2联合体</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3.2.1若本项目接受联合体投标，则两个以上的自然人、法人或者其他组织可以组成一个联合体，以一个投标人的身份共同参加政府采购。</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3.2.2以联合体形式参加投标的，联合体各方应按第二章要求提供资格条件材料。</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3.2.3联合体中有同类资质的投标人按照联合体分工承担相同工作的，应当按照资质等级较低的投标人确定资质等级。</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3.2.4联合体应当提交联合协议，载明联合体各方承担的工作和义务。</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3.2.5联合体各方应当共同与采购人签订采购合同，就采购合同约定的事项对采购人承担连带责任。</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3.2.6以联合体形式参加政府采购活动的，联合体各方不得再单独参加或者与其他投标人另外组成联合体参加同一合同项下的政府采购活动。</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3.3禁止规定</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3.3.1单位负责人为同一人或者存在直接控股、管理关系的不同投标人，不得参加同一采购包的政府采购活动。</w:t>
      </w:r>
      <w:r>
        <w:rPr>
          <w:rFonts w:asciiTheme="minorEastAsia" w:eastAsiaTheme="minorEastAsia" w:hAnsiTheme="minorEastAsia" w:cstheme="minorEastAsia"/>
          <w:b/>
          <w:bCs/>
          <w:color w:val="auto"/>
          <w:sz w:val="21"/>
          <w:szCs w:val="21"/>
          <w:highlight w:val="none"/>
        </w:rPr>
        <w:t>否则投标均无效。</w:t>
      </w:r>
    </w:p>
    <w:p>
      <w:pPr>
        <w:pStyle w:val="null3"/>
        <w:widowControl w:val="0"/>
        <w:spacing w:line="440" w:lineRule="exact"/>
        <w:ind w:firstLine="420" w:firstLineChars="200"/>
        <w:jc w:val="both"/>
        <w:rPr>
          <w:rFonts w:asciiTheme="minorEastAsia" w:eastAsiaTheme="minorEastAsia" w:hAnsiTheme="minorEastAsia" w:cstheme="minorEastAsia" w:hint="default"/>
          <w:b/>
          <w:bCs/>
          <w:color w:val="auto"/>
          <w:sz w:val="21"/>
          <w:szCs w:val="21"/>
          <w:highlight w:val="none"/>
        </w:rPr>
      </w:pPr>
      <w:r>
        <w:rPr>
          <w:rFonts w:asciiTheme="minorEastAsia" w:eastAsiaTheme="minorEastAsia" w:hAnsiTheme="minorEastAsia" w:cstheme="minorEastAsia"/>
          <w:b/>
          <w:bCs/>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jc w:val="both"/>
        <w:rPr>
          <w:color w:val="auto"/>
          <w:highlight w:val="none"/>
        </w:rPr>
      </w:pPr>
      <w:r>
        <w:rPr>
          <w:rFonts w:hint="eastAsia"/>
          <w:color w:val="auto"/>
          <w:highlight w:val="none"/>
        </w:rPr>
        <w:t>4.投标费用</w:t>
      </w:r>
    </w:p>
    <w:p>
      <w:pPr>
        <w:jc w:val="left"/>
        <w:rPr>
          <w:color w:val="auto"/>
          <w:highlight w:val="none"/>
        </w:rPr>
      </w:pPr>
      <w:r>
        <w:rPr>
          <w:rFonts w:hint="eastAsia"/>
          <w:color w:val="auto"/>
          <w:highlight w:val="none"/>
          <w:lang w:val="en-US" w:eastAsia="zh-CN"/>
        </w:rPr>
        <w:t xml:space="preserve">    </w:t>
      </w:r>
      <w:r>
        <w:rPr>
          <w:rFonts w:hint="eastAsia"/>
          <w:color w:val="auto"/>
          <w:highlight w:val="none"/>
        </w:rPr>
        <w:t>4.1 投标人应承担所有与编写、提交投标文件有关的费用，不论招标的结果如何，采购人在任何情况下均无义务和责任承担这些费用。</w:t>
      </w:r>
    </w:p>
    <w:p>
      <w:pPr>
        <w:pStyle w:val="Heading2"/>
        <w:ind w:left="0" w:firstLine="0" w:leftChars="0" w:firstLineChars="0"/>
        <w:jc w:val="center"/>
        <w:rPr>
          <w:color w:val="auto"/>
          <w:highlight w:val="none"/>
        </w:rPr>
      </w:pPr>
      <w:r>
        <w:rPr>
          <w:rFonts w:hint="eastAsia"/>
          <w:color w:val="auto"/>
          <w:highlight w:val="none"/>
        </w:rPr>
        <w:t>二、招标文件</w:t>
      </w:r>
    </w:p>
    <w:p>
      <w:pPr>
        <w:jc w:val="left"/>
        <w:rPr>
          <w:color w:val="auto"/>
          <w:highlight w:val="none"/>
        </w:rPr>
      </w:pPr>
      <w:r>
        <w:rPr>
          <w:rFonts w:hint="eastAsia"/>
          <w:color w:val="auto"/>
          <w:highlight w:val="none"/>
        </w:rPr>
        <w:t>5.招标文件构成</w:t>
      </w:r>
    </w:p>
    <w:p>
      <w:pPr>
        <w:ind w:firstLine="420" w:firstLineChars="200"/>
        <w:jc w:val="left"/>
        <w:rPr>
          <w:color w:val="auto"/>
          <w:highlight w:val="none"/>
        </w:rPr>
      </w:pPr>
      <w:r>
        <w:rPr>
          <w:rFonts w:hint="eastAsia"/>
          <w:color w:val="auto"/>
          <w:highlight w:val="none"/>
        </w:rPr>
        <w:t>第一部分 商务部分</w:t>
      </w:r>
    </w:p>
    <w:p>
      <w:pPr>
        <w:ind w:firstLine="420" w:firstLineChars="200"/>
        <w:jc w:val="left"/>
        <w:rPr>
          <w:color w:val="auto"/>
          <w:highlight w:val="none"/>
        </w:rPr>
      </w:pPr>
      <w:r>
        <w:rPr>
          <w:rFonts w:hint="eastAsia"/>
          <w:color w:val="auto"/>
          <w:highlight w:val="none"/>
        </w:rPr>
        <w:t>（1）投标邀请</w:t>
      </w:r>
    </w:p>
    <w:p>
      <w:pPr>
        <w:ind w:firstLine="420" w:firstLineChars="200"/>
        <w:jc w:val="left"/>
        <w:rPr>
          <w:color w:val="auto"/>
          <w:highlight w:val="none"/>
        </w:rPr>
      </w:pPr>
      <w:r>
        <w:rPr>
          <w:rFonts w:hint="eastAsia"/>
          <w:color w:val="auto"/>
          <w:highlight w:val="none"/>
        </w:rPr>
        <w:t>（2）投标人须知</w:t>
      </w:r>
    </w:p>
    <w:p>
      <w:pPr>
        <w:ind w:firstLine="420" w:firstLineChars="200"/>
        <w:jc w:val="left"/>
        <w:rPr>
          <w:color w:val="auto"/>
          <w:highlight w:val="none"/>
        </w:rPr>
      </w:pPr>
      <w:r>
        <w:rPr>
          <w:rFonts w:hint="eastAsia"/>
          <w:color w:val="auto"/>
          <w:highlight w:val="none"/>
        </w:rPr>
        <w:t>（3）评标方法及标准</w:t>
      </w:r>
    </w:p>
    <w:p>
      <w:pPr>
        <w:ind w:firstLine="420" w:firstLineChars="200"/>
        <w:jc w:val="left"/>
        <w:rPr>
          <w:color w:val="auto"/>
          <w:highlight w:val="none"/>
        </w:rPr>
      </w:pPr>
      <w:r>
        <w:rPr>
          <w:rFonts w:hint="eastAsia"/>
          <w:color w:val="auto"/>
          <w:highlight w:val="none"/>
        </w:rPr>
        <w:t>（4）政府采购合同文本</w:t>
      </w:r>
    </w:p>
    <w:p>
      <w:pPr>
        <w:ind w:firstLine="420" w:firstLineChars="200"/>
        <w:jc w:val="left"/>
        <w:rPr>
          <w:color w:val="auto"/>
          <w:highlight w:val="none"/>
        </w:rPr>
      </w:pPr>
      <w:r>
        <w:rPr>
          <w:rFonts w:hint="eastAsia"/>
          <w:color w:val="auto"/>
          <w:highlight w:val="none"/>
        </w:rPr>
        <w:t>（5）投标文件格式</w:t>
      </w:r>
    </w:p>
    <w:p>
      <w:pPr>
        <w:ind w:firstLine="420" w:firstLineChars="200"/>
        <w:jc w:val="left"/>
        <w:rPr>
          <w:color w:val="auto"/>
          <w:highlight w:val="none"/>
        </w:rPr>
      </w:pPr>
      <w:r>
        <w:rPr>
          <w:rFonts w:hint="eastAsia"/>
          <w:color w:val="auto"/>
          <w:highlight w:val="none"/>
        </w:rPr>
        <w:t>第二部分 技术部分</w:t>
      </w:r>
    </w:p>
    <w:p>
      <w:pPr>
        <w:ind w:firstLine="420" w:firstLineChars="200"/>
        <w:jc w:val="left"/>
        <w:rPr>
          <w:color w:val="auto"/>
          <w:highlight w:val="none"/>
        </w:rPr>
      </w:pPr>
      <w:r>
        <w:rPr>
          <w:rFonts w:hint="eastAsia"/>
          <w:color w:val="auto"/>
          <w:highlight w:val="none"/>
        </w:rPr>
        <w:t>（6）项目采购需求</w:t>
      </w:r>
    </w:p>
    <w:p>
      <w:pPr>
        <w:jc w:val="left"/>
        <w:rPr>
          <w:color w:val="auto"/>
          <w:highlight w:val="none"/>
        </w:rPr>
      </w:pPr>
      <w:r>
        <w:rPr>
          <w:rFonts w:hint="eastAsia"/>
          <w:color w:val="auto"/>
          <w:highlight w:val="none"/>
        </w:rPr>
        <w:t>6.招标文件询问、澄清或修改</w:t>
      </w:r>
    </w:p>
    <w:p>
      <w:pPr>
        <w:ind w:firstLine="420" w:firstLineChars="200"/>
        <w:jc w:val="left"/>
        <w:rPr>
          <w:b/>
          <w:color w:val="auto"/>
          <w:highlight w:val="none"/>
        </w:rPr>
      </w:pPr>
      <w:r>
        <w:rPr>
          <w:rFonts w:hint="eastAsia"/>
          <w:color w:val="auto"/>
          <w:highlight w:val="none"/>
        </w:rPr>
        <w:t>6.1 投标人对招标文件如有疑问的，可以向采购人或者采购代理机构提出询问，采购人或者采购代理机构应当在3个工作日内作出答复，但答复的内容不得涉及商业秘密。如有必要，采购人或者采购代理机构可对招标文件进行澄清或者修改。</w:t>
      </w:r>
    </w:p>
    <w:p>
      <w:pPr>
        <w:ind w:firstLine="420" w:firstLineChars="200"/>
        <w:jc w:val="left"/>
        <w:rPr>
          <w:color w:val="auto"/>
          <w:highlight w:val="none"/>
        </w:rPr>
      </w:pPr>
      <w:r>
        <w:rPr>
          <w:rFonts w:hint="eastAsia"/>
          <w:color w:val="auto"/>
          <w:highlight w:val="none"/>
        </w:rPr>
        <w:t>6.2 采购人或者采购代理机构可主动对招标文件进行必要的澄清或者修改，但不得改变采购标的和资格条件。</w:t>
      </w:r>
    </w:p>
    <w:p>
      <w:pPr>
        <w:ind w:firstLine="420" w:firstLineChars="200"/>
        <w:jc w:val="left"/>
        <w:rPr>
          <w:color w:val="auto"/>
          <w:highlight w:val="none"/>
        </w:rPr>
      </w:pPr>
      <w:r>
        <w:rPr>
          <w:rFonts w:hint="eastAsia"/>
          <w:color w:val="auto"/>
          <w:highlight w:val="none"/>
        </w:rPr>
        <w:t>6.3 澄清或者修改应当在原公告发布媒体上发布澄清公告，线上采购项目还应通过国家税务总局政府采购评审管理系统（以下简称“评审管理系统”）通知所有获取招标文件的潜在投标人。</w:t>
      </w:r>
    </w:p>
    <w:p>
      <w:pPr>
        <w:ind w:firstLine="420" w:firstLineChars="200"/>
        <w:jc w:val="left"/>
        <w:rPr>
          <w:color w:val="auto"/>
          <w:highlight w:val="none"/>
        </w:rPr>
      </w:pPr>
      <w:r>
        <w:rPr>
          <w:rFonts w:hint="eastAsia"/>
          <w:color w:val="auto"/>
          <w:highlight w:val="none"/>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ind w:firstLine="420" w:firstLineChars="200"/>
        <w:jc w:val="left"/>
        <w:rPr>
          <w:color w:val="auto"/>
          <w:highlight w:val="none"/>
        </w:rPr>
      </w:pPr>
      <w:r>
        <w:rPr>
          <w:rFonts w:hint="eastAsia"/>
          <w:color w:val="auto"/>
          <w:highlight w:val="none"/>
        </w:rPr>
        <w:t>6.5 澄清或者修改的内容为招标文件的组成部分。</w:t>
      </w:r>
    </w:p>
    <w:p>
      <w:pPr>
        <w:pStyle w:val="Heading2"/>
        <w:ind w:left="0" w:firstLine="0" w:leftChars="0" w:firstLineChars="0"/>
        <w:jc w:val="center"/>
        <w:rPr>
          <w:color w:val="auto"/>
          <w:highlight w:val="none"/>
        </w:rPr>
      </w:pPr>
      <w:r>
        <w:rPr>
          <w:rFonts w:hint="eastAsia"/>
          <w:color w:val="auto"/>
          <w:highlight w:val="none"/>
        </w:rPr>
        <w:t>三、投标文件</w:t>
      </w:r>
    </w:p>
    <w:p>
      <w:pPr>
        <w:jc w:val="left"/>
        <w:rPr>
          <w:color w:val="auto"/>
          <w:highlight w:val="none"/>
        </w:rPr>
      </w:pPr>
      <w:r>
        <w:rPr>
          <w:rFonts w:hint="eastAsia"/>
          <w:color w:val="auto"/>
          <w:highlight w:val="none"/>
        </w:rPr>
        <w:t>7．投标文件编制</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7.1投标文件的编制</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7.1.1投标人应先仔细阅读招标文件的全部内容后，再进行投标文件的编制。</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7.2投标文件的语言</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7.2.1除招标文件另有规定外，投标文件应使用中文文本并使用中文简化字，若有不同文本，以中文简化字文本为准。</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7.2.2投标文件提供的全部资料中，若属于非中文描述的，应同时提供中文简化字译本。</w:t>
      </w:r>
    </w:p>
    <w:p>
      <w:pPr>
        <w:pStyle w:val="null3"/>
        <w:widowControl w:val="0"/>
        <w:spacing w:line="440" w:lineRule="exact"/>
        <w:ind w:firstLine="420" w:firstLineChars="200"/>
        <w:jc w:val="both"/>
        <w:rPr>
          <w:rFonts w:asciiTheme="minorEastAsia" w:eastAsiaTheme="minorEastAsia" w:hAnsiTheme="minorEastAsia" w:cstheme="minorEastAsia"/>
          <w:color w:val="auto"/>
          <w:sz w:val="21"/>
          <w:szCs w:val="21"/>
          <w:highlight w:val="none"/>
        </w:rPr>
      </w:pPr>
      <w:r>
        <w:rPr>
          <w:rFonts w:asciiTheme="minorEastAsia" w:eastAsiaTheme="minorEastAsia" w:hAnsiTheme="minorEastAsia" w:cstheme="minorEastAsia" w:hint="eastAsia"/>
          <w:color w:val="auto"/>
          <w:sz w:val="21"/>
          <w:szCs w:val="21"/>
          <w:highlight w:val="none"/>
        </w:rPr>
        <w:t>7.2.3除在招标文件的要求中另有规定外，投标文件计量单位应使用中华人民共和国法定计量单位。</w:t>
      </w:r>
    </w:p>
    <w:p>
      <w:pPr>
        <w:pStyle w:val="null3"/>
        <w:widowControl w:val="0"/>
        <w:spacing w:line="440" w:lineRule="exact"/>
        <w:ind w:firstLine="420" w:firstLineChars="200"/>
        <w:jc w:val="both"/>
        <w:rPr>
          <w:rFonts w:asciiTheme="minorEastAsia" w:eastAsiaTheme="minorEastAsia" w:hAnsiTheme="minorEastAsia" w:cstheme="minorEastAsia"/>
          <w:color w:val="auto"/>
          <w:sz w:val="21"/>
          <w:szCs w:val="21"/>
          <w:highlight w:val="none"/>
        </w:rPr>
      </w:pPr>
      <w:r>
        <w:rPr>
          <w:rFonts w:asciiTheme="minorEastAsia" w:eastAsiaTheme="minorEastAsia" w:hAnsiTheme="minorEastAsia" w:cstheme="minorEastAsia" w:hint="eastAsia"/>
          <w:color w:val="auto"/>
          <w:sz w:val="21"/>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jc w:val="both"/>
        <w:rPr>
          <w:color w:val="auto"/>
          <w:highlight w:val="none"/>
        </w:rPr>
      </w:pPr>
      <w:r>
        <w:rPr>
          <w:rFonts w:hint="eastAsia"/>
          <w:color w:val="auto"/>
          <w:highlight w:val="none"/>
        </w:rPr>
        <w:t>8.投标文件的组成</w:t>
      </w:r>
    </w:p>
    <w:p>
      <w:pPr>
        <w:ind w:firstLine="420" w:firstLineChars="200"/>
        <w:jc w:val="both"/>
        <w:rPr>
          <w:color w:val="auto"/>
          <w:highlight w:val="none"/>
        </w:rPr>
      </w:pPr>
      <w:r>
        <w:rPr>
          <w:rFonts w:hint="eastAsia"/>
          <w:color w:val="auto"/>
          <w:highlight w:val="none"/>
        </w:rPr>
        <w:t>8.1 投标文件包括商务部分和技术部分。</w:t>
      </w:r>
    </w:p>
    <w:p>
      <w:pPr>
        <w:ind w:firstLine="420" w:firstLineChars="200"/>
        <w:jc w:val="both"/>
        <w:rPr>
          <w:color w:val="auto"/>
          <w:highlight w:val="none"/>
        </w:rPr>
      </w:pPr>
      <w:r>
        <w:rPr>
          <w:rFonts w:hint="eastAsia"/>
          <w:color w:val="auto"/>
          <w:highlight w:val="none"/>
        </w:rPr>
        <w:t>8.2 投标文件</w:t>
      </w:r>
      <w:r>
        <w:rPr>
          <w:rFonts w:hint="eastAsia"/>
          <w:b/>
          <w:color w:val="auto"/>
          <w:highlight w:val="none"/>
        </w:rPr>
        <w:t>商务部分</w:t>
      </w:r>
      <w:r>
        <w:rPr>
          <w:rFonts w:hint="eastAsia"/>
          <w:color w:val="auto"/>
          <w:highlight w:val="none"/>
        </w:rPr>
        <w:t>主要包括的文件和资料：</w:t>
      </w:r>
    </w:p>
    <w:p>
      <w:pPr>
        <w:ind w:firstLine="420" w:firstLineChars="200"/>
        <w:jc w:val="both"/>
        <w:rPr>
          <w:color w:val="auto"/>
          <w:highlight w:val="none"/>
        </w:rPr>
      </w:pPr>
      <w:r>
        <w:rPr>
          <w:rFonts w:hint="eastAsia"/>
          <w:color w:val="auto"/>
          <w:highlight w:val="none"/>
        </w:rPr>
        <w:t>8.2.1 资格证明文件，见</w:t>
      </w:r>
      <w:r>
        <w:rPr>
          <w:rFonts w:hint="eastAsia"/>
          <w:b/>
          <w:color w:val="auto"/>
          <w:highlight w:val="none"/>
        </w:rPr>
        <w:t>投标人须知前附表。</w:t>
      </w:r>
    </w:p>
    <w:p>
      <w:pPr>
        <w:ind w:firstLine="420" w:firstLineChars="200"/>
        <w:jc w:val="both"/>
        <w:rPr>
          <w:color w:val="auto"/>
          <w:highlight w:val="none"/>
        </w:rPr>
      </w:pPr>
      <w:r>
        <w:rPr>
          <w:rFonts w:hint="eastAsia"/>
          <w:color w:val="auto"/>
          <w:highlight w:val="none"/>
        </w:rPr>
        <w:t>8.2.2 其他文件及资料，见</w:t>
      </w:r>
      <w:r>
        <w:rPr>
          <w:rFonts w:hint="eastAsia"/>
          <w:b/>
          <w:color w:val="auto"/>
          <w:highlight w:val="none"/>
        </w:rPr>
        <w:t>投标人须知前附表。</w:t>
      </w:r>
    </w:p>
    <w:p>
      <w:pPr>
        <w:ind w:firstLine="420" w:firstLineChars="200"/>
        <w:jc w:val="both"/>
        <w:rPr>
          <w:color w:val="auto"/>
          <w:highlight w:val="none"/>
        </w:rPr>
      </w:pPr>
      <w:r>
        <w:rPr>
          <w:rFonts w:hint="eastAsia"/>
          <w:color w:val="auto"/>
          <w:highlight w:val="none"/>
        </w:rPr>
        <w:t>8.3 投标文件</w:t>
      </w:r>
      <w:r>
        <w:rPr>
          <w:rFonts w:hint="eastAsia"/>
          <w:b/>
          <w:color w:val="auto"/>
          <w:highlight w:val="none"/>
        </w:rPr>
        <w:t>技术部分</w:t>
      </w:r>
      <w:r>
        <w:rPr>
          <w:rFonts w:hint="eastAsia"/>
          <w:color w:val="auto"/>
          <w:highlight w:val="none"/>
        </w:rPr>
        <w:t>主要包括的文件及资料，见</w:t>
      </w:r>
      <w:r>
        <w:rPr>
          <w:rFonts w:hint="eastAsia"/>
          <w:b/>
          <w:color w:val="auto"/>
          <w:highlight w:val="none"/>
        </w:rPr>
        <w:t>投标人须知前附表。</w:t>
      </w:r>
    </w:p>
    <w:p>
      <w:pPr>
        <w:ind w:firstLine="420" w:firstLineChars="200"/>
        <w:jc w:val="both"/>
        <w:rPr>
          <w:color w:val="auto"/>
          <w:highlight w:val="none"/>
        </w:rPr>
      </w:pPr>
      <w:r>
        <w:rPr>
          <w:rFonts w:hint="eastAsia"/>
          <w:color w:val="auto"/>
          <w:highlight w:val="none"/>
        </w:rPr>
        <w:t>8.4 证明资料如标明有效期的，必须在有效期内。</w:t>
      </w:r>
    </w:p>
    <w:p>
      <w:pPr>
        <w:jc w:val="both"/>
        <w:rPr>
          <w:color w:val="auto"/>
          <w:highlight w:val="none"/>
        </w:rPr>
      </w:pPr>
      <w:r>
        <w:rPr>
          <w:rFonts w:hint="eastAsia"/>
          <w:color w:val="auto"/>
          <w:highlight w:val="none"/>
        </w:rPr>
        <w:t>9.报价要求</w:t>
      </w:r>
    </w:p>
    <w:p>
      <w:pPr>
        <w:ind w:firstLine="420" w:firstLineChars="200"/>
        <w:jc w:val="left"/>
        <w:rPr>
          <w:color w:val="auto"/>
          <w:highlight w:val="none"/>
        </w:rPr>
      </w:pPr>
      <w:r>
        <w:rPr>
          <w:rFonts w:hint="eastAsia"/>
          <w:color w:val="auto"/>
          <w:highlight w:val="none"/>
        </w:rPr>
        <w:t>9.1 除招标文件另有规定外，投标应以人民币报价，线上采购项目还须按照投标工具的流程和提示编制并上传投标报价表。</w:t>
      </w:r>
    </w:p>
    <w:p>
      <w:pPr>
        <w:ind w:firstLine="420" w:firstLineChars="200"/>
        <w:jc w:val="left"/>
        <w:rPr>
          <w:color w:val="auto"/>
          <w:highlight w:val="none"/>
        </w:rPr>
      </w:pPr>
      <w:r>
        <w:rPr>
          <w:rFonts w:hint="eastAsia"/>
          <w:color w:val="auto"/>
          <w:highlight w:val="none"/>
        </w:rPr>
        <w:t>9.2 本项目不接受任何形式的赠送、“零”报价和折扣报价。</w:t>
      </w:r>
    </w:p>
    <w:p>
      <w:pPr>
        <w:ind w:firstLine="420" w:firstLineChars="200"/>
        <w:jc w:val="left"/>
        <w:rPr>
          <w:color w:val="auto"/>
          <w:highlight w:val="none"/>
        </w:rPr>
      </w:pPr>
      <w:r>
        <w:rPr>
          <w:rFonts w:hint="eastAsia"/>
          <w:color w:val="auto"/>
          <w:highlight w:val="none"/>
        </w:rPr>
        <w:t>9.3 本项目以投标报价为依据计算价格分。投标报价应包括招标文件中要求投标人承担所有工作内容的全部费用。</w:t>
      </w:r>
    </w:p>
    <w:p>
      <w:pPr>
        <w:ind w:firstLine="420" w:firstLineChars="200"/>
        <w:jc w:val="left"/>
        <w:rPr>
          <w:color w:val="auto"/>
          <w:highlight w:val="none"/>
        </w:rPr>
      </w:pPr>
      <w:r>
        <w:rPr>
          <w:rFonts w:hint="eastAsia"/>
          <w:color w:val="auto"/>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20" w:firstLineChars="200"/>
        <w:jc w:val="left"/>
        <w:rPr>
          <w:color w:val="auto"/>
          <w:highlight w:val="none"/>
        </w:rPr>
      </w:pPr>
      <w:r>
        <w:rPr>
          <w:rFonts w:hint="eastAsia"/>
          <w:color w:val="auto"/>
          <w:highlight w:val="none"/>
        </w:rPr>
        <w:t>9.5 最低报价不能作为中标的保证。</w:t>
      </w:r>
    </w:p>
    <w:p>
      <w:pPr>
        <w:jc w:val="left"/>
        <w:rPr>
          <w:color w:val="auto"/>
          <w:highlight w:val="none"/>
        </w:rPr>
      </w:pPr>
      <w:r>
        <w:rPr>
          <w:rFonts w:hint="eastAsia"/>
          <w:color w:val="auto"/>
          <w:highlight w:val="none"/>
        </w:rPr>
        <w:t>10.投标文件的书写、密封、签署、盖章</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10.1书写</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10.1.1投标文件应使用不能擦去的墨料或墨水打印、书写。</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10.1.2投标文件内容应没有涂改或行间插字。若有前述改动，在改动处应由单位负责人（投标人代表）签字确认或加盖投标人的单位公章。</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10.2密封</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10.2.1投标文件应胶装或装订成册，避免材料散装、脱落。</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10.2.2投标文件（包括电子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10.3签署、盖章</w:t>
      </w:r>
    </w:p>
    <w:p>
      <w:pPr>
        <w:ind w:firstLine="420" w:firstLineChars="200"/>
        <w:jc w:val="left"/>
        <w:rPr>
          <w:color w:val="auto"/>
          <w:highlight w:val="none"/>
        </w:rPr>
      </w:pPr>
      <w:r>
        <w:rPr>
          <w:rFonts w:hint="eastAsia"/>
          <w:color w:val="auto"/>
          <w:highlight w:val="none"/>
        </w:rPr>
        <w:t>10.3.1投标文件中要求签字处应由投标人的单位负责人（投标人代表）签字。</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10.3.2投标文件必须按照招标文件给出文件格式的签署要求进行签署。</w:t>
      </w:r>
    </w:p>
    <w:p>
      <w:pPr>
        <w:ind w:firstLine="420" w:firstLineChars="200"/>
        <w:jc w:val="left"/>
        <w:rPr>
          <w:color w:val="auto"/>
          <w:highlight w:val="none"/>
        </w:rPr>
      </w:pPr>
      <w:r>
        <w:rPr>
          <w:rFonts w:hint="eastAsia"/>
          <w:color w:val="auto"/>
          <w:highlight w:val="none"/>
        </w:rPr>
        <w:t>10.3.3投标人在</w:t>
      </w:r>
      <w:r>
        <w:rPr>
          <w:rFonts w:hint="eastAsia"/>
          <w:b/>
          <w:color w:val="auto"/>
          <w:highlight w:val="none"/>
        </w:rPr>
        <w:t>“投标函”“法定代表人授权委托书”</w:t>
      </w:r>
      <w:r>
        <w:rPr>
          <w:rFonts w:hint="eastAsia"/>
          <w:color w:val="auto"/>
          <w:highlight w:val="none"/>
        </w:rPr>
        <w:t>上应当按格式要求加盖与投标人名称全称一致的标准公章，并按照招标文件第五章投标文件格式中的相应格式文件要求签署全名。</w:t>
      </w:r>
    </w:p>
    <w:p>
      <w:pPr>
        <w:ind w:firstLine="420" w:firstLineChars="200"/>
        <w:jc w:val="left"/>
        <w:rPr>
          <w:color w:val="auto"/>
          <w:highlight w:val="none"/>
        </w:rPr>
      </w:pPr>
      <w:r>
        <w:rPr>
          <w:rFonts w:hint="eastAsia"/>
          <w:color w:val="auto"/>
          <w:highlight w:val="none"/>
        </w:rPr>
        <w:t>10.3.4投标文件中的“盖章”指加盖投标人的“公章”，而非“合同专用章”、“投标专用章”等其他非公章。</w:t>
      </w:r>
    </w:p>
    <w:p>
      <w:pPr>
        <w:ind w:firstLine="420" w:firstLineChars="200"/>
        <w:jc w:val="left"/>
        <w:rPr>
          <w:color w:val="auto"/>
          <w:highlight w:val="none"/>
        </w:rPr>
      </w:pPr>
      <w:r>
        <w:rPr>
          <w:rFonts w:hint="eastAsia"/>
          <w:color w:val="auto"/>
          <w:highlight w:val="none"/>
        </w:rPr>
        <w:t>10.3.5线上采购项目可以使用电子签章。</w:t>
      </w:r>
    </w:p>
    <w:p>
      <w:pPr>
        <w:jc w:val="left"/>
        <w:rPr>
          <w:color w:val="auto"/>
          <w:highlight w:val="none"/>
        </w:rPr>
      </w:pPr>
      <w:r>
        <w:rPr>
          <w:rFonts w:hint="eastAsia"/>
          <w:color w:val="auto"/>
          <w:highlight w:val="none"/>
        </w:rPr>
        <w:t>11．投标有效期</w:t>
      </w:r>
    </w:p>
    <w:p>
      <w:pPr>
        <w:ind w:firstLine="420" w:firstLineChars="200"/>
        <w:jc w:val="left"/>
        <w:rPr>
          <w:color w:val="auto"/>
          <w:highlight w:val="none"/>
        </w:rPr>
      </w:pPr>
      <w:r>
        <w:rPr>
          <w:rFonts w:hint="eastAsia"/>
          <w:color w:val="auto"/>
          <w:highlight w:val="none"/>
        </w:rPr>
        <w:t>11.1 投标有效期见</w:t>
      </w:r>
      <w:r>
        <w:rPr>
          <w:rFonts w:hint="eastAsia"/>
          <w:b/>
          <w:color w:val="auto"/>
          <w:highlight w:val="none"/>
        </w:rPr>
        <w:t>投标人须知前附表</w:t>
      </w:r>
      <w:r>
        <w:rPr>
          <w:rFonts w:hint="eastAsia"/>
          <w:color w:val="auto"/>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ind w:firstLine="420" w:firstLineChars="200"/>
        <w:jc w:val="left"/>
        <w:rPr>
          <w:color w:val="auto"/>
          <w:highlight w:val="none"/>
        </w:rPr>
      </w:pPr>
      <w:r>
        <w:rPr>
          <w:rFonts w:hint="eastAsia"/>
          <w:color w:val="auto"/>
          <w:highlight w:val="none"/>
        </w:rPr>
        <w:t>11.2 特殊情况下，在原投标有效期期满之前，采购人或者采购代理机构可征得投标人同意延长投标有效期。</w:t>
      </w:r>
    </w:p>
    <w:p>
      <w:pPr>
        <w:pStyle w:val="Heading2"/>
        <w:ind w:left="0" w:firstLine="0" w:leftChars="0" w:firstLineChars="0"/>
        <w:jc w:val="center"/>
        <w:rPr>
          <w:color w:val="auto"/>
          <w:highlight w:val="none"/>
        </w:rPr>
      </w:pPr>
      <w:r>
        <w:rPr>
          <w:rFonts w:hint="eastAsia"/>
          <w:color w:val="auto"/>
          <w:highlight w:val="none"/>
        </w:rPr>
        <w:t>四、投标文件递交</w:t>
      </w:r>
    </w:p>
    <w:p>
      <w:pPr>
        <w:jc w:val="both"/>
        <w:rPr>
          <w:color w:val="auto"/>
          <w:highlight w:val="none"/>
        </w:rPr>
      </w:pPr>
      <w:r>
        <w:rPr>
          <w:rFonts w:hint="eastAsia"/>
          <w:color w:val="auto"/>
          <w:highlight w:val="none"/>
        </w:rPr>
        <w:t>12．投标文件递交</w:t>
      </w:r>
    </w:p>
    <w:p>
      <w:pPr>
        <w:ind w:firstLine="420" w:firstLineChars="200"/>
        <w:jc w:val="left"/>
        <w:rPr>
          <w:color w:val="auto"/>
          <w:highlight w:val="none"/>
        </w:rPr>
      </w:pPr>
      <w:r>
        <w:rPr>
          <w:rFonts w:hint="eastAsia"/>
          <w:color w:val="auto"/>
          <w:highlight w:val="none"/>
        </w:rPr>
        <w:t>12.1 投标人应当在</w:t>
      </w:r>
      <w:r>
        <w:rPr>
          <w:rFonts w:hint="eastAsia"/>
          <w:b/>
          <w:color w:val="auto"/>
          <w:highlight w:val="none"/>
        </w:rPr>
        <w:t>投标人须知前附表</w:t>
      </w:r>
      <w:r>
        <w:rPr>
          <w:rFonts w:hint="eastAsia"/>
          <w:color w:val="auto"/>
          <w:highlight w:val="none"/>
        </w:rPr>
        <w:t>要求提交投标文件截止时间前，根据《投标人须知前附表》载明方式提交投标文件。逾期送达或者未按照招标文件要求密封的投标文件将被拒绝。</w:t>
      </w:r>
    </w:p>
    <w:p>
      <w:pPr>
        <w:ind w:firstLine="420" w:firstLineChars="200"/>
        <w:jc w:val="left"/>
        <w:rPr>
          <w:color w:val="auto"/>
          <w:highlight w:val="none"/>
        </w:rPr>
      </w:pPr>
      <w:r>
        <w:rPr>
          <w:rFonts w:hint="eastAsia"/>
          <w:color w:val="auto"/>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jc w:val="left"/>
        <w:rPr>
          <w:color w:val="auto"/>
          <w:highlight w:val="none"/>
        </w:rPr>
      </w:pPr>
      <w:r>
        <w:rPr>
          <w:rFonts w:hint="eastAsia"/>
          <w:color w:val="auto"/>
          <w:highlight w:val="none"/>
        </w:rPr>
        <w:t>13．投标文件补充、修改或撤回</w:t>
      </w:r>
    </w:p>
    <w:p>
      <w:pPr>
        <w:ind w:firstLine="420" w:firstLineChars="200"/>
        <w:jc w:val="left"/>
        <w:rPr>
          <w:color w:val="auto"/>
          <w:highlight w:val="none"/>
        </w:rPr>
      </w:pPr>
      <w:r>
        <w:rPr>
          <w:rFonts w:hint="eastAsia"/>
          <w:color w:val="auto"/>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ind w:firstLine="420" w:firstLineChars="200"/>
        <w:jc w:val="left"/>
        <w:rPr>
          <w:color w:val="auto"/>
          <w:highlight w:val="none"/>
        </w:rPr>
      </w:pPr>
      <w:r>
        <w:rPr>
          <w:rFonts w:hint="eastAsia"/>
          <w:color w:val="auto"/>
          <w:highlight w:val="none"/>
        </w:rPr>
        <w:t>13.2 线上采购项目，投标人在投标截止时间前，可以登录评审管理系统对所提交的投标文件进行撤回、补充、修改、重新提交。补充、修改的内容应当按照招标文件要求签署、盖章。</w:t>
      </w:r>
    </w:p>
    <w:p>
      <w:pPr>
        <w:ind w:firstLine="420" w:firstLineChars="200"/>
        <w:jc w:val="left"/>
        <w:rPr>
          <w:color w:val="auto"/>
          <w:highlight w:val="none"/>
        </w:rPr>
      </w:pPr>
      <w:r>
        <w:rPr>
          <w:rFonts w:hint="eastAsia"/>
          <w:color w:val="auto"/>
          <w:highlight w:val="none"/>
        </w:rPr>
        <w:t>13.3 提交投标文件截止时间后，不得对已提交的投标文件作任何补充、修改或者撤回。</w:t>
      </w:r>
    </w:p>
    <w:p>
      <w:pPr>
        <w:pStyle w:val="Heading2"/>
        <w:ind w:left="0" w:firstLine="0" w:leftChars="0" w:firstLineChars="0"/>
        <w:jc w:val="center"/>
        <w:rPr>
          <w:rFonts w:asciiTheme="minorEastAsia" w:eastAsiaTheme="minorEastAsia" w:hAnsiTheme="minorEastAsia"/>
          <w:color w:val="auto"/>
          <w:szCs w:val="21"/>
          <w:highlight w:val="none"/>
        </w:rPr>
      </w:pPr>
      <w:r>
        <w:rPr>
          <w:rFonts w:hint="eastAsia"/>
          <w:color w:val="auto"/>
          <w:highlight w:val="none"/>
        </w:rPr>
        <w:t>五、开标与评标</w:t>
      </w:r>
    </w:p>
    <w:p>
      <w:pPr>
        <w:jc w:val="left"/>
        <w:rPr>
          <w:color w:val="auto"/>
          <w:highlight w:val="none"/>
        </w:rPr>
      </w:pPr>
      <w:r>
        <w:rPr>
          <w:rFonts w:hint="eastAsia"/>
          <w:color w:val="auto"/>
          <w:highlight w:val="none"/>
        </w:rPr>
        <w:t>14．开标</w:t>
      </w:r>
    </w:p>
    <w:p>
      <w:pPr>
        <w:ind w:firstLine="420" w:firstLineChars="200"/>
        <w:jc w:val="left"/>
        <w:rPr>
          <w:color w:val="auto"/>
          <w:highlight w:val="none"/>
        </w:rPr>
      </w:pPr>
      <w:r>
        <w:rPr>
          <w:rFonts w:hint="eastAsia"/>
          <w:color w:val="auto"/>
          <w:highlight w:val="none"/>
        </w:rPr>
        <w:t>14.1 开标在招标文件确定的提交投标文件截止时间的同一时间进行。开标地点详见</w:t>
      </w:r>
      <w:r>
        <w:rPr>
          <w:rFonts w:hint="eastAsia"/>
          <w:b/>
          <w:color w:val="auto"/>
          <w:highlight w:val="none"/>
        </w:rPr>
        <w:t>投标人须知前附表</w:t>
      </w:r>
      <w:r>
        <w:rPr>
          <w:rFonts w:hint="eastAsia"/>
          <w:color w:val="auto"/>
          <w:highlight w:val="none"/>
        </w:rPr>
        <w:t>。</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14.2 开标由采购人或者采购代理机构主持，邀请投标人参加。评标委员会成员不得参加开标活动。</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14.6 在政府采购活动中，采购人员及相关人员与投标人有下列利害关系之一的，应当回避：</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（1）参加采购活动前3年内与投标人存在劳动关系；</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（2）参加采购活动前3年内担任投标人的董事、监事；</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（3）参加采购活动前3年内是投标人的控股股东或者实际控制人；</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（4）与投标人的法定代表人或者负责人有夫妻、直系血亲、三代以内旁系血亲或者近姻亲关系；</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（5）与投标人有其他可能影响政府采购活动公平、公正进行的关系。</w:t>
      </w:r>
    </w:p>
    <w:p>
      <w:pPr>
        <w:pStyle w:val="null3"/>
        <w:widowControl w:val="0"/>
        <w:spacing w:line="440" w:lineRule="exact"/>
        <w:ind w:firstLine="420" w:firstLineChars="200"/>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jc w:val="left"/>
        <w:rPr>
          <w:color w:val="auto"/>
          <w:highlight w:val="none"/>
        </w:rPr>
      </w:pPr>
      <w:r>
        <w:rPr>
          <w:rFonts w:hint="eastAsia"/>
          <w:color w:val="auto"/>
          <w:highlight w:val="none"/>
          <w:lang w:val="en-US" w:eastAsia="zh-CN"/>
        </w:rPr>
        <w:t xml:space="preserve">    </w:t>
      </w:r>
      <w:r>
        <w:rPr>
          <w:rFonts w:hint="eastAsia"/>
          <w:color w:val="auto"/>
          <w:highlight w:val="none"/>
        </w:rPr>
        <w:t>14.7 对线上采购项目，采购人或者采购代理机构将在</w:t>
      </w:r>
      <w:r>
        <w:rPr>
          <w:rFonts w:hint="eastAsia"/>
          <w:b/>
          <w:color w:val="auto"/>
          <w:highlight w:val="none"/>
        </w:rPr>
        <w:t>投标人须知前附表</w:t>
      </w:r>
      <w:r>
        <w:rPr>
          <w:rFonts w:hint="eastAsia"/>
          <w:color w:val="auto"/>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jc w:val="left"/>
        <w:rPr>
          <w:color w:val="auto"/>
          <w:highlight w:val="none"/>
        </w:rPr>
      </w:pPr>
      <w:r>
        <w:rPr>
          <w:rFonts w:hint="eastAsia"/>
          <w:color w:val="auto"/>
          <w:highlight w:val="none"/>
        </w:rPr>
        <w:t>15．投标资格审查</w:t>
      </w:r>
    </w:p>
    <w:p>
      <w:pPr>
        <w:ind w:firstLine="420" w:firstLineChars="200"/>
        <w:jc w:val="left"/>
        <w:rPr>
          <w:color w:val="auto"/>
          <w:highlight w:val="none"/>
        </w:rPr>
      </w:pPr>
      <w:r>
        <w:rPr>
          <w:rFonts w:hint="eastAsia"/>
          <w:color w:val="auto"/>
          <w:highlight w:val="none"/>
        </w:rPr>
        <w:t>15.1 公开招标采购项目开标结束后，由采购人或者采购代理机构依法对投标人的资格进行审查，以确定投标人是否具备投标资格。</w:t>
      </w:r>
    </w:p>
    <w:p>
      <w:pPr>
        <w:ind w:firstLine="420" w:firstLineChars="200"/>
        <w:jc w:val="left"/>
        <w:rPr>
          <w:color w:val="auto"/>
          <w:highlight w:val="none"/>
        </w:rPr>
      </w:pPr>
      <w:r>
        <w:rPr>
          <w:rFonts w:hint="eastAsia"/>
          <w:color w:val="auto"/>
          <w:highlight w:val="none"/>
        </w:rPr>
        <w:t>15.1.1 审查投标人按照8.2.1提交的</w:t>
      </w:r>
      <w:r>
        <w:rPr>
          <w:rFonts w:hint="eastAsia"/>
          <w:b/>
          <w:color w:val="auto"/>
          <w:highlight w:val="none"/>
        </w:rPr>
        <w:t>“资格证明文件”</w:t>
      </w:r>
      <w:r>
        <w:rPr>
          <w:rFonts w:hint="eastAsia"/>
          <w:color w:val="auto"/>
          <w:highlight w:val="none"/>
        </w:rPr>
        <w:t>。</w:t>
      </w:r>
    </w:p>
    <w:p>
      <w:pPr>
        <w:ind w:firstLine="420" w:firstLineChars="200"/>
        <w:jc w:val="left"/>
        <w:rPr>
          <w:b/>
          <w:color w:val="auto"/>
          <w:highlight w:val="none"/>
        </w:rPr>
      </w:pPr>
      <w:r>
        <w:rPr>
          <w:rFonts w:hint="eastAsia"/>
          <w:color w:val="auto"/>
          <w:highlight w:val="none"/>
        </w:rPr>
        <w:t>15.1.2 信用记录审查。</w:t>
      </w:r>
      <w:r>
        <w:rPr>
          <w:rFonts w:hint="eastAsia"/>
          <w:b/>
          <w:color w:val="auto"/>
          <w:highlight w:val="none"/>
        </w:rPr>
        <w:t>见投标人须知前附表。</w:t>
      </w:r>
    </w:p>
    <w:p>
      <w:pPr>
        <w:ind w:firstLine="420" w:firstLineChars="200"/>
        <w:jc w:val="left"/>
        <w:rPr>
          <w:color w:val="auto"/>
          <w:highlight w:val="none"/>
        </w:rPr>
      </w:pPr>
      <w:r>
        <w:rPr>
          <w:rFonts w:hint="eastAsia"/>
          <w:color w:val="auto"/>
          <w:highlight w:val="none"/>
        </w:rPr>
        <w:t>15.2 未通过资格审查的投标人，其投标无效。</w:t>
      </w:r>
    </w:p>
    <w:p>
      <w:pPr>
        <w:ind w:firstLine="420" w:firstLineChars="200"/>
        <w:jc w:val="left"/>
        <w:rPr>
          <w:color w:val="auto"/>
          <w:highlight w:val="none"/>
        </w:rPr>
      </w:pPr>
      <w:r>
        <w:rPr>
          <w:rFonts w:hint="eastAsia"/>
          <w:color w:val="auto"/>
          <w:highlight w:val="none"/>
        </w:rPr>
        <w:t>15.3 合格投标人不足3家的，不得评标。</w:t>
      </w:r>
    </w:p>
    <w:p>
      <w:pPr>
        <w:jc w:val="left"/>
        <w:rPr>
          <w:color w:val="auto"/>
          <w:highlight w:val="none"/>
        </w:rPr>
      </w:pPr>
      <w:r>
        <w:rPr>
          <w:rFonts w:hint="eastAsia"/>
          <w:color w:val="auto"/>
          <w:highlight w:val="none"/>
        </w:rPr>
        <w:t>16．评标委员会的组成</w:t>
      </w:r>
    </w:p>
    <w:p>
      <w:pPr>
        <w:ind w:firstLine="420" w:firstLineChars="200"/>
        <w:jc w:val="left"/>
        <w:rPr>
          <w:color w:val="auto"/>
          <w:highlight w:val="none"/>
        </w:rPr>
      </w:pPr>
      <w:r>
        <w:rPr>
          <w:rFonts w:hint="eastAsia"/>
          <w:color w:val="auto"/>
          <w:highlight w:val="none"/>
        </w:rPr>
        <w:t>16.1 采购人或者采购代理机构根据有关法律法规规定组建评标委员会，评标委员会由采购人代表和评审专家组成。</w:t>
      </w:r>
    </w:p>
    <w:p>
      <w:pPr>
        <w:jc w:val="left"/>
        <w:rPr>
          <w:color w:val="auto"/>
          <w:highlight w:val="none"/>
        </w:rPr>
      </w:pPr>
      <w:r>
        <w:rPr>
          <w:rFonts w:hint="eastAsia"/>
          <w:color w:val="auto"/>
          <w:highlight w:val="none"/>
        </w:rPr>
        <w:t>17．投标符合性审查</w:t>
      </w:r>
    </w:p>
    <w:p>
      <w:pPr>
        <w:ind w:firstLine="420" w:firstLineChars="200"/>
        <w:jc w:val="left"/>
        <w:rPr>
          <w:color w:val="auto"/>
          <w:highlight w:val="none"/>
        </w:rPr>
      </w:pPr>
      <w:r>
        <w:rPr>
          <w:rFonts w:hint="eastAsia"/>
          <w:color w:val="auto"/>
          <w:highlight w:val="none"/>
        </w:rPr>
        <w:t>17.1 评标委员会对符合资格的投标人的投标文件进行符合性审查，以确定其是否符合招标文件的商务、技术等实质性要求。</w:t>
      </w:r>
    </w:p>
    <w:p>
      <w:pPr>
        <w:ind w:firstLine="420" w:firstLineChars="200"/>
        <w:jc w:val="left"/>
        <w:rPr>
          <w:color w:val="auto"/>
          <w:highlight w:val="none"/>
        </w:rPr>
      </w:pPr>
      <w:r>
        <w:rPr>
          <w:rFonts w:hint="eastAsia"/>
          <w:color w:val="auto"/>
          <w:highlight w:val="none"/>
        </w:rPr>
        <w:t>17.2 未通过符合性审查的投标人，其投标无效。</w:t>
      </w:r>
    </w:p>
    <w:p>
      <w:pPr>
        <w:ind w:firstLine="420" w:firstLineChars="200"/>
        <w:jc w:val="left"/>
        <w:rPr>
          <w:color w:val="auto"/>
          <w:highlight w:val="none"/>
        </w:rPr>
      </w:pPr>
      <w:r>
        <w:rPr>
          <w:rFonts w:hint="eastAsia"/>
          <w:color w:val="auto"/>
          <w:highlight w:val="none"/>
        </w:rPr>
        <w:t>17.3 通过符合性审查的投标人不足3家的，应予以废标。</w:t>
      </w:r>
    </w:p>
    <w:p>
      <w:pPr>
        <w:jc w:val="both"/>
        <w:rPr>
          <w:color w:val="auto"/>
          <w:highlight w:val="none"/>
        </w:rPr>
      </w:pPr>
      <w:r>
        <w:rPr>
          <w:rFonts w:hint="eastAsia"/>
          <w:color w:val="auto"/>
          <w:highlight w:val="none"/>
        </w:rPr>
        <w:t>18．投标文件的澄清</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18.3关于投标描述（即投标文件中描述的内容）</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（1）投标描述前后不一致且不涉及证明材料的：按照本节第18.1条规定执行。</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（2）投标描述与证明材料不一致或多份证明材料之间不一致的：</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①评标委员会将要求投标人进行书面澄清，无法澄清的将按照不利于投标人的内容进行评标。</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ind w:firstLine="420" w:firstLineChars="200"/>
        <w:jc w:val="left"/>
        <w:rPr>
          <w:color w:val="auto"/>
          <w:highlight w:val="none"/>
        </w:rPr>
      </w:pPr>
      <w:r>
        <w:rPr>
          <w:rFonts w:hint="eastAsia"/>
          <w:color w:val="auto"/>
          <w:highlight w:val="none"/>
        </w:rPr>
        <w:t>18.4 除评标委员会要求投标人做出的澄清、说明或者补正以外，评标委员会不接受投标人的任何询问、说明、更改及文件。</w:t>
      </w:r>
    </w:p>
    <w:p>
      <w:pPr>
        <w:ind w:firstLine="420" w:firstLineChars="200"/>
        <w:jc w:val="left"/>
        <w:rPr>
          <w:color w:val="auto"/>
          <w:highlight w:val="none"/>
        </w:rPr>
      </w:pPr>
      <w:r>
        <w:rPr>
          <w:rFonts w:hint="eastAsia"/>
          <w:color w:val="auto"/>
          <w:highlight w:val="none"/>
        </w:rPr>
        <w:t>18.5 投标人的澄清必须在规定的时间内提交。</w:t>
      </w:r>
    </w:p>
    <w:p>
      <w:pPr>
        <w:jc w:val="left"/>
        <w:rPr>
          <w:color w:val="auto"/>
          <w:highlight w:val="none"/>
        </w:rPr>
      </w:pPr>
      <w:r>
        <w:rPr>
          <w:rFonts w:hint="eastAsia"/>
          <w:color w:val="auto"/>
          <w:highlight w:val="none"/>
        </w:rPr>
        <w:t>19．核价原则</w:t>
      </w:r>
    </w:p>
    <w:p>
      <w:pPr>
        <w:ind w:firstLine="420" w:firstLineChars="200"/>
        <w:jc w:val="left"/>
        <w:rPr>
          <w:color w:val="auto"/>
          <w:highlight w:val="none"/>
        </w:rPr>
      </w:pPr>
      <w:r>
        <w:rPr>
          <w:rFonts w:hint="eastAsia"/>
          <w:color w:val="auto"/>
          <w:highlight w:val="none"/>
        </w:rPr>
        <w:t>19.1 投标文件报价出现前后不一致的，除招标文件另有规定外，按照下列规定修正：</w:t>
      </w:r>
    </w:p>
    <w:p>
      <w:pPr>
        <w:ind w:firstLine="420" w:firstLineChars="200"/>
        <w:jc w:val="left"/>
        <w:rPr>
          <w:color w:val="auto"/>
          <w:highlight w:val="none"/>
        </w:rPr>
      </w:pPr>
      <w:r>
        <w:rPr>
          <w:rFonts w:hint="eastAsia"/>
          <w:color w:val="auto"/>
          <w:highlight w:val="none"/>
        </w:rPr>
        <w:t>（1）投标文件中开标一览表（总报价表）内容与投标文件中相应内容不一致的，以开标一览表（总报价表）为准；</w:t>
      </w:r>
    </w:p>
    <w:p>
      <w:pPr>
        <w:ind w:firstLine="420" w:firstLineChars="200"/>
        <w:jc w:val="left"/>
        <w:rPr>
          <w:color w:val="auto"/>
          <w:highlight w:val="none"/>
        </w:rPr>
      </w:pPr>
      <w:r>
        <w:rPr>
          <w:rFonts w:hint="eastAsia"/>
          <w:color w:val="auto"/>
          <w:highlight w:val="none"/>
        </w:rPr>
        <w:t>（2）大写金额和小写金额不一致的，以大写金额为准；</w:t>
      </w:r>
    </w:p>
    <w:p>
      <w:pPr>
        <w:ind w:firstLine="420" w:firstLineChars="200"/>
        <w:jc w:val="left"/>
        <w:rPr>
          <w:color w:val="auto"/>
          <w:highlight w:val="none"/>
        </w:rPr>
      </w:pPr>
      <w:r>
        <w:rPr>
          <w:rFonts w:hint="eastAsia"/>
          <w:color w:val="auto"/>
          <w:highlight w:val="none"/>
        </w:rPr>
        <w:t>（3）单价金额小数点或者百分比有明显错位的，以开标一览表的总价为准，并修改单价；</w:t>
      </w:r>
    </w:p>
    <w:p>
      <w:pPr>
        <w:ind w:firstLine="420" w:firstLineChars="200"/>
        <w:jc w:val="left"/>
        <w:rPr>
          <w:color w:val="auto"/>
          <w:highlight w:val="none"/>
        </w:rPr>
      </w:pPr>
      <w:r>
        <w:rPr>
          <w:rFonts w:hint="eastAsia"/>
          <w:color w:val="auto"/>
          <w:highlight w:val="none"/>
        </w:rPr>
        <w:t>（4）总价金额与按单价汇总金额不一致的，以单价金额计算结果为准。</w:t>
      </w:r>
    </w:p>
    <w:p>
      <w:pPr>
        <w:ind w:firstLine="420" w:firstLineChars="200"/>
        <w:jc w:val="left"/>
        <w:rPr>
          <w:color w:val="auto"/>
          <w:highlight w:val="none"/>
        </w:rPr>
      </w:pPr>
      <w:r>
        <w:rPr>
          <w:rFonts w:hint="eastAsia"/>
          <w:color w:val="auto"/>
          <w:highlight w:val="none"/>
        </w:rPr>
        <w:t>（5）同时出现两种以上不一致的，按照前款规定的顺序修正。修正后的报价按照18.2条的规定经投标人确认后产生约束力，投标人不确认的，其投标无效。</w:t>
      </w:r>
    </w:p>
    <w:p>
      <w:pPr>
        <w:jc w:val="left"/>
        <w:rPr>
          <w:color w:val="auto"/>
          <w:highlight w:val="none"/>
        </w:rPr>
      </w:pPr>
      <w:r>
        <w:rPr>
          <w:rFonts w:hint="eastAsia"/>
          <w:color w:val="auto"/>
          <w:highlight w:val="none"/>
        </w:rPr>
        <w:t>20．投标无效</w:t>
      </w:r>
    </w:p>
    <w:p>
      <w:pPr>
        <w:ind w:firstLine="420" w:firstLineChars="200"/>
        <w:jc w:val="left"/>
        <w:rPr>
          <w:color w:val="auto"/>
          <w:highlight w:val="none"/>
        </w:rPr>
      </w:pPr>
      <w:r>
        <w:rPr>
          <w:rFonts w:hint="eastAsia"/>
          <w:color w:val="auto"/>
          <w:highlight w:val="none"/>
        </w:rPr>
        <w:t>20.1 投标人及投标文件有下列情况之一的，应当在资格审查时按照投标无效处理：</w:t>
      </w:r>
    </w:p>
    <w:p>
      <w:pPr>
        <w:ind w:firstLine="420" w:firstLineChars="200"/>
        <w:jc w:val="left"/>
        <w:rPr>
          <w:color w:val="auto"/>
          <w:highlight w:val="none"/>
        </w:rPr>
      </w:pPr>
      <w:r>
        <w:rPr>
          <w:rFonts w:hint="eastAsia"/>
          <w:color w:val="auto"/>
          <w:highlight w:val="none"/>
        </w:rPr>
        <w:t>（1） 不具备招标文件中规定的资格要求的；</w:t>
      </w:r>
    </w:p>
    <w:p>
      <w:pPr>
        <w:ind w:firstLine="420" w:firstLineChars="200"/>
        <w:jc w:val="left"/>
        <w:rPr>
          <w:color w:val="auto"/>
          <w:highlight w:val="none"/>
        </w:rPr>
      </w:pPr>
      <w:r>
        <w:rPr>
          <w:rFonts w:hint="eastAsia"/>
          <w:color w:val="auto"/>
          <w:highlight w:val="none"/>
        </w:rPr>
        <w:t>（2） 投标文件组成中“资格证明文件”未提供或无效的；</w:t>
      </w:r>
    </w:p>
    <w:p>
      <w:pPr>
        <w:ind w:firstLine="420" w:firstLineChars="200"/>
        <w:jc w:val="left"/>
        <w:rPr>
          <w:color w:val="auto"/>
          <w:highlight w:val="none"/>
        </w:rPr>
      </w:pPr>
      <w:r>
        <w:rPr>
          <w:rFonts w:hint="eastAsia"/>
          <w:color w:val="auto"/>
          <w:highlight w:val="none"/>
        </w:rPr>
        <w:t>（3） 未通过信用记录审查或未提供相关证明材料的。</w:t>
      </w:r>
    </w:p>
    <w:p>
      <w:pPr>
        <w:ind w:firstLine="420" w:firstLineChars="200"/>
        <w:jc w:val="left"/>
        <w:rPr>
          <w:color w:val="auto"/>
          <w:highlight w:val="none"/>
        </w:rPr>
      </w:pPr>
      <w:r>
        <w:rPr>
          <w:rFonts w:hint="eastAsia"/>
          <w:color w:val="auto"/>
          <w:highlight w:val="none"/>
        </w:rPr>
        <w:t>20.2 投标人及投标文件有下列情况之一的，应当在符合性审查时按照投标无效处理：</w:t>
      </w:r>
    </w:p>
    <w:p>
      <w:pPr>
        <w:ind w:firstLine="420" w:firstLineChars="200"/>
        <w:jc w:val="left"/>
        <w:rPr>
          <w:color w:val="auto"/>
          <w:highlight w:val="none"/>
        </w:rPr>
      </w:pPr>
      <w:r>
        <w:rPr>
          <w:rFonts w:hint="eastAsia"/>
          <w:color w:val="auto"/>
          <w:highlight w:val="none"/>
        </w:rPr>
        <w:t>（1） 投标文件组成中除“资格证明文件”外，★条款相关文件及资料未提供或提供无效的；</w:t>
      </w:r>
    </w:p>
    <w:p>
      <w:pPr>
        <w:ind w:firstLine="420" w:firstLineChars="200"/>
        <w:jc w:val="left"/>
        <w:rPr>
          <w:color w:val="auto"/>
          <w:highlight w:val="none"/>
        </w:rPr>
      </w:pPr>
      <w:r>
        <w:rPr>
          <w:rFonts w:hint="eastAsia"/>
          <w:color w:val="auto"/>
          <w:highlight w:val="none"/>
        </w:rPr>
        <w:t>（2） 投标文件未按招标文件要求签署、盖章的；</w:t>
      </w:r>
    </w:p>
    <w:p>
      <w:pPr>
        <w:ind w:firstLine="420" w:firstLineChars="200"/>
        <w:jc w:val="left"/>
        <w:rPr>
          <w:color w:val="auto"/>
          <w:highlight w:val="none"/>
        </w:rPr>
      </w:pPr>
      <w:r>
        <w:rPr>
          <w:rFonts w:hint="eastAsia"/>
          <w:color w:val="auto"/>
          <w:highlight w:val="none"/>
        </w:rPr>
        <w:t>（3） 投标报价超过招标文件中规定的预算金额或者最高限价的；</w:t>
      </w:r>
    </w:p>
    <w:p>
      <w:pPr>
        <w:ind w:firstLine="420" w:firstLineChars="200"/>
        <w:jc w:val="left"/>
        <w:rPr>
          <w:color w:val="auto"/>
          <w:highlight w:val="none"/>
        </w:rPr>
      </w:pPr>
      <w:r>
        <w:rPr>
          <w:rFonts w:hint="eastAsia"/>
          <w:color w:val="auto"/>
          <w:highlight w:val="none"/>
        </w:rPr>
        <w:t>（4） 投标有效期不足的；</w:t>
      </w:r>
    </w:p>
    <w:p>
      <w:pPr>
        <w:ind w:firstLine="420" w:firstLineChars="200"/>
        <w:jc w:val="left"/>
        <w:rPr>
          <w:color w:val="auto"/>
          <w:highlight w:val="none"/>
        </w:rPr>
      </w:pPr>
      <w:r>
        <w:rPr>
          <w:rFonts w:hint="eastAsia"/>
          <w:color w:val="auto"/>
          <w:highlight w:val="none"/>
        </w:rPr>
        <w:t>（5） 投标文件含有采购人不能接受的附加条件的；</w:t>
      </w:r>
    </w:p>
    <w:p>
      <w:pPr>
        <w:ind w:firstLine="420" w:firstLineChars="200"/>
        <w:jc w:val="left"/>
        <w:rPr>
          <w:color w:val="auto"/>
          <w:highlight w:val="none"/>
        </w:rPr>
      </w:pPr>
      <w:r>
        <w:rPr>
          <w:rFonts w:hint="eastAsia"/>
          <w:color w:val="auto"/>
          <w:highlight w:val="none"/>
        </w:rPr>
        <w:t>20.3 除20.1及20.2情形外，投标人及投标文件有下列情况之一的，应当按照投标无效处理：</w:t>
      </w:r>
    </w:p>
    <w:p>
      <w:pPr>
        <w:ind w:firstLine="420" w:firstLineChars="200"/>
        <w:jc w:val="left"/>
        <w:rPr>
          <w:color w:val="auto"/>
          <w:highlight w:val="none"/>
        </w:rPr>
      </w:pPr>
      <w:r>
        <w:rPr>
          <w:rFonts w:hint="eastAsia"/>
          <w:color w:val="auto"/>
          <w:highlight w:val="none"/>
        </w:rPr>
        <w:t>（1） 提供虚假投标文件材料的；</w:t>
      </w:r>
    </w:p>
    <w:p>
      <w:pPr>
        <w:ind w:firstLine="420" w:firstLineChars="200"/>
        <w:jc w:val="left"/>
        <w:rPr>
          <w:color w:val="auto"/>
          <w:highlight w:val="none"/>
        </w:rPr>
      </w:pPr>
      <w:r>
        <w:rPr>
          <w:rFonts w:hint="eastAsia"/>
          <w:color w:val="auto"/>
          <w:highlight w:val="none"/>
        </w:rPr>
        <w:t>（2） 投标人串通投标的；</w:t>
      </w:r>
    </w:p>
    <w:p>
      <w:pPr>
        <w:ind w:firstLine="420" w:firstLineChars="200"/>
        <w:jc w:val="left"/>
        <w:rPr>
          <w:color w:val="auto"/>
          <w:highlight w:val="none"/>
        </w:rPr>
      </w:pPr>
      <w:r>
        <w:rPr>
          <w:rFonts w:hint="eastAsia"/>
          <w:color w:val="auto"/>
          <w:highlight w:val="none"/>
        </w:rPr>
        <w:t>（3） 投标报价明显低于其他通过符合性审查投标人的报价，且不能证明其报价合理性的。</w:t>
      </w:r>
    </w:p>
    <w:p>
      <w:pPr>
        <w:ind w:firstLine="420" w:firstLineChars="200"/>
        <w:jc w:val="left"/>
        <w:rPr>
          <w:color w:val="auto"/>
          <w:highlight w:val="none"/>
        </w:rPr>
      </w:pPr>
      <w:r>
        <w:rPr>
          <w:rFonts w:hint="eastAsia"/>
          <w:color w:val="auto"/>
          <w:highlight w:val="none"/>
        </w:rPr>
        <w:t>（4） 法律、法规和招标文件规定的其他无效情形。</w:t>
      </w:r>
    </w:p>
    <w:p>
      <w:pPr>
        <w:jc w:val="left"/>
        <w:rPr>
          <w:color w:val="auto"/>
          <w:highlight w:val="none"/>
        </w:rPr>
      </w:pPr>
      <w:r>
        <w:rPr>
          <w:rFonts w:hint="eastAsia"/>
          <w:color w:val="auto"/>
          <w:highlight w:val="none"/>
        </w:rPr>
        <w:t>21．比较与评价</w:t>
      </w:r>
    </w:p>
    <w:p>
      <w:pPr>
        <w:ind w:firstLine="420" w:firstLineChars="200"/>
        <w:jc w:val="left"/>
        <w:rPr>
          <w:color w:val="auto"/>
          <w:highlight w:val="none"/>
        </w:rPr>
      </w:pPr>
      <w:r>
        <w:rPr>
          <w:rFonts w:hint="eastAsia"/>
          <w:color w:val="auto"/>
          <w:highlight w:val="none"/>
        </w:rPr>
        <w:t>21.1 评标委员会按照招标文件中规定的评标方法和标准，对符合性审查合格的投标文件进行商务和技术评估，综合比较与评价。</w:t>
      </w:r>
    </w:p>
    <w:p>
      <w:pPr>
        <w:ind w:firstLine="420" w:firstLineChars="200"/>
        <w:jc w:val="left"/>
        <w:rPr>
          <w:color w:val="auto"/>
          <w:highlight w:val="none"/>
        </w:rPr>
      </w:pPr>
      <w:r>
        <w:rPr>
          <w:rFonts w:hint="eastAsia"/>
          <w:color w:val="auto"/>
          <w:highlight w:val="none"/>
        </w:rPr>
        <w:t>21.2 价格分应当采用低价优先法计算。小型、微型企业和监狱企业、残疾人福利性单位的投标报价按照</w:t>
      </w:r>
      <w:r>
        <w:rPr>
          <w:rFonts w:hint="eastAsia"/>
          <w:b/>
          <w:color w:val="auto"/>
          <w:highlight w:val="none"/>
        </w:rPr>
        <w:t>投标人须知前附表</w:t>
      </w:r>
      <w:r>
        <w:rPr>
          <w:rFonts w:hint="eastAsia"/>
          <w:color w:val="auto"/>
          <w:highlight w:val="none"/>
        </w:rPr>
        <w:t>规定，分别给予扣除，并以扣除后的报价计算价格分。未提供《中小型企业声明函》、《监狱企业证明文件》、《残疾人福利性单位声明函》的，价格不予扣除。同一投标人不得重复享受价格扣除政策。</w:t>
      </w:r>
    </w:p>
    <w:p>
      <w:pPr>
        <w:ind w:firstLine="420" w:firstLineChars="200"/>
        <w:jc w:val="left"/>
        <w:rPr>
          <w:color w:val="auto"/>
          <w:highlight w:val="none"/>
        </w:rPr>
      </w:pPr>
      <w:r>
        <w:rPr>
          <w:rFonts w:hint="eastAsia"/>
          <w:color w:val="auto"/>
          <w:highlight w:val="none"/>
        </w:rPr>
        <w:t>21.3 评标委员会各成员独立对每个投标人的投标文件进行评价，并汇总得出每个投标人的评审得分。</w:t>
      </w:r>
    </w:p>
    <w:p>
      <w:pPr>
        <w:ind w:firstLine="420" w:firstLineChars="200"/>
        <w:jc w:val="left"/>
        <w:rPr>
          <w:color w:val="auto"/>
          <w:highlight w:val="none"/>
        </w:rPr>
      </w:pPr>
      <w:r>
        <w:rPr>
          <w:rFonts w:hint="eastAsia"/>
          <w:color w:val="auto"/>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20" w:firstLineChars="200"/>
        <w:jc w:val="left"/>
        <w:rPr>
          <w:color w:val="auto"/>
          <w:highlight w:val="none"/>
        </w:rPr>
      </w:pPr>
      <w:r>
        <w:rPr>
          <w:rFonts w:hint="eastAsia"/>
          <w:color w:val="auto"/>
          <w:highlight w:val="none"/>
        </w:rPr>
        <w:t>21.5 评标方法及标准详见招标文件商务部分第三章。</w:t>
      </w:r>
    </w:p>
    <w:p>
      <w:pPr>
        <w:ind w:firstLine="420" w:firstLineChars="200"/>
        <w:jc w:val="left"/>
        <w:rPr>
          <w:color w:val="auto"/>
          <w:highlight w:val="none"/>
        </w:rPr>
      </w:pPr>
      <w:r>
        <w:rPr>
          <w:rFonts w:hint="eastAsia"/>
          <w:color w:val="auto"/>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jc w:val="left"/>
        <w:rPr>
          <w:color w:val="auto"/>
          <w:highlight w:val="none"/>
        </w:rPr>
      </w:pPr>
      <w:r>
        <w:rPr>
          <w:rFonts w:hint="eastAsia"/>
          <w:color w:val="auto"/>
          <w:highlight w:val="none"/>
        </w:rPr>
        <w:t>22．废标</w:t>
      </w:r>
    </w:p>
    <w:p>
      <w:pPr>
        <w:ind w:firstLine="420" w:firstLineChars="200"/>
        <w:jc w:val="left"/>
        <w:rPr>
          <w:color w:val="auto"/>
          <w:highlight w:val="none"/>
        </w:rPr>
      </w:pPr>
      <w:r>
        <w:rPr>
          <w:rFonts w:hint="eastAsia"/>
          <w:color w:val="auto"/>
          <w:highlight w:val="none"/>
        </w:rPr>
        <w:t>22.1 在招标采购中，出现下列情形之一的，应予废标：</w:t>
      </w:r>
    </w:p>
    <w:p>
      <w:pPr>
        <w:ind w:firstLine="420" w:firstLineChars="200"/>
        <w:jc w:val="left"/>
        <w:rPr>
          <w:color w:val="auto"/>
          <w:highlight w:val="none"/>
        </w:rPr>
      </w:pPr>
      <w:r>
        <w:rPr>
          <w:rFonts w:hint="eastAsia"/>
          <w:color w:val="auto"/>
          <w:highlight w:val="none"/>
        </w:rPr>
        <w:t>（1）符合专业条件的供应商或者对招标文件作实质响应的供应商不足三家的；</w:t>
      </w:r>
    </w:p>
    <w:p>
      <w:pPr>
        <w:ind w:firstLine="420" w:firstLineChars="200"/>
        <w:jc w:val="left"/>
        <w:rPr>
          <w:color w:val="auto"/>
          <w:highlight w:val="none"/>
        </w:rPr>
      </w:pPr>
      <w:r>
        <w:rPr>
          <w:rFonts w:hint="eastAsia"/>
          <w:color w:val="auto"/>
          <w:highlight w:val="none"/>
        </w:rPr>
        <w:t>（2）出现影响采购公正的违法、违规行为的；</w:t>
      </w:r>
    </w:p>
    <w:p>
      <w:pPr>
        <w:ind w:firstLine="420" w:firstLineChars="200"/>
        <w:jc w:val="left"/>
        <w:rPr>
          <w:color w:val="auto"/>
          <w:highlight w:val="none"/>
        </w:rPr>
      </w:pPr>
      <w:r>
        <w:rPr>
          <w:rFonts w:hint="eastAsia"/>
          <w:color w:val="auto"/>
          <w:highlight w:val="none"/>
        </w:rPr>
        <w:t>（3）投标人的报价均超过了采购预算，采购人不能支付的；</w:t>
      </w:r>
    </w:p>
    <w:p>
      <w:pPr>
        <w:ind w:firstLine="420" w:firstLineChars="200"/>
        <w:jc w:val="left"/>
        <w:rPr>
          <w:color w:val="auto"/>
          <w:highlight w:val="none"/>
        </w:rPr>
      </w:pPr>
      <w:r>
        <w:rPr>
          <w:rFonts w:hint="eastAsia"/>
          <w:color w:val="auto"/>
          <w:highlight w:val="none"/>
        </w:rPr>
        <w:t>（4）因重大变故，采购任务取消的。</w:t>
      </w:r>
    </w:p>
    <w:p>
      <w:pPr>
        <w:ind w:firstLine="420" w:firstLineChars="200"/>
        <w:jc w:val="left"/>
        <w:rPr>
          <w:color w:val="auto"/>
          <w:highlight w:val="none"/>
        </w:rPr>
      </w:pPr>
      <w:r>
        <w:rPr>
          <w:rFonts w:hint="eastAsia"/>
          <w:color w:val="auto"/>
          <w:highlight w:val="none"/>
        </w:rPr>
        <w:t>22.2 废标后，采购人或者采购代理机构将废标理由通知所有投标人。</w:t>
      </w:r>
    </w:p>
    <w:p>
      <w:pPr>
        <w:pStyle w:val="Heading2"/>
        <w:rPr>
          <w:rFonts w:asciiTheme="minorEastAsia" w:eastAsiaTheme="minorEastAsia" w:hAnsiTheme="minorEastAsia"/>
          <w:color w:val="auto"/>
          <w:szCs w:val="21"/>
          <w:highlight w:val="none"/>
        </w:rPr>
      </w:pPr>
      <w:r>
        <w:rPr>
          <w:rFonts w:hint="eastAsia"/>
          <w:color w:val="auto"/>
          <w:highlight w:val="none"/>
        </w:rPr>
        <w:t>六、中标和合同</w:t>
      </w:r>
    </w:p>
    <w:p>
      <w:pPr>
        <w:jc w:val="left"/>
        <w:rPr>
          <w:color w:val="auto"/>
          <w:highlight w:val="none"/>
        </w:rPr>
      </w:pPr>
      <w:r>
        <w:rPr>
          <w:rFonts w:hint="eastAsia"/>
          <w:color w:val="auto"/>
          <w:highlight w:val="none"/>
        </w:rPr>
        <w:t>23．中标</w:t>
      </w:r>
    </w:p>
    <w:p>
      <w:pPr>
        <w:ind w:firstLine="420" w:firstLineChars="200"/>
        <w:jc w:val="left"/>
        <w:rPr>
          <w:color w:val="auto"/>
          <w:highlight w:val="none"/>
        </w:rPr>
      </w:pPr>
      <w:r>
        <w:rPr>
          <w:rFonts w:hint="eastAsia"/>
          <w:color w:val="auto"/>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ind w:firstLine="420" w:firstLineChars="200"/>
        <w:jc w:val="left"/>
        <w:rPr>
          <w:color w:val="auto"/>
          <w:highlight w:val="none"/>
        </w:rPr>
      </w:pPr>
      <w:r>
        <w:rPr>
          <w:rFonts w:hint="eastAsia"/>
          <w:color w:val="auto"/>
          <w:highlight w:val="none"/>
        </w:rPr>
        <w:t>采购人自行组织招标的，采购人应当在评标结束后5个工作日内，按评标报告推荐的中标候选人顺序确定中标人。</w:t>
      </w:r>
    </w:p>
    <w:p>
      <w:pPr>
        <w:ind w:firstLine="420" w:firstLineChars="200"/>
        <w:jc w:val="left"/>
        <w:rPr>
          <w:color w:val="auto"/>
          <w:highlight w:val="none"/>
        </w:rPr>
      </w:pPr>
      <w:r>
        <w:rPr>
          <w:rFonts w:hint="eastAsia"/>
          <w:color w:val="auto"/>
          <w:highlight w:val="none"/>
        </w:rPr>
        <w:t>23.2 采购人或者采购代理机构应当自中标人确定之日起2个工作日内，在</w:t>
      </w:r>
      <w:r>
        <w:rPr>
          <w:rFonts w:hint="eastAsia"/>
          <w:b/>
          <w:color w:val="auto"/>
          <w:highlight w:val="none"/>
        </w:rPr>
        <w:t>投标人须知前附表</w:t>
      </w:r>
      <w:r>
        <w:rPr>
          <w:rFonts w:hint="eastAsia"/>
          <w:color w:val="auto"/>
          <w:highlight w:val="none"/>
        </w:rPr>
        <w:t>规定的媒体上公告中标结果，招标文件应随中标结果同时公告。中标公告期限为1个工作日。</w:t>
      </w:r>
    </w:p>
    <w:p>
      <w:pPr>
        <w:ind w:firstLine="420" w:firstLineChars="200"/>
        <w:jc w:val="left"/>
        <w:rPr>
          <w:color w:val="auto"/>
          <w:highlight w:val="none"/>
        </w:rPr>
      </w:pPr>
      <w:r>
        <w:rPr>
          <w:rFonts w:hint="eastAsia"/>
          <w:color w:val="auto"/>
          <w:highlight w:val="none"/>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ind w:firstLine="420" w:firstLineChars="200"/>
        <w:jc w:val="left"/>
        <w:rPr>
          <w:color w:val="auto"/>
          <w:highlight w:val="none"/>
        </w:rPr>
      </w:pPr>
      <w:r>
        <w:rPr>
          <w:rFonts w:hint="eastAsia"/>
          <w:color w:val="auto"/>
          <w:highlight w:val="none"/>
        </w:rPr>
        <w:t>23.4 中标通知书发出后，采购人或者采购代理机构不得违法改变中标结果，中标人无正当理由不得放弃中标。</w:t>
      </w:r>
    </w:p>
    <w:p>
      <w:pPr>
        <w:ind w:firstLine="420" w:firstLineChars="200"/>
        <w:jc w:val="left"/>
        <w:rPr>
          <w:color w:val="auto"/>
          <w:highlight w:val="none"/>
        </w:rPr>
      </w:pPr>
      <w:r>
        <w:rPr>
          <w:rFonts w:hint="eastAsia"/>
          <w:color w:val="auto"/>
          <w:highlight w:val="none"/>
        </w:rPr>
        <w:t>23.5 中标通知书对采购人和中标人具有同等法律效力。</w:t>
      </w:r>
    </w:p>
    <w:p>
      <w:pPr>
        <w:jc w:val="left"/>
        <w:rPr>
          <w:color w:val="auto"/>
          <w:highlight w:val="none"/>
        </w:rPr>
      </w:pPr>
      <w:r>
        <w:rPr>
          <w:rFonts w:hint="eastAsia"/>
          <w:color w:val="auto"/>
          <w:highlight w:val="none"/>
        </w:rPr>
        <w:t>24．签订合同</w:t>
      </w:r>
    </w:p>
    <w:p>
      <w:pPr>
        <w:ind w:firstLine="420" w:firstLineChars="200"/>
        <w:jc w:val="left"/>
        <w:rPr>
          <w:color w:val="auto"/>
          <w:highlight w:val="none"/>
        </w:rPr>
      </w:pPr>
      <w:r>
        <w:rPr>
          <w:rFonts w:hint="eastAsia"/>
          <w:color w:val="auto"/>
          <w:highlight w:val="none"/>
        </w:rPr>
        <w:t>24.1 采购人应当自中标通知书发出之日起30日内，按照招标文件和中标人投标文件的规定，与中标人签订合同。</w:t>
      </w:r>
      <w:r>
        <w:rPr>
          <w:rFonts w:hint="eastAsia"/>
          <w:color w:val="auto"/>
          <w:highlight w:val="none"/>
          <w:u w:val="single"/>
        </w:rPr>
        <w:t>线上采购项目可通过评审管理系统签订合同</w:t>
      </w:r>
      <w:r>
        <w:rPr>
          <w:rFonts w:hint="eastAsia"/>
          <w:color w:val="auto"/>
          <w:highlight w:val="none"/>
        </w:rPr>
        <w:t>。</w:t>
      </w:r>
    </w:p>
    <w:p>
      <w:pPr>
        <w:ind w:firstLine="420" w:firstLineChars="200"/>
        <w:jc w:val="left"/>
        <w:rPr>
          <w:color w:val="auto"/>
          <w:highlight w:val="none"/>
        </w:rPr>
      </w:pPr>
      <w:r>
        <w:rPr>
          <w:rFonts w:hint="eastAsia"/>
          <w:color w:val="auto"/>
          <w:highlight w:val="none"/>
        </w:rPr>
        <w:t>24.2 所签订的合同不得对招标文件确定的事项和中标人投标文件作实质性修改。</w:t>
      </w:r>
    </w:p>
    <w:p>
      <w:pPr>
        <w:ind w:firstLine="420" w:firstLineChars="200"/>
        <w:jc w:val="left"/>
        <w:rPr>
          <w:color w:val="auto"/>
          <w:highlight w:val="none"/>
        </w:rPr>
      </w:pPr>
      <w:r>
        <w:rPr>
          <w:rFonts w:hint="eastAsia"/>
          <w:color w:val="auto"/>
          <w:highlight w:val="none"/>
        </w:rPr>
        <w:t>24.3 采购人不得向中标人提出任何不合理的要求作为签订合同的条件。</w:t>
      </w:r>
    </w:p>
    <w:p>
      <w:pPr>
        <w:ind w:firstLine="420" w:firstLineChars="200"/>
        <w:jc w:val="left"/>
        <w:rPr>
          <w:color w:val="auto"/>
          <w:highlight w:val="none"/>
        </w:rPr>
      </w:pPr>
      <w:r>
        <w:rPr>
          <w:rFonts w:hint="eastAsia"/>
          <w:color w:val="auto"/>
          <w:highlight w:val="none"/>
        </w:rPr>
        <w:t>24.4 中标人拒绝与采购人签订合同的，采购人可以按照评审报告推荐的中标候选人名单排序，确定下一候选人为中标人，也可以重新开展政府采购活动。</w:t>
      </w:r>
    </w:p>
    <w:p>
      <w:pPr>
        <w:jc w:val="left"/>
        <w:rPr>
          <w:color w:val="auto"/>
          <w:highlight w:val="none"/>
        </w:rPr>
      </w:pPr>
      <w:r>
        <w:rPr>
          <w:rFonts w:hint="eastAsia"/>
          <w:color w:val="auto"/>
          <w:highlight w:val="none"/>
        </w:rPr>
        <w:t>25．履约保证金</w:t>
      </w:r>
    </w:p>
    <w:p>
      <w:pPr>
        <w:ind w:firstLine="420" w:firstLineChars="200"/>
        <w:jc w:val="left"/>
        <w:rPr>
          <w:color w:val="auto"/>
          <w:highlight w:val="none"/>
        </w:rPr>
      </w:pPr>
      <w:r>
        <w:rPr>
          <w:rFonts w:hint="eastAsia"/>
          <w:color w:val="auto"/>
          <w:highlight w:val="none"/>
        </w:rPr>
        <w:t>25.1 需提交履约保证金的项目，中标人应按照</w:t>
      </w:r>
      <w:r>
        <w:rPr>
          <w:rFonts w:hint="eastAsia"/>
          <w:b/>
          <w:color w:val="auto"/>
          <w:highlight w:val="none"/>
        </w:rPr>
        <w:t>投标人须知前附表</w:t>
      </w:r>
      <w:r>
        <w:rPr>
          <w:rFonts w:hint="eastAsia"/>
          <w:color w:val="auto"/>
          <w:highlight w:val="none"/>
        </w:rPr>
        <w:t>的规定，向采购人提交履约保证金。</w:t>
      </w:r>
    </w:p>
    <w:p>
      <w:pPr>
        <w:pStyle w:val="Heading2"/>
        <w:ind w:left="0" w:firstLine="0" w:leftChars="0" w:firstLineChars="0"/>
        <w:jc w:val="center"/>
        <w:rPr>
          <w:rFonts w:asciiTheme="minorEastAsia" w:eastAsiaTheme="minorEastAsia" w:hAnsiTheme="minorEastAsia"/>
          <w:color w:val="auto"/>
          <w:szCs w:val="21"/>
          <w:highlight w:val="none"/>
        </w:rPr>
      </w:pPr>
      <w:r>
        <w:rPr>
          <w:rFonts w:hint="eastAsia"/>
          <w:color w:val="auto"/>
          <w:highlight w:val="none"/>
        </w:rPr>
        <w:t>七、询问和质疑</w:t>
      </w:r>
    </w:p>
    <w:p>
      <w:pPr>
        <w:jc w:val="left"/>
        <w:rPr>
          <w:color w:val="auto"/>
          <w:highlight w:val="none"/>
        </w:rPr>
      </w:pPr>
      <w:r>
        <w:rPr>
          <w:rFonts w:hint="eastAsia"/>
          <w:color w:val="auto"/>
          <w:highlight w:val="none"/>
        </w:rPr>
        <w:t>26. 询问</w:t>
      </w:r>
    </w:p>
    <w:p>
      <w:pPr>
        <w:ind w:firstLine="420" w:firstLineChars="200"/>
        <w:jc w:val="left"/>
        <w:rPr>
          <w:color w:val="auto"/>
          <w:highlight w:val="none"/>
        </w:rPr>
      </w:pPr>
      <w:r>
        <w:rPr>
          <w:rFonts w:hint="eastAsia"/>
          <w:color w:val="auto"/>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jc w:val="left"/>
        <w:rPr>
          <w:color w:val="auto"/>
          <w:highlight w:val="none"/>
        </w:rPr>
      </w:pPr>
      <w:r>
        <w:rPr>
          <w:rFonts w:hint="eastAsia"/>
          <w:color w:val="auto"/>
          <w:highlight w:val="none"/>
        </w:rPr>
        <w:t>27．质疑</w:t>
      </w:r>
    </w:p>
    <w:p>
      <w:pPr>
        <w:ind w:firstLine="420" w:firstLineChars="200"/>
        <w:jc w:val="left"/>
        <w:rPr>
          <w:color w:val="auto"/>
          <w:highlight w:val="none"/>
        </w:rPr>
      </w:pPr>
      <w:r>
        <w:rPr>
          <w:rFonts w:hint="eastAsia"/>
          <w:color w:val="auto"/>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b/>
          <w:color w:val="auto"/>
          <w:highlight w:val="none"/>
        </w:rPr>
        <w:t>见投标人须知前附表</w:t>
      </w:r>
      <w:r>
        <w:rPr>
          <w:rFonts w:hint="eastAsia"/>
          <w:color w:val="auto"/>
          <w:highlight w:val="none"/>
        </w:rPr>
        <w:t>。</w:t>
      </w:r>
    </w:p>
    <w:p>
      <w:pPr>
        <w:ind w:firstLine="420" w:firstLineChars="200"/>
        <w:jc w:val="left"/>
        <w:rPr>
          <w:color w:val="auto"/>
          <w:highlight w:val="none"/>
        </w:rPr>
      </w:pPr>
      <w:r>
        <w:rPr>
          <w:rFonts w:hint="eastAsia"/>
          <w:color w:val="auto"/>
          <w:highlight w:val="none"/>
        </w:rPr>
        <w:t>27.2在法定质疑期内，针对同一采购程序环节的质疑应一次性提出。</w:t>
      </w:r>
    </w:p>
    <w:p>
      <w:pPr>
        <w:ind w:firstLine="420" w:firstLineChars="200"/>
        <w:jc w:val="left"/>
        <w:rPr>
          <w:color w:val="auto"/>
          <w:highlight w:val="none"/>
        </w:rPr>
      </w:pPr>
      <w:r>
        <w:rPr>
          <w:rFonts w:hint="eastAsia"/>
          <w:color w:val="auto"/>
          <w:highlight w:val="none"/>
        </w:rPr>
        <w:t xml:space="preserve">27.3质疑人应知其权益受到损害之日，是指： </w:t>
      </w:r>
    </w:p>
    <w:p>
      <w:pPr>
        <w:ind w:firstLine="420" w:firstLineChars="200"/>
        <w:jc w:val="left"/>
        <w:rPr>
          <w:color w:val="auto"/>
          <w:highlight w:val="none"/>
        </w:rPr>
      </w:pPr>
      <w:r>
        <w:rPr>
          <w:rFonts w:hint="eastAsia"/>
          <w:color w:val="auto"/>
          <w:highlight w:val="none"/>
        </w:rPr>
        <w:t>（1）对可以质疑的采购文件提出质疑的，为收到采购文件之日或者采购文件公告期限届满之日；</w:t>
      </w:r>
    </w:p>
    <w:p>
      <w:pPr>
        <w:ind w:firstLine="420" w:firstLineChars="200"/>
        <w:jc w:val="left"/>
        <w:rPr>
          <w:color w:val="auto"/>
          <w:highlight w:val="none"/>
        </w:rPr>
      </w:pPr>
      <w:r>
        <w:rPr>
          <w:rFonts w:hint="eastAsia"/>
          <w:color w:val="auto"/>
          <w:highlight w:val="none"/>
        </w:rPr>
        <w:t>（2）对采购过程提出质疑的，为各采购程序环节结束之日；</w:t>
      </w:r>
    </w:p>
    <w:p>
      <w:pPr>
        <w:ind w:firstLine="420" w:firstLineChars="200"/>
        <w:jc w:val="left"/>
        <w:rPr>
          <w:color w:val="auto"/>
          <w:highlight w:val="none"/>
        </w:rPr>
      </w:pPr>
      <w:r>
        <w:rPr>
          <w:rFonts w:hint="eastAsia"/>
          <w:color w:val="auto"/>
          <w:highlight w:val="none"/>
        </w:rPr>
        <w:t>（3）对中标结果提出质疑的，为中标结果公告期限届满之日。</w:t>
      </w:r>
    </w:p>
    <w:p>
      <w:pPr>
        <w:ind w:firstLine="420" w:firstLineChars="200"/>
        <w:jc w:val="left"/>
        <w:rPr>
          <w:color w:val="auto"/>
          <w:highlight w:val="none"/>
        </w:rPr>
      </w:pPr>
      <w:r>
        <w:rPr>
          <w:rFonts w:hint="eastAsia"/>
          <w:color w:val="auto"/>
          <w:highlight w:val="none"/>
        </w:rPr>
        <w:t>27.4质疑应当有明确的请求和必要的证明材料。供应商为自然人的，应当由本人签字；供应商为法人或者其他组织的，应当由法定代表人、主要负责人，或者其授权代表签字，并加盖公章。</w:t>
      </w:r>
    </w:p>
    <w:p>
      <w:pPr>
        <w:ind w:firstLine="420" w:firstLineChars="200"/>
        <w:jc w:val="left"/>
        <w:rPr>
          <w:color w:val="auto"/>
          <w:highlight w:val="none"/>
        </w:rPr>
      </w:pPr>
      <w:r>
        <w:rPr>
          <w:rFonts w:hint="eastAsia"/>
          <w:color w:val="auto"/>
          <w:highlight w:val="none"/>
        </w:rPr>
        <w:t>27.5 采购人或者代理机构应当在收到供应商的质疑函后7个工作日内，对质疑内容作出答复，书面形式通知质疑供应商和其他有关供应商，但答复内容不得涉及商业秘密。</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pStyle w:val="null3"/>
        <w:widowControl w:val="0"/>
        <w:spacing w:line="440" w:lineRule="exact"/>
        <w:ind w:firstLine="420" w:firstLineChars="200"/>
        <w:jc w:val="left"/>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27.7投诉应当有明确的请求和必要的证明材料。投诉的事项不得超出已质疑事项的范围。</w:t>
      </w:r>
    </w:p>
    <w:p>
      <w:pPr>
        <w:pStyle w:val="Heading2"/>
        <w:ind w:left="0" w:firstLine="0" w:leftChars="0" w:firstLineChars="0"/>
        <w:jc w:val="center"/>
        <w:rPr>
          <w:color w:val="auto"/>
          <w:highlight w:val="none"/>
        </w:rPr>
      </w:pPr>
      <w:r>
        <w:rPr>
          <w:rFonts w:hint="eastAsia"/>
          <w:color w:val="auto"/>
          <w:highlight w:val="none"/>
        </w:rPr>
        <w:t>八、其他</w:t>
      </w:r>
    </w:p>
    <w:p>
      <w:pPr>
        <w:jc w:val="left"/>
        <w:rPr>
          <w:color w:val="auto"/>
          <w:highlight w:val="none"/>
        </w:rPr>
      </w:pPr>
      <w:r>
        <w:rPr>
          <w:rFonts w:hint="eastAsia"/>
          <w:color w:val="auto"/>
          <w:highlight w:val="none"/>
        </w:rPr>
        <w:t>28．保密</w:t>
      </w:r>
    </w:p>
    <w:p>
      <w:pPr>
        <w:ind w:firstLine="420" w:firstLineChars="200"/>
        <w:jc w:val="left"/>
        <w:rPr>
          <w:color w:val="auto"/>
          <w:highlight w:val="none"/>
        </w:rPr>
      </w:pPr>
      <w:r>
        <w:rPr>
          <w:rFonts w:hint="eastAsia"/>
          <w:color w:val="auto"/>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ind w:firstLine="420" w:firstLineChars="200"/>
        <w:jc w:val="left"/>
        <w:rPr>
          <w:color w:val="auto"/>
          <w:highlight w:val="none"/>
        </w:rPr>
      </w:pPr>
      <w:r>
        <w:rPr>
          <w:rFonts w:hint="eastAsia"/>
          <w:color w:val="auto"/>
          <w:highlight w:val="none"/>
        </w:rPr>
        <w:t>28.2 评标委员会成员和参与评标工作的有关人员对评标情况以及在评标过程中获悉的国家秘密、商业秘密负有保密责任。</w:t>
      </w:r>
    </w:p>
    <w:p>
      <w:pPr>
        <w:jc w:val="left"/>
        <w:rPr>
          <w:color w:val="auto"/>
          <w:highlight w:val="none"/>
        </w:rPr>
      </w:pPr>
      <w:r>
        <w:rPr>
          <w:rFonts w:hint="eastAsia"/>
          <w:color w:val="auto"/>
          <w:highlight w:val="none"/>
        </w:rPr>
        <w:t>29. 知识产权与规避专利、版权纠纷</w:t>
      </w:r>
    </w:p>
    <w:p>
      <w:pPr>
        <w:ind w:firstLine="420" w:firstLineChars="200"/>
        <w:jc w:val="left"/>
        <w:rPr>
          <w:color w:val="auto"/>
          <w:highlight w:val="none"/>
        </w:rPr>
      </w:pPr>
      <w:r>
        <w:rPr>
          <w:rFonts w:hint="eastAsia"/>
          <w:color w:val="auto"/>
          <w:highlight w:val="none"/>
        </w:rPr>
        <w:t>29.1 知识产权</w:t>
      </w:r>
    </w:p>
    <w:p>
      <w:pPr>
        <w:ind w:firstLine="420" w:firstLineChars="200"/>
        <w:jc w:val="left"/>
        <w:rPr>
          <w:color w:val="auto"/>
          <w:highlight w:val="none"/>
        </w:rPr>
      </w:pPr>
      <w:r>
        <w:rPr>
          <w:rFonts w:hint="eastAsia"/>
          <w:color w:val="auto"/>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ind w:firstLine="420" w:firstLineChars="200"/>
        <w:jc w:val="left"/>
        <w:rPr>
          <w:color w:val="auto"/>
          <w:highlight w:val="none"/>
        </w:rPr>
      </w:pPr>
      <w:r>
        <w:rPr>
          <w:rFonts w:hint="eastAsia"/>
          <w:color w:val="auto"/>
          <w:highlight w:val="none"/>
        </w:rPr>
        <w:t>29.2 规避专利、版权纠纷</w:t>
      </w:r>
    </w:p>
    <w:p>
      <w:pPr>
        <w:ind w:firstLine="420" w:firstLineChars="200"/>
        <w:jc w:val="left"/>
        <w:rPr>
          <w:color w:val="auto"/>
          <w:highlight w:val="none"/>
        </w:rPr>
      </w:pPr>
      <w:r>
        <w:rPr>
          <w:rFonts w:hint="eastAsia"/>
          <w:color w:val="auto"/>
          <w:highlight w:val="none"/>
        </w:rPr>
        <w:t>29.2.1 投标人应保证其投标方案中的有关软件、文件、图纸等没有违反有关专利和版权等知识产权的规定。</w:t>
      </w:r>
    </w:p>
    <w:p>
      <w:pPr>
        <w:ind w:firstLine="420" w:firstLineChars="200"/>
        <w:jc w:val="left"/>
        <w:rPr>
          <w:color w:val="auto"/>
          <w:highlight w:val="none"/>
        </w:rPr>
      </w:pPr>
      <w:r>
        <w:rPr>
          <w:rFonts w:hint="eastAsia"/>
          <w:color w:val="auto"/>
          <w:highlight w:val="none"/>
        </w:rPr>
        <w:t>29.2.2 中标人应保证采购人在中华人民共和国使用本项目成果任何一部分、或接受乙方服务时，免受第三方提出的侵犯其专利权、商标权或工业设计权等知识产权的索赔或起诉。</w:t>
      </w:r>
    </w:p>
    <w:p>
      <w:pPr>
        <w:ind w:firstLine="420" w:firstLineChars="200"/>
        <w:jc w:val="left"/>
        <w:rPr>
          <w:color w:val="auto"/>
          <w:highlight w:val="none"/>
        </w:rPr>
      </w:pPr>
      <w:r>
        <w:rPr>
          <w:rFonts w:hint="eastAsia"/>
          <w:color w:val="auto"/>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ind w:firstLine="420" w:firstLineChars="200"/>
        <w:jc w:val="left"/>
        <w:rPr>
          <w:color w:val="auto"/>
          <w:highlight w:val="none"/>
        </w:rPr>
      </w:pPr>
      <w:r>
        <w:rPr>
          <w:rFonts w:hint="eastAsia"/>
          <w:color w:val="auto"/>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jc w:val="left"/>
        <w:rPr>
          <w:color w:val="auto"/>
          <w:highlight w:val="none"/>
        </w:rPr>
        <w:sectPr>
          <w:pgSz w:w="11906" w:h="16838"/>
          <w:pgMar w:top="1417" w:right="1417" w:bottom="1417" w:left="1417" w:header="851" w:footer="992" w:gutter="0"/>
          <w:cols w:num="1" w:space="720"/>
          <w:titlePg/>
          <w:docGrid w:type="lines" w:linePitch="312" w:charSpace="0"/>
        </w:sectPr>
      </w:pPr>
    </w:p>
    <w:p>
      <w:pPr>
        <w:pStyle w:val="Heading1"/>
        <w:rPr>
          <w:rFonts w:ascii="黑体" w:eastAsia="黑体" w:hAnsi="黑体" w:cs="黑体"/>
          <w:color w:val="auto"/>
          <w:szCs w:val="32"/>
          <w:highlight w:val="none"/>
        </w:rPr>
      </w:pPr>
      <w:r>
        <w:rPr>
          <w:rFonts w:hint="eastAsia"/>
          <w:color w:val="auto"/>
          <w:highlight w:val="none"/>
        </w:rPr>
        <w:t>第三章  评标方法及标准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仿宋_GB2312" w:eastAsia="仿宋_GB2312" w:hAnsi="仿宋_GB2312" w:cs="仿宋_GB2312" w:hint="eastAsia"/>
          <w:b/>
          <w:bCs w:val="0"/>
          <w:color w:val="auto"/>
          <w:sz w:val="21"/>
          <w:szCs w:val="21"/>
          <w:highlight w:val="none"/>
        </w:rPr>
      </w:pPr>
      <w:r>
        <w:rPr>
          <w:rFonts w:ascii="仿宋_GB2312" w:eastAsia="仿宋_GB2312" w:hAnsi="仿宋_GB2312" w:cs="仿宋_GB2312" w:hint="eastAsia"/>
          <w:b/>
          <w:bCs w:val="0"/>
          <w:color w:val="auto"/>
          <w:sz w:val="21"/>
          <w:szCs w:val="21"/>
          <w:highlight w:val="none"/>
        </w:rPr>
        <w:t>1.评标方法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仿宋_GB2312" w:eastAsia="仿宋_GB2312" w:hAnsi="仿宋_GB2312" w:cs="仿宋_GB2312" w:hint="eastAsia"/>
          <w:color w:val="auto"/>
          <w:sz w:val="21"/>
          <w:szCs w:val="21"/>
          <w:highlight w:val="none"/>
        </w:rPr>
      </w:pPr>
      <w:r>
        <w:rPr>
          <w:rFonts w:ascii="仿宋_GB2312" w:eastAsia="仿宋_GB2312" w:hAnsi="仿宋_GB2312" w:cs="仿宋_GB2312" w:hint="eastAsia"/>
          <w:color w:val="auto"/>
          <w:sz w:val="21"/>
          <w:szCs w:val="21"/>
          <w:highlight w:val="none"/>
        </w:rPr>
        <w:t>1.1 本项目评标方法：</w:t>
      </w:r>
      <w:r>
        <w:rPr>
          <w:rFonts w:ascii="仿宋_GB2312" w:eastAsia="仿宋_GB2312" w:hAnsi="仿宋_GB2312" w:cs="仿宋_GB2312" w:hint="eastAsia"/>
          <w:b/>
          <w:color w:val="auto"/>
          <w:sz w:val="21"/>
          <w:szCs w:val="21"/>
          <w:highlight w:val="none"/>
          <w:u w:val="single"/>
        </w:rPr>
        <w:t>采用综合评分法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仿宋_GB2312" w:eastAsia="仿宋_GB2312" w:hAnsi="仿宋_GB2312" w:cs="仿宋_GB2312" w:hint="eastAsia"/>
          <w:b/>
          <w:bCs w:val="0"/>
          <w:color w:val="auto"/>
          <w:sz w:val="21"/>
          <w:szCs w:val="21"/>
          <w:highlight w:val="none"/>
        </w:rPr>
      </w:pPr>
      <w:r>
        <w:rPr>
          <w:rFonts w:ascii="仿宋_GB2312" w:eastAsia="仿宋_GB2312" w:hAnsi="仿宋_GB2312" w:cs="仿宋_GB2312" w:hint="eastAsia"/>
          <w:b/>
          <w:bCs w:val="0"/>
          <w:color w:val="auto"/>
          <w:sz w:val="21"/>
          <w:szCs w:val="21"/>
          <w:highlight w:val="none"/>
        </w:rPr>
        <w:t>2.评标标准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仿宋_GB2312" w:eastAsia="仿宋_GB2312" w:hAnsi="仿宋_GB2312" w:cs="仿宋_GB2312" w:hint="eastAsia"/>
          <w:color w:val="auto"/>
          <w:sz w:val="21"/>
          <w:szCs w:val="21"/>
          <w:highlight w:val="none"/>
        </w:rPr>
      </w:pPr>
      <w:r>
        <w:rPr>
          <w:rFonts w:ascii="仿宋_GB2312" w:eastAsia="仿宋_GB2312" w:hAnsi="仿宋_GB2312" w:cs="仿宋_GB2312" w:hint="eastAsia"/>
          <w:color w:val="auto"/>
          <w:sz w:val="21"/>
          <w:szCs w:val="21"/>
          <w:highlight w:val="none"/>
        </w:rPr>
        <w:t>2.1 本项目</w:t>
      </w:r>
      <w:r>
        <w:rPr>
          <w:rFonts w:ascii="仿宋_GB2312" w:eastAsia="仿宋_GB2312" w:hAnsi="仿宋_GB2312" w:cs="仿宋_GB2312" w:hint="eastAsia"/>
          <w:b/>
          <w:color w:val="auto"/>
          <w:sz w:val="21"/>
          <w:szCs w:val="21"/>
          <w:highlight w:val="none"/>
          <w:u w:val="single"/>
        </w:rPr>
        <w:t>采用百分制综合评分法</w:t>
      </w:r>
      <w:r>
        <w:rPr>
          <w:rFonts w:ascii="仿宋_GB2312" w:eastAsia="仿宋_GB2312" w:hAnsi="仿宋_GB2312" w:cs="仿宋_GB2312" w:hint="eastAsia"/>
          <w:color w:val="auto"/>
          <w:sz w:val="21"/>
          <w:szCs w:val="21"/>
          <w:highlight w:val="none"/>
        </w:rPr>
        <w:t>进行评标，综合评分法是指投标文件满足招标文件全部实质性要求，且按照评审因素的量化指标评审得分最高的投标人为中标候选人的评标方法。评审因素主要内容如下表。</w:t>
      </w:r>
    </w:p>
    <w:p>
      <w:pPr>
        <w:pStyle w:val="PlainText"/>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仿宋_GB2312" w:eastAsia="仿宋_GB2312" w:hAnsi="仿宋_GB2312" w:cs="仿宋_GB2312" w:hint="eastAsia"/>
          <w:color w:val="auto"/>
          <w:sz w:val="21"/>
          <w:szCs w:val="21"/>
          <w:highlight w:val="none"/>
        </w:rPr>
      </w:pPr>
      <w:r>
        <w:rPr>
          <w:rFonts w:ascii="仿宋_GB2312" w:eastAsia="仿宋_GB2312" w:hAnsi="仿宋_GB2312" w:cs="仿宋_GB2312" w:hint="eastAsia"/>
          <w:color w:val="auto"/>
          <w:sz w:val="21"/>
          <w:szCs w:val="21"/>
          <w:highlight w:val="none"/>
        </w:rPr>
        <w:t>2.2 本项目价格分值为</w:t>
      </w:r>
      <w:r>
        <w:rPr>
          <w:rFonts w:ascii="仿宋_GB2312" w:eastAsia="仿宋_GB2312" w:hAnsi="仿宋_GB2312" w:cs="仿宋_GB2312" w:hint="eastAsia"/>
          <w:color w:val="auto"/>
          <w:sz w:val="21"/>
          <w:szCs w:val="21"/>
          <w:highlight w:val="none"/>
          <w:u w:val="single"/>
        </w:rPr>
        <w:t>10</w:t>
      </w:r>
      <w:r>
        <w:rPr>
          <w:rFonts w:ascii="仿宋_GB2312" w:eastAsia="仿宋_GB2312" w:hAnsi="仿宋_GB2312" w:cs="仿宋_GB2312" w:hint="eastAsia"/>
          <w:color w:val="auto"/>
          <w:sz w:val="21"/>
          <w:szCs w:val="21"/>
          <w:highlight w:val="none"/>
        </w:rPr>
        <w:t>分，其余评审因素分值为</w:t>
      </w:r>
      <w:r>
        <w:rPr>
          <w:rFonts w:ascii="仿宋_GB2312" w:eastAsia="仿宋_GB2312" w:hAnsi="仿宋_GB2312" w:cs="仿宋_GB2312" w:hint="eastAsia"/>
          <w:color w:val="auto"/>
          <w:sz w:val="21"/>
          <w:szCs w:val="21"/>
          <w:highlight w:val="none"/>
          <w:u w:val="single"/>
        </w:rPr>
        <w:t>90</w:t>
      </w:r>
      <w:r>
        <w:rPr>
          <w:rFonts w:ascii="仿宋_GB2312" w:eastAsia="仿宋_GB2312" w:hAnsi="仿宋_GB2312" w:cs="仿宋_GB2312" w:hint="eastAsia"/>
          <w:color w:val="auto"/>
          <w:sz w:val="21"/>
          <w:szCs w:val="21"/>
          <w:highlight w:val="none"/>
        </w:rPr>
        <w:t>分，按四舍五入取至百分位。</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仿宋_GB2312" w:eastAsia="仿宋_GB2312" w:hAnsi="仿宋_GB2312" w:cs="仿宋_GB2312" w:hint="eastAsia"/>
          <w:b/>
          <w:bCs w:val="0"/>
          <w:color w:val="auto"/>
          <w:sz w:val="21"/>
          <w:szCs w:val="21"/>
          <w:highlight w:val="none"/>
        </w:rPr>
      </w:pPr>
      <w:r>
        <w:rPr>
          <w:rFonts w:ascii="仿宋_GB2312" w:eastAsia="仿宋_GB2312" w:hAnsi="仿宋_GB2312" w:cs="仿宋_GB2312" w:hint="eastAsia"/>
          <w:b/>
          <w:bCs w:val="0"/>
          <w:color w:val="auto"/>
          <w:sz w:val="21"/>
          <w:szCs w:val="21"/>
          <w:highlight w:val="none"/>
        </w:rPr>
        <w:t>3.评委构成：</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仿宋_GB2312" w:eastAsia="仿宋_GB2312" w:hAnsi="仿宋_GB2312" w:cs="仿宋_GB2312" w:hint="eastAsia"/>
          <w:color w:val="auto"/>
          <w:sz w:val="21"/>
          <w:szCs w:val="21"/>
          <w:highlight w:val="none"/>
        </w:rPr>
      </w:pPr>
      <w:r>
        <w:rPr>
          <w:rFonts w:ascii="仿宋_GB2312" w:eastAsia="仿宋_GB2312" w:hAnsi="仿宋_GB2312" w:cs="仿宋_GB2312" w:hint="eastAsia"/>
          <w:color w:val="auto"/>
          <w:sz w:val="21"/>
          <w:szCs w:val="21"/>
          <w:highlight w:val="none"/>
        </w:rPr>
        <w:t>本项目评标委员会由采购人代表和评审专家组成，成员人数为</w:t>
      </w:r>
      <w:r>
        <w:rPr>
          <w:rFonts w:ascii="仿宋_GB2312" w:eastAsia="仿宋_GB2312" w:hAnsi="仿宋_GB2312" w:cs="仿宋_GB2312" w:hint="eastAsia"/>
          <w:color w:val="auto"/>
          <w:sz w:val="21"/>
          <w:szCs w:val="21"/>
          <w:highlight w:val="none"/>
          <w:lang w:val="en-US" w:eastAsia="zh-CN"/>
        </w:rPr>
        <w:t>5</w:t>
      </w:r>
      <w:r>
        <w:rPr>
          <w:rFonts w:ascii="仿宋_GB2312" w:eastAsia="仿宋_GB2312" w:hAnsi="仿宋_GB2312" w:cs="仿宋_GB2312" w:hint="eastAsia"/>
          <w:color w:val="auto"/>
          <w:sz w:val="21"/>
          <w:szCs w:val="21"/>
          <w:highlight w:val="none"/>
        </w:rPr>
        <w:t>人单数，其中评审专家不得少于成员总数的三分之二。</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仿宋_GB2312" w:eastAsia="仿宋_GB2312" w:hAnsi="仿宋_GB2312" w:cs="仿宋_GB2312" w:hint="eastAsia"/>
          <w:color w:val="auto"/>
          <w:sz w:val="21"/>
          <w:szCs w:val="21"/>
          <w:highlight w:val="none"/>
        </w:rPr>
      </w:pPr>
      <w:r>
        <w:rPr>
          <w:rFonts w:ascii="仿宋_GB2312" w:eastAsia="仿宋_GB2312" w:hAnsi="仿宋_GB2312" w:cs="仿宋_GB2312" w:hint="eastAsia"/>
          <w:color w:val="auto"/>
          <w:sz w:val="21"/>
          <w:szCs w:val="21"/>
          <w:highlight w:val="none"/>
        </w:rPr>
        <w:t>本办法所称的“以上”“以下”“内”“以内”，包括本数；所称的“不足”，不包括本数。</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ascii="仿宋_GB2312" w:eastAsia="仿宋_GB2312" w:hAnsi="仿宋_GB2312" w:cs="仿宋_GB2312" w:hint="eastAsia"/>
          <w:color w:val="auto"/>
          <w:sz w:val="21"/>
          <w:szCs w:val="21"/>
          <w:highlight w:val="none"/>
        </w:rPr>
      </w:pPr>
      <w:r>
        <w:rPr>
          <w:rFonts w:ascii="仿宋_GB2312" w:eastAsia="仿宋_GB2312" w:hAnsi="仿宋_GB2312" w:cs="仿宋_GB2312" w:hint="eastAsia"/>
          <w:color w:val="auto"/>
          <w:sz w:val="21"/>
          <w:szCs w:val="21"/>
          <w:highlight w:val="none"/>
        </w:rPr>
        <w:t>评审标准如下表：</w:t>
      </w:r>
    </w:p>
    <w:tbl>
      <w:tblPr>
        <w:tblStyle w:val="TableNormal"/>
        <w:tblpPr w:leftFromText="180" w:rightFromText="180" w:vertAnchor="text" w:horzAnchor="page" w:tblpX="1488" w:tblpY="322"/>
        <w:tblOverlap w:val="never"/>
        <w:tblW w:w="91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7"/>
        <w:gridCol w:w="1102"/>
        <w:gridCol w:w="1102"/>
        <w:gridCol w:w="5573"/>
        <w:gridCol w:w="893"/>
      </w:tblGrid>
      <w:tr>
        <w:tblPrEx>
          <w:tblW w:w="91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20"/>
        </w:trPr>
        <w:tc>
          <w:tcPr>
            <w:tcW w:w="477" w:type="dxa"/>
            <w:noWrap/>
            <w:vAlign w:val="center"/>
          </w:tcPr>
          <w:p>
            <w:pPr>
              <w:keepNext w:val="0"/>
              <w:keepLines w:val="0"/>
              <w:pageBreakBefore w:val="0"/>
              <w:kinsoku/>
              <w:wordWrap/>
              <w:topLinePunct w:val="0"/>
              <w:bidi w:val="0"/>
              <w:spacing w:line="360" w:lineRule="exact"/>
              <w:jc w:val="center"/>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序号</w:t>
            </w: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评审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因素</w:t>
            </w: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内容</w:t>
            </w:r>
          </w:p>
        </w:tc>
        <w:tc>
          <w:tcPr>
            <w:tcW w:w="5573" w:type="dxa"/>
            <w:noWrap/>
            <w:vAlign w:val="center"/>
          </w:tcPr>
          <w:p>
            <w:pPr>
              <w:keepNext w:val="0"/>
              <w:keepLines w:val="0"/>
              <w:pageBreakBefore w:val="0"/>
              <w:kinsoku/>
              <w:wordWrap/>
              <w:topLinePunct w:val="0"/>
              <w:bidi w:val="0"/>
              <w:spacing w:line="360" w:lineRule="exact"/>
              <w:jc w:val="center"/>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指标要求</w:t>
            </w:r>
          </w:p>
        </w:tc>
        <w:tc>
          <w:tcPr>
            <w:tcW w:w="893" w:type="dxa"/>
            <w:noWrap/>
            <w:vAlign w:val="center"/>
          </w:tcPr>
          <w:p>
            <w:pPr>
              <w:keepNext w:val="0"/>
              <w:keepLines w:val="0"/>
              <w:pageBreakBefore w:val="0"/>
              <w:kinsoku/>
              <w:wordWrap/>
              <w:topLinePunct w:val="0"/>
              <w:bidi w:val="0"/>
              <w:spacing w:line="360" w:lineRule="exact"/>
              <w:jc w:val="center"/>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细项</w:t>
            </w:r>
          </w:p>
          <w:p>
            <w:pPr>
              <w:keepNext w:val="0"/>
              <w:keepLines w:val="0"/>
              <w:pageBreakBefore w:val="0"/>
              <w:kinsoku/>
              <w:wordWrap/>
              <w:topLinePunct w:val="0"/>
              <w:bidi w:val="0"/>
              <w:spacing w:line="360" w:lineRule="exact"/>
              <w:jc w:val="center"/>
              <w:rPr>
                <w:rFonts w:ascii="宋体" w:eastAsia="宋体" w:hAnsi="宋体" w:cs="宋体" w:hint="eastAsia"/>
                <w:b/>
                <w:bCs/>
                <w:color w:val="auto"/>
                <w:sz w:val="21"/>
                <w:szCs w:val="21"/>
                <w:highlight w:val="none"/>
              </w:rPr>
            </w:pPr>
            <w:r>
              <w:rPr>
                <w:rFonts w:ascii="宋体" w:eastAsia="宋体" w:hAnsi="宋体" w:cs="宋体" w:hint="eastAsia"/>
                <w:b/>
                <w:bCs/>
                <w:color w:val="auto"/>
                <w:sz w:val="21"/>
                <w:szCs w:val="21"/>
                <w:highlight w:val="none"/>
              </w:rPr>
              <w:t>分值</w:t>
            </w:r>
          </w:p>
        </w:tc>
      </w:tr>
      <w:tr>
        <w:tblPrEx>
          <w:tblW w:w="9147" w:type="dxa"/>
          <w:tblInd w:w="0" w:type="dxa"/>
          <w:tblLayout w:type="fixed"/>
          <w:tblCellMar>
            <w:top w:w="0" w:type="dxa"/>
            <w:left w:w="108" w:type="dxa"/>
            <w:bottom w:w="0" w:type="dxa"/>
            <w:right w:w="108" w:type="dxa"/>
          </w:tblCellMar>
        </w:tblPrEx>
        <w:trPr>
          <w:trHeight w:val="2990"/>
        </w:trPr>
        <w:tc>
          <w:tcPr>
            <w:tcW w:w="477"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w:t>
            </w: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投标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报价</w:t>
            </w:r>
          </w:p>
          <w:p>
            <w:pPr>
              <w:pStyle w:val="BodyText"/>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rPr>
              <w:t>10分</w:t>
            </w:r>
            <w:r>
              <w:rPr>
                <w:rFonts w:ascii="宋体" w:eastAsia="宋体" w:hAnsi="宋体" w:cs="宋体" w:hint="eastAsia"/>
                <w:color w:val="auto"/>
                <w:sz w:val="21"/>
                <w:szCs w:val="21"/>
                <w:highlight w:val="none"/>
                <w:lang w:val="en-US" w:eastAsia="zh-CN"/>
              </w:rPr>
              <w:t>)</w:t>
            </w: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价 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lang w:val="en-US"/>
              </w:rPr>
            </w:pPr>
            <w:r>
              <w:rPr>
                <w:rFonts w:ascii="宋体" w:eastAsia="宋体" w:hAnsi="宋体" w:cs="宋体" w:hint="eastAsia"/>
                <w:color w:val="auto"/>
                <w:sz w:val="21"/>
                <w:szCs w:val="21"/>
                <w:highlight w:val="none"/>
                <w:lang w:val="en-US" w:eastAsia="zh-CN"/>
              </w:rPr>
              <w:t>(10分)</w:t>
            </w:r>
          </w:p>
          <w:p>
            <w:pPr>
              <w:pStyle w:val="BodyText"/>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rPr>
            </w:pPr>
          </w:p>
        </w:tc>
        <w:tc>
          <w:tcPr>
            <w:tcW w:w="5573" w:type="dxa"/>
            <w:noWrap/>
            <w:vAlign w:val="center"/>
          </w:tcPr>
          <w:p>
            <w:pPr>
              <w:pStyle w:val="null3"/>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投标报价得分=（评标基准价／投标报价）× 满分值</w:t>
            </w:r>
          </w:p>
          <w:p>
            <w:pPr>
              <w:pStyle w:val="null3"/>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（1）评标基准价是指满足招标文件要求且投标价格最低的投标报价。</w:t>
            </w:r>
          </w:p>
          <w:p>
            <w:pPr>
              <w:pStyle w:val="null3"/>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（2）因落实政府采购政策进行价格调整的，以调整后的价格计算评标基准价和投标报价。</w:t>
            </w:r>
          </w:p>
          <w:p>
            <w:pPr>
              <w:pStyle w:val="null3"/>
              <w:keepNext w:val="0"/>
              <w:keepLines w:val="0"/>
              <w:pageBreakBefore w:val="0"/>
              <w:widowControl w:val="0"/>
              <w:kinsoku/>
              <w:wordWrap/>
              <w:overflowPunct/>
              <w:topLinePunct w:val="0"/>
              <w:autoSpaceDE/>
              <w:autoSpaceDN/>
              <w:bidi w:val="0"/>
              <w:adjustRightInd/>
              <w:snapToGrid/>
              <w:spacing w:line="360" w:lineRule="auto"/>
              <w:ind w:firstLine="210" w:firstLineChars="100"/>
              <w:jc w:val="both"/>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rPr>
              <w:t>（3）调整后的价格只是作为评标时使用，最终中标人的中标金额＝投标报价。</w:t>
            </w:r>
          </w:p>
        </w:tc>
        <w:tc>
          <w:tcPr>
            <w:tcW w:w="893" w:type="dxa"/>
            <w:noWrap/>
            <w:vAlign w:val="center"/>
          </w:tcPr>
          <w:p>
            <w:pPr>
              <w:keepNext w:val="0"/>
              <w:keepLines w:val="0"/>
              <w:pageBreakBefore w:val="0"/>
              <w:kinsoku/>
              <w:wordWrap/>
              <w:topLinePunct w:val="0"/>
              <w:bidi w:val="0"/>
              <w:spacing w:line="360" w:lineRule="exact"/>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10分</w:t>
            </w:r>
          </w:p>
        </w:tc>
      </w:tr>
      <w:tr>
        <w:tblPrEx>
          <w:tblW w:w="9147" w:type="dxa"/>
          <w:tblInd w:w="0" w:type="dxa"/>
          <w:tblLayout w:type="fixed"/>
          <w:tblCellMar>
            <w:top w:w="0" w:type="dxa"/>
            <w:left w:w="108" w:type="dxa"/>
            <w:bottom w:w="0" w:type="dxa"/>
            <w:right w:w="108" w:type="dxa"/>
          </w:tblCellMar>
        </w:tblPrEx>
        <w:trPr>
          <w:trHeight w:val="2005"/>
        </w:trPr>
        <w:tc>
          <w:tcPr>
            <w:tcW w:w="47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2</w:t>
            </w:r>
          </w:p>
        </w:tc>
        <w:tc>
          <w:tcPr>
            <w:tcW w:w="1102" w:type="dxa"/>
            <w:vMerge w:val="restart"/>
            <w:noWrap/>
            <w:vAlign w:val="center"/>
          </w:tcPr>
          <w:p>
            <w:pPr>
              <w:pStyle w:val="BodyText"/>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履约</w:t>
            </w:r>
          </w:p>
          <w:p>
            <w:pPr>
              <w:pStyle w:val="BodyText"/>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能力</w:t>
            </w:r>
          </w:p>
          <w:p>
            <w:pPr>
              <w:pStyle w:val="BodyText"/>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(34分)</w:t>
            </w: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企业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认证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zh-CN"/>
              </w:rPr>
              <w:t>证书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en-US"/>
              </w:rPr>
            </w:pPr>
            <w:r>
              <w:rPr>
                <w:rFonts w:ascii="宋体" w:eastAsia="宋体" w:hAnsi="宋体" w:cs="宋体" w:hint="eastAsia"/>
                <w:snapToGrid w:val="0"/>
                <w:color w:val="auto"/>
                <w:sz w:val="21"/>
                <w:szCs w:val="21"/>
                <w:highlight w:val="none"/>
                <w:lang w:val="en-US" w:eastAsia="zh-CN"/>
              </w:rPr>
              <w:t>(6分)</w:t>
            </w:r>
          </w:p>
        </w:tc>
        <w:tc>
          <w:tcPr>
            <w:tcW w:w="5573"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投标人具有有效期内的质量管理体系认证(GB/T 19001/ISO9001)或信息安全管理体系认证（GB/T 22080/ISO27001）或信息技术服务管理体系认证（ISO 20000），每个得</w:t>
            </w:r>
            <w:r>
              <w:rPr>
                <w:rFonts w:ascii="宋体" w:eastAsia="宋体" w:hAnsi="宋体" w:cs="宋体" w:hint="eastAsia"/>
                <w:color w:val="auto"/>
                <w:sz w:val="21"/>
                <w:szCs w:val="21"/>
                <w:highlight w:val="none"/>
                <w:lang w:val="en-US" w:eastAsia="zh-CN"/>
              </w:rPr>
              <w:t>2</w:t>
            </w:r>
            <w:r>
              <w:rPr>
                <w:rFonts w:ascii="宋体" w:eastAsia="宋体" w:hAnsi="宋体" w:cs="宋体" w:hint="eastAsia"/>
                <w:color w:val="auto"/>
                <w:sz w:val="21"/>
                <w:szCs w:val="21"/>
                <w:highlight w:val="none"/>
              </w:rPr>
              <w:t>分，满分6分（投标文件中提供证书复印件并加盖单位公章）</w:t>
            </w:r>
            <w:r>
              <w:rPr>
                <w:rFonts w:ascii="宋体" w:eastAsia="宋体" w:hAnsi="宋体" w:cs="宋体" w:hint="eastAsia"/>
                <w:color w:val="auto"/>
                <w:sz w:val="21"/>
                <w:szCs w:val="21"/>
                <w:highlight w:val="none"/>
                <w:lang w:val="zh-CN"/>
              </w:rPr>
              <w:t>。</w:t>
            </w:r>
          </w:p>
        </w:tc>
        <w:tc>
          <w:tcPr>
            <w:tcW w:w="893" w:type="dxa"/>
            <w:noWrap/>
            <w:vAlign w:val="center"/>
          </w:tcPr>
          <w:p>
            <w:pPr>
              <w:keepNext w:val="0"/>
              <w:keepLines w:val="0"/>
              <w:pageBreakBefore w:val="0"/>
              <w:kinsoku/>
              <w:wordWrap/>
              <w:topLinePunct w:val="0"/>
              <w:bidi w:val="0"/>
              <w:spacing w:line="360" w:lineRule="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6分</w:t>
            </w:r>
          </w:p>
        </w:tc>
      </w:tr>
      <w:tr>
        <w:tblPrEx>
          <w:tblW w:w="9147" w:type="dxa"/>
          <w:tblInd w:w="0" w:type="dxa"/>
          <w:tblLayout w:type="fixed"/>
          <w:tblCellMar>
            <w:top w:w="0" w:type="dxa"/>
            <w:left w:w="108" w:type="dxa"/>
            <w:bottom w:w="0" w:type="dxa"/>
            <w:right w:w="108" w:type="dxa"/>
          </w:tblCellMar>
        </w:tblPrEx>
        <w:trPr>
          <w:trHeight w:val="2615"/>
        </w:trPr>
        <w:tc>
          <w:tcPr>
            <w:tcW w:w="477" w:type="dxa"/>
            <w:vMerg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rPr>
            </w:pPr>
          </w:p>
        </w:tc>
        <w:tc>
          <w:tcPr>
            <w:tcW w:w="1102" w:type="dxa"/>
            <w:vMerge/>
            <w:noWrap/>
            <w:vAlign w:val="center"/>
          </w:tcPr>
          <w:p>
            <w:pPr>
              <w:pStyle w:val="BodyText"/>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rPr>
            </w:pP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类似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业绩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en-US"/>
              </w:rPr>
            </w:pPr>
            <w:r>
              <w:rPr>
                <w:rFonts w:ascii="宋体" w:eastAsia="宋体" w:hAnsi="宋体" w:cs="宋体" w:hint="eastAsia"/>
                <w:snapToGrid w:val="0"/>
                <w:color w:val="auto"/>
                <w:sz w:val="21"/>
                <w:szCs w:val="21"/>
                <w:highlight w:val="none"/>
                <w:lang w:val="en-US" w:eastAsia="zh-CN"/>
              </w:rPr>
              <w:t>(10分)</w:t>
            </w:r>
          </w:p>
        </w:tc>
        <w:tc>
          <w:tcPr>
            <w:tcW w:w="5573" w:type="dxa"/>
            <w:noWrap/>
            <w:vAlign w:val="center"/>
          </w:tcPr>
          <w:p>
            <w:pPr>
              <w:pStyle w:val="PlainText"/>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投标人2021年</w:t>
            </w:r>
            <w:r>
              <w:rPr>
                <w:rFonts w:ascii="宋体" w:eastAsia="宋体" w:hAnsi="宋体" w:cs="宋体" w:hint="eastAsia"/>
                <w:color w:val="auto"/>
                <w:sz w:val="21"/>
                <w:szCs w:val="21"/>
                <w:highlight w:val="none"/>
                <w:lang w:val="en-US" w:eastAsia="zh-CN"/>
              </w:rPr>
              <w:t>8</w:t>
            </w:r>
            <w:r>
              <w:rPr>
                <w:rFonts w:ascii="宋体" w:eastAsia="宋体" w:hAnsi="宋体" w:cs="宋体" w:hint="eastAsia"/>
                <w:color w:val="auto"/>
                <w:sz w:val="21"/>
                <w:szCs w:val="21"/>
                <w:highlight w:val="none"/>
              </w:rPr>
              <w:t>月1日至投标截止时间止（以合同签订时间为准）承接的类似项目业绩的有效证明文件进行评价，有效证明文件包括该业绩的：采购合同文本复印件（同一个项目签订多份合同的只能计算一次，不重复计分），每有一项得2分，满分10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注：以上评分因素中，类似项目是指</w:t>
            </w:r>
            <w:r>
              <w:rPr>
                <w:rFonts w:ascii="宋体" w:eastAsia="宋体" w:hAnsi="宋体" w:cs="宋体" w:hint="eastAsia"/>
                <w:b w:val="0"/>
                <w:bCs/>
                <w:color w:val="auto"/>
                <w:sz w:val="21"/>
                <w:szCs w:val="21"/>
                <w:highlight w:val="none"/>
              </w:rPr>
              <w:t>信息</w:t>
            </w:r>
            <w:r>
              <w:rPr>
                <w:rFonts w:ascii="宋体" w:eastAsia="宋体" w:hAnsi="宋体" w:cs="宋体" w:hint="eastAsia"/>
                <w:b w:val="0"/>
                <w:bCs/>
                <w:color w:val="auto"/>
                <w:sz w:val="21"/>
                <w:szCs w:val="21"/>
                <w:highlight w:val="none"/>
                <w:lang w:val="en-US" w:eastAsia="zh-CN"/>
              </w:rPr>
              <w:t>化系统开发或</w:t>
            </w:r>
            <w:r>
              <w:rPr>
                <w:rFonts w:ascii="宋体" w:eastAsia="宋体" w:hAnsi="宋体" w:cs="宋体" w:hint="eastAsia"/>
                <w:b w:val="0"/>
                <w:bCs/>
                <w:color w:val="auto"/>
                <w:sz w:val="21"/>
                <w:szCs w:val="21"/>
                <w:highlight w:val="none"/>
              </w:rPr>
              <w:t>运维服务</w:t>
            </w:r>
            <w:r>
              <w:rPr>
                <w:rFonts w:ascii="宋体" w:eastAsia="宋体" w:hAnsi="宋体" w:cs="宋体" w:hint="eastAsia"/>
                <w:b w:val="0"/>
                <w:bCs/>
                <w:color w:val="auto"/>
                <w:sz w:val="21"/>
                <w:szCs w:val="21"/>
                <w:highlight w:val="none"/>
                <w:lang w:val="en-US" w:eastAsia="zh-CN"/>
              </w:rPr>
              <w:t>项目。</w:t>
            </w:r>
          </w:p>
        </w:tc>
        <w:tc>
          <w:tcPr>
            <w:tcW w:w="893" w:type="dxa"/>
            <w:noWrap/>
            <w:vAlign w:val="center"/>
          </w:tcPr>
          <w:p>
            <w:pPr>
              <w:keepNext w:val="0"/>
              <w:keepLines w:val="0"/>
              <w:pageBreakBefore w:val="0"/>
              <w:kinsoku/>
              <w:wordWrap/>
              <w:topLinePunct w:val="0"/>
              <w:bidi w:val="0"/>
              <w:spacing w:line="360" w:lineRule="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10分</w:t>
            </w:r>
          </w:p>
        </w:tc>
      </w:tr>
      <w:tr>
        <w:tblPrEx>
          <w:tblW w:w="9147" w:type="dxa"/>
          <w:tblInd w:w="0" w:type="dxa"/>
          <w:tblLayout w:type="fixed"/>
          <w:tblCellMar>
            <w:top w:w="0" w:type="dxa"/>
            <w:left w:w="108" w:type="dxa"/>
            <w:bottom w:w="0" w:type="dxa"/>
            <w:right w:w="108" w:type="dxa"/>
          </w:tblCellMar>
        </w:tblPrEx>
        <w:trPr>
          <w:trHeight w:val="780"/>
        </w:trPr>
        <w:tc>
          <w:tcPr>
            <w:tcW w:w="477" w:type="dxa"/>
            <w:vMerge/>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rPr>
            </w:pPr>
          </w:p>
        </w:tc>
        <w:tc>
          <w:tcPr>
            <w:tcW w:w="1102" w:type="dxa"/>
            <w:vMerge/>
            <w:noWrap/>
            <w:vAlign w:val="center"/>
          </w:tcPr>
          <w:p>
            <w:pPr>
              <w:pStyle w:val="BodyText"/>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rPr>
            </w:pP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技术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力量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en-US"/>
              </w:rPr>
            </w:pPr>
            <w:r>
              <w:rPr>
                <w:rFonts w:ascii="宋体" w:eastAsia="宋体" w:hAnsi="宋体" w:cs="宋体" w:hint="eastAsia"/>
                <w:snapToGrid w:val="0"/>
                <w:color w:val="auto"/>
                <w:sz w:val="21"/>
                <w:szCs w:val="21"/>
                <w:highlight w:val="none"/>
                <w:lang w:val="en-US" w:eastAsia="zh-CN"/>
              </w:rPr>
              <w:t>(18分)</w:t>
            </w:r>
          </w:p>
        </w:tc>
        <w:tc>
          <w:tcPr>
            <w:tcW w:w="5573" w:type="dxa"/>
            <w:noWrap/>
            <w:vAlign w:val="top"/>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en-US" w:eastAsia="zh-CN"/>
              </w:rPr>
              <w:t>投标人拟</w:t>
            </w:r>
            <w:r>
              <w:rPr>
                <w:rFonts w:ascii="宋体" w:eastAsia="宋体" w:hAnsi="宋体" w:cs="宋体" w:hint="eastAsia"/>
                <w:color w:val="auto"/>
                <w:sz w:val="21"/>
                <w:szCs w:val="21"/>
                <w:highlight w:val="none"/>
                <w:lang w:val="zh-CN"/>
              </w:rPr>
              <w:t>投入本项目的人员数量、专业化程度、人员的相关工作经验、相关</w:t>
            </w:r>
            <w:r>
              <w:rPr>
                <w:rFonts w:ascii="宋体" w:eastAsia="宋体" w:hAnsi="宋体" w:cs="宋体" w:hint="eastAsia"/>
                <w:color w:val="auto"/>
                <w:sz w:val="21"/>
                <w:szCs w:val="21"/>
                <w:highlight w:val="none"/>
                <w:lang w:val="en-US" w:eastAsia="zh-CN"/>
              </w:rPr>
              <w:t>认证</w:t>
            </w:r>
            <w:r>
              <w:rPr>
                <w:rFonts w:ascii="宋体" w:eastAsia="宋体" w:hAnsi="宋体" w:cs="宋体" w:hint="eastAsia"/>
                <w:color w:val="auto"/>
                <w:sz w:val="21"/>
                <w:szCs w:val="21"/>
                <w:highlight w:val="none"/>
                <w:lang w:val="zh-CN"/>
              </w:rPr>
              <w:t>证书等</w:t>
            </w:r>
            <w:r>
              <w:rPr>
                <w:rFonts w:ascii="宋体" w:eastAsia="宋体" w:hAnsi="宋体" w:cs="宋体" w:hint="eastAsia"/>
                <w:b/>
                <w:bCs/>
                <w:color w:val="auto"/>
                <w:sz w:val="21"/>
                <w:szCs w:val="21"/>
                <w:highlight w:val="none"/>
                <w:lang w:val="zh-CN"/>
              </w:rPr>
              <w:t>在满足本项目采购需求的基础上</w:t>
            </w:r>
            <w:r>
              <w:rPr>
                <w:rFonts w:ascii="宋体" w:eastAsia="宋体" w:hAnsi="宋体" w:cs="宋体" w:hint="eastAsia"/>
                <w:color w:val="auto"/>
                <w:sz w:val="21"/>
                <w:szCs w:val="21"/>
                <w:highlight w:val="none"/>
                <w:lang w:val="zh-CN"/>
              </w:rPr>
              <w:t>，对下列指标进行考核打分：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en-US" w:eastAsia="zh-CN"/>
              </w:rPr>
              <w:t>(1)</w:t>
            </w:r>
            <w:r>
              <w:rPr>
                <w:rFonts w:ascii="宋体" w:eastAsia="宋体" w:hAnsi="宋体" w:cs="宋体" w:hint="eastAsia"/>
                <w:color w:val="auto"/>
                <w:sz w:val="21"/>
                <w:szCs w:val="21"/>
                <w:highlight w:val="none"/>
                <w:lang w:val="zh-CN"/>
              </w:rPr>
              <w:t>拟投入的</w:t>
            </w:r>
            <w:r>
              <w:rPr>
                <w:rFonts w:ascii="宋体" w:eastAsia="宋体" w:hAnsi="宋体" w:cs="宋体" w:hint="eastAsia"/>
                <w:color w:val="auto"/>
                <w:sz w:val="21"/>
                <w:szCs w:val="21"/>
                <w:highlight w:val="none"/>
              </w:rPr>
              <w:t>项目经理</w:t>
            </w:r>
            <w:r>
              <w:rPr>
                <w:rFonts w:ascii="宋体" w:eastAsia="宋体" w:hAnsi="宋体" w:cs="宋体" w:hint="eastAsia"/>
                <w:color w:val="auto"/>
                <w:sz w:val="21"/>
                <w:szCs w:val="21"/>
                <w:highlight w:val="none"/>
                <w:lang w:val="zh-CN"/>
              </w:rPr>
              <w:t>（</w:t>
            </w:r>
            <w:r>
              <w:rPr>
                <w:rFonts w:ascii="宋体" w:eastAsia="宋体" w:hAnsi="宋体" w:cs="宋体" w:hint="eastAsia"/>
                <w:color w:val="auto"/>
                <w:sz w:val="21"/>
                <w:szCs w:val="21"/>
                <w:highlight w:val="none"/>
              </w:rPr>
              <w:t>1人</w:t>
            </w:r>
            <w:r>
              <w:rPr>
                <w:rFonts w:ascii="宋体" w:eastAsia="宋体" w:hAnsi="宋体" w:cs="宋体" w:hint="eastAsia"/>
                <w:color w:val="auto"/>
                <w:sz w:val="21"/>
                <w:szCs w:val="21"/>
                <w:highlight w:val="none"/>
                <w:lang w:val="zh-CN"/>
              </w:rPr>
              <w:t>）（满分</w:t>
            </w:r>
            <w:r>
              <w:rPr>
                <w:rFonts w:ascii="宋体" w:eastAsia="宋体" w:hAnsi="宋体" w:cs="宋体" w:hint="eastAsia"/>
                <w:color w:val="auto"/>
                <w:sz w:val="21"/>
                <w:szCs w:val="21"/>
                <w:highlight w:val="none"/>
                <w:lang w:val="en-US" w:eastAsia="zh-CN"/>
              </w:rPr>
              <w:t>6分</w:t>
            </w:r>
            <w:r>
              <w:rPr>
                <w:rFonts w:ascii="宋体" w:eastAsia="宋体" w:hAnsi="宋体" w:cs="宋体" w:hint="eastAsia"/>
                <w:color w:val="auto"/>
                <w:sz w:val="21"/>
                <w:szCs w:val="21"/>
                <w:highlight w:val="none"/>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①</w:t>
            </w:r>
            <w:r>
              <w:rPr>
                <w:rFonts w:ascii="宋体" w:eastAsia="宋体" w:hAnsi="宋体" w:cs="宋体" w:hint="eastAsia"/>
                <w:color w:val="auto"/>
                <w:sz w:val="21"/>
                <w:szCs w:val="21"/>
                <w:highlight w:val="none"/>
                <w:lang w:eastAsia="zh-CN"/>
              </w:rPr>
              <w:t>具有</w:t>
            </w:r>
            <w:r>
              <w:rPr>
                <w:rFonts w:ascii="宋体" w:eastAsia="宋体" w:hAnsi="宋体" w:cs="宋体" w:hint="eastAsia"/>
                <w:color w:val="auto"/>
                <w:sz w:val="21"/>
                <w:szCs w:val="21"/>
                <w:highlight w:val="none"/>
                <w:lang w:val="zh-CN"/>
              </w:rPr>
              <w:t>计算机技术与软件专业技术资格</w:t>
            </w:r>
            <w:r>
              <w:rPr>
                <w:rFonts w:ascii="宋体" w:eastAsia="宋体" w:hAnsi="宋体" w:cs="宋体" w:hint="eastAsia"/>
                <w:color w:val="auto"/>
                <w:sz w:val="21"/>
                <w:szCs w:val="21"/>
                <w:highlight w:val="none"/>
                <w:lang w:val="en-US" w:eastAsia="zh-CN"/>
              </w:rPr>
              <w:t>高</w:t>
            </w:r>
            <w:r>
              <w:rPr>
                <w:rFonts w:ascii="宋体" w:eastAsia="宋体" w:hAnsi="宋体" w:cs="宋体" w:hint="eastAsia"/>
                <w:color w:val="auto"/>
                <w:sz w:val="21"/>
                <w:szCs w:val="21"/>
                <w:highlight w:val="none"/>
                <w:lang w:eastAsia="zh-CN"/>
              </w:rPr>
              <w:t>级证书（</w:t>
            </w:r>
            <w:r>
              <w:rPr>
                <w:rFonts w:ascii="宋体" w:eastAsia="宋体" w:hAnsi="宋体" w:cs="宋体" w:hint="eastAsia"/>
                <w:color w:val="auto"/>
                <w:sz w:val="21"/>
                <w:szCs w:val="21"/>
                <w:highlight w:val="none"/>
                <w:lang w:val="zh-CN"/>
              </w:rPr>
              <w:t>信息系统项目管理师、系统分析师、系统架构设计师、系统规划与管理师</w:t>
            </w:r>
            <w:r>
              <w:rPr>
                <w:rFonts w:ascii="宋体" w:eastAsia="宋体" w:hAnsi="宋体" w:cs="宋体" w:hint="eastAsia"/>
                <w:color w:val="auto"/>
                <w:sz w:val="21"/>
                <w:szCs w:val="21"/>
                <w:highlight w:val="none"/>
                <w:lang w:eastAsia="zh-CN"/>
              </w:rPr>
              <w:t>，任一）的，得</w:t>
            </w:r>
            <w:r>
              <w:rPr>
                <w:rFonts w:ascii="宋体" w:eastAsia="宋体" w:hAnsi="宋体" w:cs="宋体" w:hint="eastAsia"/>
                <w:color w:val="auto"/>
                <w:sz w:val="21"/>
                <w:szCs w:val="21"/>
                <w:highlight w:val="none"/>
                <w:lang w:val="en-US" w:eastAsia="zh-CN"/>
              </w:rPr>
              <w:t>3分。</w:t>
            </w:r>
            <w:r>
              <w:rPr>
                <w:rFonts w:ascii="宋体" w:eastAsia="宋体" w:hAnsi="宋体" w:cs="宋体" w:hint="eastAsia"/>
                <w:color w:val="auto"/>
                <w:sz w:val="21"/>
                <w:szCs w:val="21"/>
                <w:highlight w:val="none"/>
                <w:lang w:val="zh-CN"/>
              </w:rPr>
              <w:t>满分</w:t>
            </w:r>
            <w:r>
              <w:rPr>
                <w:rFonts w:ascii="宋体" w:eastAsia="宋体" w:hAnsi="宋体" w:cs="宋体" w:hint="eastAsia"/>
                <w:color w:val="auto"/>
                <w:sz w:val="21"/>
                <w:szCs w:val="21"/>
                <w:highlight w:val="none"/>
                <w:lang w:val="en-US" w:eastAsia="zh-CN"/>
              </w:rPr>
              <w:t>3分。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rPr>
              <w:t>②具有</w:t>
            </w:r>
            <w:r>
              <w:rPr>
                <w:rFonts w:ascii="宋体" w:eastAsia="宋体" w:hAnsi="宋体" w:cs="宋体" w:hint="eastAsia"/>
                <w:color w:val="auto"/>
                <w:sz w:val="21"/>
                <w:szCs w:val="21"/>
                <w:highlight w:val="none"/>
                <w:lang w:val="en-US" w:eastAsia="zh-CN"/>
              </w:rPr>
              <w:t>5</w:t>
            </w:r>
            <w:r>
              <w:rPr>
                <w:rFonts w:ascii="宋体" w:eastAsia="宋体" w:hAnsi="宋体" w:cs="宋体" w:hint="eastAsia"/>
                <w:color w:val="auto"/>
                <w:sz w:val="21"/>
                <w:szCs w:val="21"/>
                <w:highlight w:val="none"/>
              </w:rPr>
              <w:t>年以上</w:t>
            </w:r>
            <w:r>
              <w:rPr>
                <w:rFonts w:ascii="宋体" w:eastAsia="宋体" w:hAnsi="宋体" w:cs="宋体" w:hint="eastAsia"/>
                <w:color w:val="auto"/>
                <w:sz w:val="21"/>
                <w:szCs w:val="21"/>
                <w:highlight w:val="none"/>
                <w:lang w:eastAsia="zh-CN"/>
              </w:rPr>
              <w:t>不足</w:t>
            </w:r>
            <w:r>
              <w:rPr>
                <w:rFonts w:ascii="宋体" w:eastAsia="宋体" w:hAnsi="宋体" w:cs="宋体" w:hint="eastAsia"/>
                <w:color w:val="auto"/>
                <w:sz w:val="21"/>
                <w:szCs w:val="21"/>
                <w:highlight w:val="none"/>
                <w:lang w:val="en-US" w:eastAsia="zh-CN"/>
              </w:rPr>
              <w:t>7年项目管理</w:t>
            </w:r>
            <w:r>
              <w:rPr>
                <w:rFonts w:ascii="宋体" w:eastAsia="宋体" w:hAnsi="宋体" w:cs="宋体" w:hint="eastAsia"/>
                <w:snapToGrid w:val="0"/>
                <w:color w:val="auto"/>
                <w:sz w:val="21"/>
                <w:szCs w:val="21"/>
                <w:highlight w:val="none"/>
              </w:rPr>
              <w:t>经验</w:t>
            </w:r>
            <w:r>
              <w:rPr>
                <w:rFonts w:ascii="宋体" w:eastAsia="宋体" w:hAnsi="宋体" w:cs="宋体" w:hint="eastAsia"/>
                <w:color w:val="auto"/>
                <w:sz w:val="21"/>
                <w:szCs w:val="21"/>
                <w:highlight w:val="none"/>
              </w:rPr>
              <w:t>的，得</w:t>
            </w:r>
            <w:r>
              <w:rPr>
                <w:rFonts w:ascii="宋体" w:eastAsia="宋体" w:hAnsi="宋体" w:cs="宋体" w:hint="eastAsia"/>
                <w:color w:val="auto"/>
                <w:sz w:val="21"/>
                <w:szCs w:val="21"/>
                <w:highlight w:val="none"/>
                <w:lang w:val="en-US" w:eastAsia="zh-CN"/>
              </w:rPr>
              <w:t>2</w:t>
            </w:r>
            <w:r>
              <w:rPr>
                <w:rFonts w:ascii="宋体" w:eastAsia="宋体" w:hAnsi="宋体" w:cs="宋体" w:hint="eastAsia"/>
                <w:color w:val="auto"/>
                <w:sz w:val="21"/>
                <w:szCs w:val="21"/>
                <w:highlight w:val="none"/>
              </w:rPr>
              <w:t>分</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具有</w:t>
            </w:r>
            <w:r>
              <w:rPr>
                <w:rFonts w:ascii="宋体" w:eastAsia="宋体" w:hAnsi="宋体" w:cs="宋体" w:hint="eastAsia"/>
                <w:color w:val="auto"/>
                <w:sz w:val="21"/>
                <w:szCs w:val="21"/>
                <w:highlight w:val="none"/>
                <w:lang w:val="en-US" w:eastAsia="zh-CN"/>
              </w:rPr>
              <w:t>7年以上项目管理</w:t>
            </w:r>
            <w:r>
              <w:rPr>
                <w:rFonts w:ascii="宋体" w:eastAsia="宋体" w:hAnsi="宋体" w:cs="宋体" w:hint="eastAsia"/>
                <w:snapToGrid w:val="0"/>
                <w:color w:val="auto"/>
                <w:sz w:val="21"/>
                <w:szCs w:val="21"/>
                <w:highlight w:val="none"/>
              </w:rPr>
              <w:t>经验</w:t>
            </w:r>
            <w:r>
              <w:rPr>
                <w:rFonts w:ascii="宋体" w:eastAsia="宋体" w:hAnsi="宋体" w:cs="宋体" w:hint="eastAsia"/>
                <w:color w:val="auto"/>
                <w:sz w:val="21"/>
                <w:szCs w:val="21"/>
                <w:highlight w:val="none"/>
              </w:rPr>
              <w:t>的，得</w:t>
            </w:r>
            <w:r>
              <w:rPr>
                <w:rFonts w:ascii="宋体" w:eastAsia="宋体" w:hAnsi="宋体" w:cs="宋体" w:hint="eastAsia"/>
                <w:color w:val="auto"/>
                <w:sz w:val="21"/>
                <w:szCs w:val="21"/>
                <w:highlight w:val="none"/>
                <w:lang w:val="en-US" w:eastAsia="zh-CN"/>
              </w:rPr>
              <w:t>3</w:t>
            </w:r>
            <w:r>
              <w:rPr>
                <w:rFonts w:ascii="宋体" w:eastAsia="宋体" w:hAnsi="宋体" w:cs="宋体" w:hint="eastAsia"/>
                <w:color w:val="auto"/>
                <w:sz w:val="21"/>
                <w:szCs w:val="21"/>
                <w:highlight w:val="none"/>
              </w:rPr>
              <w:t>分</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满分</w:t>
            </w:r>
            <w:r>
              <w:rPr>
                <w:rFonts w:ascii="宋体" w:eastAsia="宋体" w:hAnsi="宋体" w:cs="宋体" w:hint="eastAsia"/>
                <w:color w:val="auto"/>
                <w:sz w:val="21"/>
                <w:szCs w:val="21"/>
                <w:highlight w:val="none"/>
                <w:lang w:val="en-US" w:eastAsia="zh-CN"/>
              </w:rPr>
              <w:t>3</w:t>
            </w:r>
            <w:r>
              <w:rPr>
                <w:rFonts w:ascii="宋体" w:eastAsia="宋体" w:hAnsi="宋体" w:cs="宋体" w:hint="eastAsia"/>
                <w:color w:val="auto"/>
                <w:sz w:val="21"/>
                <w:szCs w:val="21"/>
                <w:highlight w:val="none"/>
              </w:rPr>
              <w:t>分。</w:t>
            </w:r>
          </w:p>
          <w:p>
            <w:pPr>
              <w:pStyle w:val="CommentText"/>
              <w:keepNext w:val="0"/>
              <w:keepLines w:val="0"/>
              <w:pageBreakBefore w:val="0"/>
              <w:numPr>
                <w:ilvl w:val="0"/>
                <w:numId w:val="0"/>
              </w:numPr>
              <w:kinsoku/>
              <w:wordWrap/>
              <w:overflowPunct/>
              <w:topLinePunct w:val="0"/>
              <w:autoSpaceDE/>
              <w:autoSpaceDN/>
              <w:bidi w:val="0"/>
              <w:adjustRightInd/>
              <w:snapToGrid/>
              <w:spacing w:line="360" w:lineRule="auto"/>
              <w:ind w:firstLine="420" w:leftChars="0" w:firstLineChars="200"/>
              <w:jc w:val="both"/>
              <w:textAlignment w:val="auto"/>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en-US" w:eastAsia="zh-CN"/>
              </w:rPr>
              <w:t>(2)</w:t>
            </w:r>
            <w:r>
              <w:rPr>
                <w:rFonts w:ascii="宋体" w:eastAsia="宋体" w:hAnsi="宋体" w:cs="宋体" w:hint="eastAsia"/>
                <w:color w:val="auto"/>
                <w:sz w:val="21"/>
                <w:szCs w:val="21"/>
                <w:highlight w:val="none"/>
                <w:lang w:val="zh-CN"/>
              </w:rPr>
              <w:t>拟投入的</w:t>
            </w:r>
            <w:r>
              <w:rPr>
                <w:rFonts w:ascii="宋体" w:eastAsia="宋体" w:hAnsi="宋体" w:cs="宋体" w:hint="eastAsia"/>
                <w:color w:val="auto"/>
                <w:sz w:val="21"/>
                <w:szCs w:val="21"/>
                <w:highlight w:val="none"/>
                <w:lang w:val="en-US" w:eastAsia="zh-CN"/>
              </w:rPr>
              <w:t>运维</w:t>
            </w:r>
            <w:r>
              <w:rPr>
                <w:rFonts w:ascii="宋体" w:eastAsia="宋体" w:hAnsi="宋体" w:cs="宋体" w:hint="eastAsia"/>
                <w:color w:val="auto"/>
                <w:sz w:val="21"/>
                <w:szCs w:val="21"/>
                <w:highlight w:val="none"/>
                <w:lang w:val="zh-CN"/>
              </w:rPr>
              <w:t>人员（</w:t>
            </w:r>
            <w:r>
              <w:rPr>
                <w:rFonts w:ascii="宋体" w:eastAsia="宋体" w:hAnsi="宋体" w:cs="宋体" w:hint="eastAsia"/>
                <w:color w:val="auto"/>
                <w:sz w:val="21"/>
                <w:szCs w:val="21"/>
                <w:highlight w:val="none"/>
                <w:lang w:val="en-US" w:eastAsia="zh-CN"/>
              </w:rPr>
              <w:t>2人</w:t>
            </w:r>
            <w:r>
              <w:rPr>
                <w:rFonts w:ascii="宋体" w:eastAsia="宋体" w:hAnsi="宋体" w:cs="宋体" w:hint="eastAsia"/>
                <w:color w:val="auto"/>
                <w:sz w:val="21"/>
                <w:szCs w:val="21"/>
                <w:highlight w:val="none"/>
                <w:lang w:val="zh-CN"/>
              </w:rPr>
              <w:t>）（满分</w:t>
            </w:r>
            <w:r>
              <w:rPr>
                <w:rFonts w:ascii="宋体" w:eastAsia="宋体" w:hAnsi="宋体" w:cs="宋体" w:hint="eastAsia"/>
                <w:color w:val="auto"/>
                <w:sz w:val="21"/>
                <w:szCs w:val="21"/>
                <w:highlight w:val="none"/>
                <w:lang w:val="en-US" w:eastAsia="zh-CN"/>
              </w:rPr>
              <w:t>12分</w:t>
            </w:r>
            <w:r>
              <w:rPr>
                <w:rFonts w:ascii="宋体" w:eastAsia="宋体" w:hAnsi="宋体" w:cs="宋体" w:hint="eastAsia"/>
                <w:color w:val="auto"/>
                <w:sz w:val="21"/>
                <w:szCs w:val="21"/>
                <w:highlight w:val="none"/>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①具有</w:t>
            </w:r>
            <w:r>
              <w:rPr>
                <w:rFonts w:ascii="宋体" w:eastAsia="宋体" w:hAnsi="宋体" w:cs="宋体" w:hint="eastAsia"/>
                <w:color w:val="auto"/>
                <w:sz w:val="21"/>
                <w:szCs w:val="21"/>
                <w:highlight w:val="none"/>
                <w:lang w:val="zh-CN"/>
              </w:rPr>
              <w:t>计算机技术与软件专业技术资格</w:t>
            </w:r>
            <w:r>
              <w:rPr>
                <w:rFonts w:ascii="宋体" w:eastAsia="宋体" w:hAnsi="宋体" w:cs="宋体" w:hint="eastAsia"/>
                <w:color w:val="auto"/>
                <w:sz w:val="21"/>
                <w:szCs w:val="21"/>
                <w:highlight w:val="none"/>
              </w:rPr>
              <w:t>中级证书（</w:t>
            </w:r>
            <w:r>
              <w:rPr>
                <w:rFonts w:ascii="宋体" w:eastAsia="宋体" w:hAnsi="宋体" w:cs="宋体" w:hint="eastAsia"/>
                <w:color w:val="auto"/>
                <w:sz w:val="21"/>
                <w:szCs w:val="21"/>
                <w:highlight w:val="none"/>
                <w:lang w:eastAsia="zh-CN"/>
              </w:rPr>
              <w:t>软件设计师、软件测评师、网络工程师、信息安全工程师、信息系统管理工程师、数据库系统工程师、系统集成项目管理工程师、信息技术支持工程师，任一</w:t>
            </w:r>
            <w:r>
              <w:rPr>
                <w:rFonts w:ascii="宋体" w:eastAsia="宋体" w:hAnsi="宋体" w:cs="宋体" w:hint="eastAsia"/>
                <w:color w:val="auto"/>
                <w:sz w:val="21"/>
                <w:szCs w:val="21"/>
                <w:highlight w:val="none"/>
              </w:rPr>
              <w:t>）的，</w:t>
            </w:r>
            <w:r>
              <w:rPr>
                <w:rFonts w:ascii="宋体" w:eastAsia="宋体" w:hAnsi="宋体" w:cs="宋体" w:hint="eastAsia"/>
                <w:color w:val="auto"/>
                <w:sz w:val="21"/>
                <w:szCs w:val="21"/>
                <w:highlight w:val="none"/>
                <w:lang w:eastAsia="zh-CN"/>
              </w:rPr>
              <w:t>每具有</w:t>
            </w:r>
            <w:r>
              <w:rPr>
                <w:rFonts w:ascii="宋体" w:eastAsia="宋体" w:hAnsi="宋体" w:cs="宋体" w:hint="eastAsia"/>
                <w:color w:val="auto"/>
                <w:sz w:val="21"/>
                <w:szCs w:val="21"/>
                <w:highlight w:val="none"/>
                <w:lang w:val="en-US" w:eastAsia="zh-CN"/>
              </w:rPr>
              <w:t>1个</w:t>
            </w:r>
            <w:r>
              <w:rPr>
                <w:rFonts w:ascii="宋体" w:eastAsia="宋体" w:hAnsi="宋体" w:cs="宋体" w:hint="eastAsia"/>
                <w:color w:val="auto"/>
                <w:sz w:val="21"/>
                <w:szCs w:val="21"/>
                <w:highlight w:val="none"/>
                <w:lang w:eastAsia="zh-CN"/>
              </w:rPr>
              <w:t>证书</w:t>
            </w:r>
            <w:r>
              <w:rPr>
                <w:rFonts w:ascii="宋体" w:eastAsia="宋体" w:hAnsi="宋体" w:cs="宋体" w:hint="eastAsia"/>
                <w:color w:val="auto"/>
                <w:sz w:val="21"/>
                <w:szCs w:val="21"/>
                <w:highlight w:val="none"/>
              </w:rPr>
              <w:t>得2分</w:t>
            </w: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lang w:eastAsia="zh-CN"/>
              </w:rPr>
              <w:t>具有</w:t>
            </w:r>
            <w:r>
              <w:rPr>
                <w:rFonts w:ascii="宋体" w:eastAsia="宋体" w:hAnsi="宋体" w:cs="宋体" w:hint="eastAsia"/>
                <w:color w:val="auto"/>
                <w:sz w:val="21"/>
                <w:szCs w:val="21"/>
                <w:highlight w:val="none"/>
                <w:lang w:val="zh-CN"/>
              </w:rPr>
              <w:t>计算机技术与软件专业技术资格</w:t>
            </w:r>
            <w:r>
              <w:rPr>
                <w:rFonts w:ascii="宋体" w:eastAsia="宋体" w:hAnsi="宋体" w:cs="宋体" w:hint="eastAsia"/>
                <w:color w:val="auto"/>
                <w:sz w:val="21"/>
                <w:szCs w:val="21"/>
                <w:highlight w:val="none"/>
                <w:lang w:val="en-US" w:eastAsia="zh-CN"/>
              </w:rPr>
              <w:t>高</w:t>
            </w:r>
            <w:r>
              <w:rPr>
                <w:rFonts w:ascii="宋体" w:eastAsia="宋体" w:hAnsi="宋体" w:cs="宋体" w:hint="eastAsia"/>
                <w:color w:val="auto"/>
                <w:sz w:val="21"/>
                <w:szCs w:val="21"/>
                <w:highlight w:val="none"/>
                <w:lang w:eastAsia="zh-CN"/>
              </w:rPr>
              <w:t>级证书（</w:t>
            </w:r>
            <w:r>
              <w:rPr>
                <w:rFonts w:ascii="宋体" w:eastAsia="宋体" w:hAnsi="宋体" w:cs="宋体" w:hint="eastAsia"/>
                <w:color w:val="auto"/>
                <w:sz w:val="21"/>
                <w:szCs w:val="21"/>
                <w:highlight w:val="none"/>
                <w:lang w:val="zh-CN"/>
              </w:rPr>
              <w:t>信息系统项目管理师、系统分析师、系统架构设计师、系统规划与管理师</w:t>
            </w:r>
            <w:r>
              <w:rPr>
                <w:rFonts w:ascii="宋体" w:eastAsia="宋体" w:hAnsi="宋体" w:cs="宋体" w:hint="eastAsia"/>
                <w:color w:val="auto"/>
                <w:sz w:val="21"/>
                <w:szCs w:val="21"/>
                <w:highlight w:val="none"/>
                <w:lang w:eastAsia="zh-CN"/>
              </w:rPr>
              <w:t>，任一）的，每具有</w:t>
            </w:r>
            <w:r>
              <w:rPr>
                <w:rFonts w:ascii="宋体" w:eastAsia="宋体" w:hAnsi="宋体" w:cs="宋体" w:hint="eastAsia"/>
                <w:color w:val="auto"/>
                <w:sz w:val="21"/>
                <w:szCs w:val="21"/>
                <w:highlight w:val="none"/>
                <w:lang w:val="en-US" w:eastAsia="zh-CN"/>
              </w:rPr>
              <w:t>1个</w:t>
            </w:r>
            <w:r>
              <w:rPr>
                <w:rFonts w:ascii="宋体" w:eastAsia="宋体" w:hAnsi="宋体" w:cs="宋体" w:hint="eastAsia"/>
                <w:color w:val="auto"/>
                <w:sz w:val="21"/>
                <w:szCs w:val="21"/>
                <w:highlight w:val="none"/>
                <w:lang w:eastAsia="zh-CN"/>
              </w:rPr>
              <w:t>证书得</w:t>
            </w:r>
            <w:r>
              <w:rPr>
                <w:rFonts w:ascii="宋体" w:eastAsia="宋体" w:hAnsi="宋体" w:cs="宋体" w:hint="eastAsia"/>
                <w:color w:val="auto"/>
                <w:sz w:val="21"/>
                <w:szCs w:val="21"/>
                <w:highlight w:val="none"/>
                <w:lang w:val="en-US" w:eastAsia="zh-CN"/>
              </w:rPr>
              <w:t>3分。</w:t>
            </w:r>
            <w:r>
              <w:rPr>
                <w:rFonts w:ascii="宋体" w:eastAsia="宋体" w:hAnsi="宋体" w:cs="宋体" w:hint="eastAsia"/>
                <w:color w:val="auto"/>
                <w:sz w:val="21"/>
                <w:szCs w:val="21"/>
                <w:highlight w:val="none"/>
                <w:lang w:val="zh-CN"/>
              </w:rPr>
              <w:t>满分</w:t>
            </w:r>
            <w:r>
              <w:rPr>
                <w:rFonts w:ascii="宋体" w:eastAsia="宋体" w:hAnsi="宋体" w:cs="宋体" w:hint="eastAsia"/>
                <w:color w:val="auto"/>
                <w:sz w:val="21"/>
                <w:szCs w:val="21"/>
                <w:highlight w:val="none"/>
                <w:lang w:val="en-US" w:eastAsia="zh-CN"/>
              </w:rPr>
              <w:t>9分。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②</w:t>
            </w:r>
            <w:r>
              <w:rPr>
                <w:rFonts w:ascii="宋体" w:eastAsia="宋体" w:hAnsi="宋体" w:cs="宋体" w:hint="eastAsia"/>
                <w:color w:val="auto"/>
                <w:sz w:val="21"/>
                <w:szCs w:val="21"/>
                <w:highlight w:val="none"/>
                <w:lang w:eastAsia="zh-CN"/>
              </w:rPr>
              <w:t>全部</w:t>
            </w:r>
            <w:r>
              <w:rPr>
                <w:rFonts w:ascii="宋体" w:eastAsia="宋体" w:hAnsi="宋体" w:cs="宋体" w:hint="eastAsia"/>
                <w:color w:val="auto"/>
                <w:sz w:val="21"/>
                <w:szCs w:val="21"/>
                <w:highlight w:val="none"/>
                <w:lang w:val="en-US" w:eastAsia="zh-CN"/>
              </w:rPr>
              <w:t>运维</w:t>
            </w:r>
            <w:r>
              <w:rPr>
                <w:rFonts w:ascii="宋体" w:eastAsia="宋体" w:hAnsi="宋体" w:cs="宋体" w:hint="eastAsia"/>
                <w:color w:val="auto"/>
                <w:sz w:val="21"/>
                <w:szCs w:val="21"/>
                <w:highlight w:val="none"/>
                <w:lang w:val="zh-CN"/>
              </w:rPr>
              <w:t>人员均</w:t>
            </w:r>
            <w:r>
              <w:rPr>
                <w:rFonts w:ascii="宋体" w:eastAsia="宋体" w:hAnsi="宋体" w:cs="宋体" w:hint="eastAsia"/>
                <w:color w:val="auto"/>
                <w:sz w:val="21"/>
                <w:szCs w:val="21"/>
                <w:highlight w:val="none"/>
              </w:rPr>
              <w:t>具有</w:t>
            </w:r>
            <w:r>
              <w:rPr>
                <w:rFonts w:ascii="宋体" w:eastAsia="宋体" w:hAnsi="宋体" w:cs="宋体" w:hint="eastAsia"/>
                <w:color w:val="auto"/>
                <w:sz w:val="21"/>
                <w:szCs w:val="21"/>
                <w:highlight w:val="none"/>
                <w:lang w:val="en-US" w:eastAsia="zh-CN"/>
              </w:rPr>
              <w:t>3</w:t>
            </w:r>
            <w:r>
              <w:rPr>
                <w:rFonts w:ascii="宋体" w:eastAsia="宋体" w:hAnsi="宋体" w:cs="宋体" w:hint="eastAsia"/>
                <w:color w:val="auto"/>
                <w:sz w:val="21"/>
                <w:szCs w:val="21"/>
                <w:highlight w:val="none"/>
              </w:rPr>
              <w:t>年以上</w:t>
            </w:r>
            <w:r>
              <w:rPr>
                <w:rFonts w:ascii="宋体" w:eastAsia="宋体" w:hAnsi="宋体" w:cs="宋体" w:hint="eastAsia"/>
                <w:color w:val="auto"/>
                <w:sz w:val="21"/>
                <w:szCs w:val="21"/>
                <w:highlight w:val="none"/>
                <w:lang w:eastAsia="zh-CN"/>
              </w:rPr>
              <w:t>不足</w:t>
            </w:r>
            <w:r>
              <w:rPr>
                <w:rFonts w:ascii="宋体" w:eastAsia="宋体" w:hAnsi="宋体" w:cs="宋体" w:hint="eastAsia"/>
                <w:color w:val="auto"/>
                <w:sz w:val="21"/>
                <w:szCs w:val="21"/>
                <w:highlight w:val="none"/>
                <w:lang w:val="en-US" w:eastAsia="zh-CN"/>
              </w:rPr>
              <w:t>5年</w:t>
            </w:r>
            <w:r>
              <w:rPr>
                <w:rFonts w:ascii="宋体" w:eastAsia="宋体" w:hAnsi="宋体" w:cs="宋体" w:hint="eastAsia"/>
                <w:color w:val="auto"/>
                <w:kern w:val="2"/>
                <w:sz w:val="21"/>
                <w:szCs w:val="21"/>
                <w:highlight w:val="none"/>
                <w:lang w:val="en-US" w:eastAsia="zh-CN" w:bidi="ar-SA"/>
              </w:rPr>
              <w:t>IT项目运维服务</w:t>
            </w:r>
            <w:r>
              <w:rPr>
                <w:rFonts w:ascii="宋体" w:eastAsia="宋体" w:hAnsi="宋体" w:cs="宋体" w:hint="eastAsia"/>
                <w:snapToGrid w:val="0"/>
                <w:color w:val="auto"/>
                <w:sz w:val="21"/>
                <w:szCs w:val="21"/>
                <w:highlight w:val="none"/>
              </w:rPr>
              <w:t>经验</w:t>
            </w:r>
            <w:r>
              <w:rPr>
                <w:rFonts w:ascii="宋体" w:eastAsia="宋体" w:hAnsi="宋体" w:cs="宋体" w:hint="eastAsia"/>
                <w:color w:val="auto"/>
                <w:sz w:val="21"/>
                <w:szCs w:val="21"/>
                <w:highlight w:val="none"/>
              </w:rPr>
              <w:t>的，得</w:t>
            </w:r>
            <w:r>
              <w:rPr>
                <w:rFonts w:ascii="宋体" w:eastAsia="宋体" w:hAnsi="宋体" w:cs="宋体" w:hint="eastAsia"/>
                <w:color w:val="auto"/>
                <w:sz w:val="21"/>
                <w:szCs w:val="21"/>
                <w:highlight w:val="none"/>
                <w:lang w:val="en-US" w:eastAsia="zh-CN"/>
              </w:rPr>
              <w:t>2</w:t>
            </w:r>
            <w:r>
              <w:rPr>
                <w:rFonts w:ascii="宋体" w:eastAsia="宋体" w:hAnsi="宋体" w:cs="宋体" w:hint="eastAsia"/>
                <w:color w:val="auto"/>
                <w:sz w:val="21"/>
                <w:szCs w:val="21"/>
                <w:highlight w:val="none"/>
              </w:rPr>
              <w:t>分</w:t>
            </w:r>
            <w:r>
              <w:rPr>
                <w:rFonts w:ascii="宋体" w:eastAsia="宋体" w:hAnsi="宋体" w:cs="宋体" w:hint="eastAsia"/>
                <w:color w:val="auto"/>
                <w:sz w:val="21"/>
                <w:szCs w:val="21"/>
                <w:highlight w:val="none"/>
                <w:lang w:eastAsia="zh-CN"/>
              </w:rPr>
              <w:t>；全部</w:t>
            </w:r>
            <w:r>
              <w:rPr>
                <w:rFonts w:ascii="宋体" w:eastAsia="宋体" w:hAnsi="宋体" w:cs="宋体" w:hint="eastAsia"/>
                <w:color w:val="auto"/>
                <w:sz w:val="21"/>
                <w:szCs w:val="21"/>
                <w:highlight w:val="none"/>
                <w:lang w:val="en-US" w:eastAsia="zh-CN"/>
              </w:rPr>
              <w:t>运维</w:t>
            </w:r>
            <w:r>
              <w:rPr>
                <w:rFonts w:ascii="宋体" w:eastAsia="宋体" w:hAnsi="宋体" w:cs="宋体" w:hint="eastAsia"/>
                <w:color w:val="auto"/>
                <w:sz w:val="21"/>
                <w:szCs w:val="21"/>
                <w:highlight w:val="none"/>
                <w:lang w:val="zh-CN"/>
              </w:rPr>
              <w:t>人员均</w:t>
            </w:r>
            <w:r>
              <w:rPr>
                <w:rFonts w:ascii="宋体" w:eastAsia="宋体" w:hAnsi="宋体" w:cs="宋体" w:hint="eastAsia"/>
                <w:color w:val="auto"/>
                <w:sz w:val="21"/>
                <w:szCs w:val="21"/>
                <w:highlight w:val="none"/>
              </w:rPr>
              <w:t>具有</w:t>
            </w:r>
            <w:r>
              <w:rPr>
                <w:rFonts w:ascii="宋体" w:eastAsia="宋体" w:hAnsi="宋体" w:cs="宋体" w:hint="eastAsia"/>
                <w:color w:val="auto"/>
                <w:sz w:val="21"/>
                <w:szCs w:val="21"/>
                <w:highlight w:val="none"/>
                <w:lang w:val="en-US" w:eastAsia="zh-CN"/>
              </w:rPr>
              <w:t>5年以上</w:t>
            </w:r>
            <w:r>
              <w:rPr>
                <w:rFonts w:ascii="宋体" w:eastAsia="宋体" w:hAnsi="宋体" w:cs="宋体" w:hint="eastAsia"/>
                <w:color w:val="auto"/>
                <w:kern w:val="2"/>
                <w:sz w:val="21"/>
                <w:szCs w:val="21"/>
                <w:highlight w:val="none"/>
                <w:lang w:val="en-US" w:eastAsia="zh-CN" w:bidi="ar-SA"/>
              </w:rPr>
              <w:t>IT项目运维服务</w:t>
            </w:r>
            <w:r>
              <w:rPr>
                <w:rFonts w:ascii="宋体" w:eastAsia="宋体" w:hAnsi="宋体" w:cs="宋体" w:hint="eastAsia"/>
                <w:snapToGrid w:val="0"/>
                <w:color w:val="auto"/>
                <w:sz w:val="21"/>
                <w:szCs w:val="21"/>
                <w:highlight w:val="none"/>
              </w:rPr>
              <w:t>经验</w:t>
            </w:r>
            <w:r>
              <w:rPr>
                <w:rFonts w:ascii="宋体" w:eastAsia="宋体" w:hAnsi="宋体" w:cs="宋体" w:hint="eastAsia"/>
                <w:color w:val="auto"/>
                <w:sz w:val="21"/>
                <w:szCs w:val="21"/>
                <w:highlight w:val="none"/>
              </w:rPr>
              <w:t>的，得</w:t>
            </w:r>
            <w:r>
              <w:rPr>
                <w:rFonts w:ascii="宋体" w:eastAsia="宋体" w:hAnsi="宋体" w:cs="宋体" w:hint="eastAsia"/>
                <w:color w:val="auto"/>
                <w:sz w:val="21"/>
                <w:szCs w:val="21"/>
                <w:highlight w:val="none"/>
                <w:lang w:val="en-US" w:eastAsia="zh-CN"/>
              </w:rPr>
              <w:t>3</w:t>
            </w:r>
            <w:r>
              <w:rPr>
                <w:rFonts w:ascii="宋体" w:eastAsia="宋体" w:hAnsi="宋体" w:cs="宋体" w:hint="eastAsia"/>
                <w:color w:val="auto"/>
                <w:sz w:val="21"/>
                <w:szCs w:val="21"/>
                <w:highlight w:val="none"/>
              </w:rPr>
              <w:t>分</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满分</w:t>
            </w:r>
            <w:r>
              <w:rPr>
                <w:rFonts w:ascii="宋体" w:eastAsia="宋体" w:hAnsi="宋体" w:cs="宋体" w:hint="eastAsia"/>
                <w:color w:val="auto"/>
                <w:sz w:val="21"/>
                <w:szCs w:val="21"/>
                <w:highlight w:val="none"/>
                <w:lang w:val="en-US" w:eastAsia="zh-CN"/>
              </w:rPr>
              <w:t>3</w:t>
            </w:r>
            <w:r>
              <w:rPr>
                <w:rFonts w:ascii="宋体" w:eastAsia="宋体" w:hAnsi="宋体" w:cs="宋体" w:hint="eastAsia"/>
                <w:color w:val="auto"/>
                <w:sz w:val="21"/>
                <w:szCs w:val="21"/>
                <w:highlight w:val="none"/>
              </w:rPr>
              <w:t>分。</w:t>
            </w:r>
          </w:p>
          <w:p>
            <w:pPr>
              <w:pStyle w:val="CommentText"/>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注：上述</w:t>
            </w:r>
            <w:r>
              <w:rPr>
                <w:rFonts w:ascii="宋体" w:eastAsia="宋体" w:hAnsi="宋体" w:cs="宋体" w:hint="eastAsia"/>
                <w:color w:val="auto"/>
                <w:sz w:val="21"/>
                <w:szCs w:val="21"/>
                <w:highlight w:val="none"/>
                <w:lang w:val="zh-CN"/>
              </w:rPr>
              <w:t>资格证书，</w:t>
            </w:r>
            <w:r>
              <w:rPr>
                <w:rFonts w:ascii="宋体" w:eastAsia="宋体" w:hAnsi="宋体" w:cs="宋体" w:hint="eastAsia"/>
                <w:color w:val="auto"/>
                <w:sz w:val="21"/>
                <w:szCs w:val="21"/>
                <w:highlight w:val="none"/>
                <w:lang w:val="en-US" w:eastAsia="zh-CN"/>
              </w:rPr>
              <w:t>一人多证可重复计分。</w:t>
            </w:r>
            <w:r>
              <w:rPr>
                <w:rFonts w:ascii="宋体" w:eastAsia="宋体" w:hAnsi="宋体" w:cs="宋体" w:hint="eastAsia"/>
                <w:color w:val="auto"/>
                <w:sz w:val="21"/>
                <w:szCs w:val="21"/>
                <w:highlight w:val="none"/>
              </w:rPr>
              <w:t>投标人需提供拟投入人员清单及投入人员的</w:t>
            </w:r>
            <w:r>
              <w:rPr>
                <w:rFonts w:ascii="宋体" w:eastAsia="宋体" w:hAnsi="宋体" w:cs="宋体" w:hint="eastAsia"/>
                <w:color w:val="auto"/>
                <w:sz w:val="21"/>
                <w:szCs w:val="21"/>
                <w:highlight w:val="none"/>
                <w:lang w:eastAsia="zh-CN"/>
              </w:rPr>
              <w:t>学历、</w:t>
            </w:r>
            <w:r>
              <w:rPr>
                <w:rFonts w:ascii="宋体" w:eastAsia="宋体" w:hAnsi="宋体" w:cs="宋体" w:hint="eastAsia"/>
                <w:color w:val="auto"/>
                <w:sz w:val="21"/>
                <w:szCs w:val="21"/>
                <w:highlight w:val="none"/>
              </w:rPr>
              <w:t>相关资格证书复印件</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工作年限</w:t>
            </w:r>
            <w:r>
              <w:rPr>
                <w:rFonts w:ascii="宋体" w:eastAsia="宋体" w:hAnsi="宋体" w:cs="宋体" w:hint="eastAsia"/>
                <w:color w:val="auto"/>
                <w:sz w:val="21"/>
                <w:szCs w:val="21"/>
                <w:highlight w:val="none"/>
                <w:lang w:eastAsia="zh-CN"/>
              </w:rPr>
              <w:t>、工作经验履历</w:t>
            </w:r>
            <w:r>
              <w:rPr>
                <w:rFonts w:ascii="宋体" w:eastAsia="宋体" w:hAnsi="宋体" w:cs="宋体" w:hint="eastAsia"/>
                <w:color w:val="auto"/>
                <w:sz w:val="21"/>
                <w:szCs w:val="21"/>
                <w:highlight w:val="none"/>
              </w:rPr>
              <w:t>，以及</w:t>
            </w:r>
            <w:r>
              <w:rPr>
                <w:rFonts w:ascii="宋体" w:eastAsia="宋体" w:hAnsi="宋体" w:cs="宋体" w:hint="eastAsia"/>
                <w:color w:val="auto"/>
                <w:sz w:val="21"/>
                <w:szCs w:val="21"/>
                <w:highlight w:val="none"/>
                <w:lang w:eastAsia="zh-CN"/>
              </w:rPr>
              <w:t>拟投入</w:t>
            </w:r>
            <w:r>
              <w:rPr>
                <w:rFonts w:ascii="宋体" w:eastAsia="宋体" w:hAnsi="宋体" w:cs="宋体" w:hint="eastAsia"/>
                <w:color w:val="auto"/>
                <w:sz w:val="21"/>
                <w:szCs w:val="21"/>
                <w:highlight w:val="none"/>
              </w:rPr>
              <w:t>人员与投标</w:t>
            </w:r>
            <w:r>
              <w:rPr>
                <w:rFonts w:ascii="宋体" w:eastAsia="宋体" w:hAnsi="宋体" w:cs="宋体" w:hint="eastAsia"/>
                <w:color w:val="auto"/>
                <w:sz w:val="21"/>
                <w:szCs w:val="21"/>
                <w:highlight w:val="none"/>
                <w:lang w:eastAsia="zh-CN"/>
              </w:rPr>
              <w:t>人</w:t>
            </w:r>
            <w:r>
              <w:rPr>
                <w:rFonts w:ascii="宋体" w:eastAsia="宋体" w:hAnsi="宋体" w:cs="宋体" w:hint="eastAsia"/>
                <w:color w:val="auto"/>
                <w:sz w:val="21"/>
                <w:szCs w:val="21"/>
                <w:highlight w:val="none"/>
              </w:rPr>
              <w:t>签署的劳动合同（截止本项目开标当天合同仍在有效期内）复印件</w:t>
            </w:r>
            <w:r>
              <w:rPr>
                <w:rFonts w:ascii="宋体" w:eastAsia="宋体" w:hAnsi="宋体" w:cs="宋体" w:hint="eastAsia"/>
                <w:color w:val="auto"/>
                <w:sz w:val="21"/>
                <w:szCs w:val="21"/>
                <w:highlight w:val="none"/>
                <w:lang w:val="en-US" w:eastAsia="zh-CN"/>
              </w:rPr>
              <w:t>。</w:t>
            </w:r>
          </w:p>
        </w:tc>
        <w:tc>
          <w:tcPr>
            <w:tcW w:w="893" w:type="dxa"/>
            <w:noWrap/>
            <w:vAlign w:val="center"/>
          </w:tcPr>
          <w:p>
            <w:pPr>
              <w:keepNext w:val="0"/>
              <w:keepLines w:val="0"/>
              <w:pageBreakBefore w:val="0"/>
              <w:kinsoku/>
              <w:wordWrap/>
              <w:topLinePunct w:val="0"/>
              <w:bidi w:val="0"/>
              <w:spacing w:line="360" w:lineRule="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18</w:t>
            </w:r>
            <w:r>
              <w:rPr>
                <w:rFonts w:ascii="宋体" w:eastAsia="宋体" w:hAnsi="宋体" w:cs="宋体" w:hint="eastAsia"/>
                <w:color w:val="auto"/>
                <w:sz w:val="21"/>
                <w:szCs w:val="21"/>
                <w:highlight w:val="none"/>
              </w:rPr>
              <w:t>分</w:t>
            </w:r>
          </w:p>
        </w:tc>
      </w:tr>
      <w:tr>
        <w:tblPrEx>
          <w:tblW w:w="9147" w:type="dxa"/>
          <w:tblInd w:w="0" w:type="dxa"/>
          <w:tblLayout w:type="fixed"/>
          <w:tblCellMar>
            <w:top w:w="0" w:type="dxa"/>
            <w:left w:w="108" w:type="dxa"/>
            <w:bottom w:w="0" w:type="dxa"/>
            <w:right w:w="108" w:type="dxa"/>
          </w:tblCellMar>
        </w:tblPrEx>
        <w:trPr>
          <w:trHeight w:val="1237"/>
        </w:trPr>
        <w:tc>
          <w:tcPr>
            <w:tcW w:w="477" w:type="dxa"/>
            <w:vMerge w:val="restart"/>
            <w:noWrap/>
            <w:vAlign w:val="center"/>
          </w:tcPr>
          <w:p>
            <w:pPr>
              <w:keepNext w:val="0"/>
              <w:keepLines w:val="0"/>
              <w:pageBreakBefore w:val="0"/>
              <w:kinsoku/>
              <w:wordWrap/>
              <w:topLinePunct w:val="0"/>
              <w:bidi w:val="0"/>
              <w:spacing w:line="360" w:lineRule="exact"/>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3</w:t>
            </w:r>
          </w:p>
        </w:tc>
        <w:tc>
          <w:tcPr>
            <w:tcW w:w="1102" w:type="dxa"/>
            <w:vMerge w:val="restart"/>
            <w:noWrap/>
            <w:vAlign w:val="center"/>
          </w:tcPr>
          <w:p>
            <w:pPr>
              <w:pStyle w:val="BodyText"/>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技术</w:t>
            </w:r>
          </w:p>
          <w:p>
            <w:pPr>
              <w:pStyle w:val="BodyText"/>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或者</w:t>
            </w:r>
          </w:p>
          <w:p>
            <w:pPr>
              <w:pStyle w:val="BodyText"/>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服务</w:t>
            </w:r>
          </w:p>
          <w:p>
            <w:pPr>
              <w:pStyle w:val="BodyText"/>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水平</w:t>
            </w:r>
          </w:p>
          <w:p>
            <w:pPr>
              <w:pStyle w:val="BodyText"/>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(56</w:t>
            </w:r>
            <w:r>
              <w:rPr>
                <w:rFonts w:ascii="宋体" w:eastAsia="宋体" w:hAnsi="宋体" w:cs="宋体" w:hint="eastAsia"/>
                <w:color w:val="auto"/>
                <w:sz w:val="21"/>
                <w:szCs w:val="21"/>
                <w:highlight w:val="none"/>
              </w:rPr>
              <w:t>分</w:t>
            </w:r>
            <w:r>
              <w:rPr>
                <w:rFonts w:ascii="宋体" w:eastAsia="宋体" w:hAnsi="宋体" w:cs="宋体" w:hint="eastAsia"/>
                <w:color w:val="auto"/>
                <w:sz w:val="21"/>
                <w:szCs w:val="21"/>
                <w:highlight w:val="none"/>
                <w:lang w:val="en-US" w:eastAsia="zh-CN"/>
              </w:rPr>
              <w:t>)</w:t>
            </w: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zh-CN" w:eastAsia="zh-CN"/>
              </w:rPr>
            </w:pPr>
            <w:r>
              <w:rPr>
                <w:rFonts w:ascii="宋体" w:eastAsia="宋体" w:hAnsi="宋体" w:cs="宋体" w:hint="eastAsia"/>
                <w:color w:val="auto"/>
                <w:sz w:val="21"/>
                <w:szCs w:val="21"/>
                <w:highlight w:val="none"/>
                <w:lang w:val="zh-CN" w:eastAsia="zh-CN"/>
              </w:rPr>
              <w:t>技术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zh-CN" w:eastAsia="zh-CN"/>
              </w:rPr>
            </w:pPr>
            <w:r>
              <w:rPr>
                <w:rFonts w:ascii="宋体" w:eastAsia="宋体" w:hAnsi="宋体" w:cs="宋体" w:hint="eastAsia"/>
                <w:color w:val="auto"/>
                <w:sz w:val="21"/>
                <w:szCs w:val="21"/>
                <w:highlight w:val="none"/>
                <w:lang w:val="zh-CN" w:eastAsia="zh-CN"/>
              </w:rPr>
              <w:t>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zh-CN" w:eastAsia="zh-CN"/>
              </w:rPr>
            </w:pPr>
            <w:r>
              <w:rPr>
                <w:rFonts w:ascii="宋体" w:eastAsia="宋体" w:hAnsi="宋体" w:cs="宋体" w:hint="eastAsia"/>
                <w:color w:val="auto"/>
                <w:sz w:val="21"/>
                <w:szCs w:val="21"/>
                <w:highlight w:val="none"/>
                <w:lang w:val="zh-CN" w:eastAsia="zh-CN"/>
              </w:rPr>
              <w:t>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zh-CN" w:eastAsia="zh-CN"/>
              </w:rPr>
            </w:pPr>
            <w:r>
              <w:rPr>
                <w:rFonts w:ascii="宋体" w:eastAsia="宋体" w:hAnsi="宋体" w:cs="宋体" w:hint="eastAsia"/>
                <w:color w:val="auto"/>
                <w:sz w:val="21"/>
                <w:szCs w:val="21"/>
                <w:highlight w:val="none"/>
                <w:lang w:val="zh-CN" w:eastAsia="zh-CN"/>
              </w:rPr>
              <w:t>响应</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zh-CN" w:eastAsia="zh-CN"/>
              </w:rPr>
            </w:pPr>
            <w:r>
              <w:rPr>
                <w:rFonts w:ascii="宋体" w:eastAsia="宋体" w:hAnsi="宋体" w:cs="宋体" w:hint="eastAsia"/>
                <w:color w:val="auto"/>
                <w:sz w:val="21"/>
                <w:szCs w:val="21"/>
                <w:highlight w:val="none"/>
                <w:lang w:val="zh-CN" w:eastAsia="zh-CN"/>
              </w:rPr>
              <w:t>情况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en-US" w:eastAsia="zh-CN"/>
              </w:rPr>
            </w:pPr>
            <w:r>
              <w:rPr>
                <w:rFonts w:ascii="宋体" w:eastAsia="宋体" w:hAnsi="宋体" w:cs="宋体" w:hint="eastAsia"/>
                <w:color w:val="auto"/>
                <w:sz w:val="21"/>
                <w:szCs w:val="21"/>
                <w:highlight w:val="none"/>
                <w:lang w:val="en-US" w:eastAsia="zh-CN"/>
              </w:rPr>
              <w:t>(26分)</w:t>
            </w:r>
          </w:p>
        </w:tc>
        <w:tc>
          <w:tcPr>
            <w:tcW w:w="5573" w:type="dxa"/>
            <w:noWrap/>
            <w:vAlign w:val="top"/>
          </w:tcPr>
          <w:p>
            <w:pPr>
              <w:keepNext w:val="0"/>
              <w:keepLines w:val="0"/>
              <w:pageBreakBefore w:val="0"/>
              <w:widowControl/>
              <w:kinsoku/>
              <w:wordWrap/>
              <w:overflowPunct w:val="0"/>
              <w:topLinePunct w:val="0"/>
              <w:autoSpaceDE w:val="0"/>
              <w:autoSpaceDN w:val="0"/>
              <w:bidi w:val="0"/>
              <w:adjustRightInd w:val="0"/>
              <w:snapToGrid/>
              <w:spacing w:line="360" w:lineRule="auto"/>
              <w:ind w:firstLine="420" w:firstLineChars="200"/>
              <w:jc w:val="both"/>
              <w:textAlignment w:val="baseline"/>
              <w:rPr>
                <w:rFonts w:ascii="宋体" w:eastAsia="宋体" w:hAnsi="宋体" w:cs="宋体" w:hint="eastAsia"/>
                <w:color w:val="auto"/>
                <w:sz w:val="21"/>
                <w:szCs w:val="21"/>
                <w:highlight w:val="none"/>
                <w:lang w:val="zh-CN" w:eastAsia="zh-CN"/>
              </w:rPr>
            </w:pPr>
            <w:r>
              <w:rPr>
                <w:rFonts w:ascii="宋体" w:eastAsia="宋体" w:hAnsi="宋体" w:cs="宋体" w:hint="eastAsia"/>
                <w:color w:val="auto"/>
                <w:sz w:val="21"/>
                <w:szCs w:val="21"/>
                <w:highlight w:val="none"/>
                <w:lang w:eastAsia="zh-CN"/>
              </w:rPr>
              <w:t>本项目招标文件采购需求中，标注▲的指标为重要指标（共</w:t>
            </w:r>
            <w:r>
              <w:rPr>
                <w:rFonts w:ascii="宋体" w:eastAsia="宋体" w:hAnsi="宋体" w:cs="宋体" w:hint="eastAsia"/>
                <w:color w:val="auto"/>
                <w:sz w:val="21"/>
                <w:szCs w:val="21"/>
                <w:highlight w:val="none"/>
                <w:lang w:val="en-US" w:eastAsia="zh-CN"/>
              </w:rPr>
              <w:t>13</w:t>
            </w:r>
            <w:r>
              <w:rPr>
                <w:rFonts w:ascii="宋体" w:eastAsia="宋体" w:hAnsi="宋体" w:cs="宋体" w:hint="eastAsia"/>
                <w:color w:val="auto"/>
                <w:sz w:val="21"/>
                <w:szCs w:val="21"/>
                <w:highlight w:val="none"/>
                <w:lang w:eastAsia="zh-CN"/>
              </w:rPr>
              <w:t>项）</w:t>
            </w:r>
            <w:r>
              <w:rPr>
                <w:rFonts w:ascii="宋体" w:eastAsia="宋体" w:hAnsi="宋体" w:cs="宋体" w:hint="eastAsia"/>
                <w:color w:val="auto"/>
                <w:sz w:val="21"/>
                <w:szCs w:val="21"/>
                <w:highlight w:val="none"/>
                <w:lang w:val="en-US" w:eastAsia="zh-CN"/>
              </w:rPr>
              <w:t>，不存在负偏离，每项得2分，满分26</w:t>
            </w:r>
            <w:r>
              <w:rPr>
                <w:rFonts w:ascii="宋体" w:eastAsia="宋体" w:hAnsi="宋体" w:cs="宋体" w:hint="eastAsia"/>
                <w:color w:val="auto"/>
                <w:sz w:val="21"/>
                <w:szCs w:val="21"/>
                <w:highlight w:val="none"/>
                <w:lang w:val="zh-CN"/>
              </w:rPr>
              <w:t>分。</w:t>
            </w:r>
          </w:p>
          <w:p>
            <w:pPr>
              <w:keepNext w:val="0"/>
              <w:keepLines w:val="0"/>
              <w:pageBreakBefore w:val="0"/>
              <w:widowControl/>
              <w:kinsoku/>
              <w:wordWrap/>
              <w:overflowPunct w:val="0"/>
              <w:topLinePunct w:val="0"/>
              <w:autoSpaceDE w:val="0"/>
              <w:autoSpaceDN w:val="0"/>
              <w:bidi w:val="0"/>
              <w:adjustRightInd w:val="0"/>
              <w:snapToGrid/>
              <w:spacing w:line="360" w:lineRule="auto"/>
              <w:ind w:firstLine="420" w:firstLineChars="200"/>
              <w:jc w:val="both"/>
              <w:textAlignment w:val="baseline"/>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lang w:val="en-US" w:eastAsia="zh-CN"/>
              </w:rPr>
              <w:t>注：</w:t>
            </w:r>
            <w:r>
              <w:rPr>
                <w:rFonts w:ascii="宋体" w:eastAsia="宋体" w:hAnsi="宋体" w:cs="宋体" w:hint="eastAsia"/>
                <w:color w:val="auto"/>
                <w:sz w:val="21"/>
                <w:szCs w:val="21"/>
                <w:highlight w:val="none"/>
                <w:lang w:val="zh-CN"/>
              </w:rPr>
              <w:t>对于同一指标项中的多条（行）</w:t>
            </w:r>
            <w:r>
              <w:rPr>
                <w:rFonts w:ascii="宋体" w:eastAsia="宋体" w:hAnsi="宋体" w:cs="宋体" w:hint="eastAsia"/>
                <w:color w:val="auto"/>
                <w:sz w:val="21"/>
                <w:szCs w:val="21"/>
                <w:highlight w:val="none"/>
                <w:lang w:val="en-US" w:eastAsia="zh-CN"/>
              </w:rPr>
              <w:t>要求</w:t>
            </w:r>
            <w:r>
              <w:rPr>
                <w:rFonts w:ascii="宋体" w:eastAsia="宋体" w:hAnsi="宋体" w:cs="宋体" w:hint="eastAsia"/>
                <w:color w:val="auto"/>
                <w:sz w:val="21"/>
                <w:szCs w:val="21"/>
                <w:highlight w:val="none"/>
                <w:lang w:val="zh-CN"/>
              </w:rPr>
              <w:t>，</w:t>
            </w:r>
            <w:r>
              <w:rPr>
                <w:rFonts w:ascii="宋体" w:eastAsia="宋体" w:hAnsi="宋体" w:cs="宋体" w:hint="eastAsia"/>
                <w:color w:val="auto"/>
                <w:sz w:val="21"/>
                <w:szCs w:val="21"/>
                <w:highlight w:val="none"/>
                <w:lang w:val="en-US" w:eastAsia="zh-CN"/>
              </w:rPr>
              <w:t>投标人</w:t>
            </w:r>
            <w:r>
              <w:rPr>
                <w:rFonts w:ascii="宋体" w:eastAsia="宋体" w:hAnsi="宋体" w:cs="宋体" w:hint="eastAsia"/>
                <w:color w:val="auto"/>
                <w:sz w:val="21"/>
                <w:szCs w:val="21"/>
                <w:highlight w:val="none"/>
                <w:lang w:val="zh-CN"/>
              </w:rPr>
              <w:t>有一条（行）</w:t>
            </w:r>
            <w:r>
              <w:rPr>
                <w:rFonts w:ascii="宋体" w:eastAsia="宋体" w:hAnsi="宋体" w:cs="宋体" w:hint="eastAsia"/>
                <w:color w:val="auto"/>
                <w:sz w:val="21"/>
                <w:szCs w:val="21"/>
                <w:highlight w:val="none"/>
                <w:lang w:val="en-US" w:eastAsia="zh-CN"/>
              </w:rPr>
              <w:t>的响应存在负偏离的</w:t>
            </w:r>
            <w:r>
              <w:rPr>
                <w:rFonts w:ascii="宋体" w:eastAsia="宋体" w:hAnsi="宋体" w:cs="宋体" w:hint="eastAsia"/>
                <w:color w:val="auto"/>
                <w:sz w:val="21"/>
                <w:szCs w:val="21"/>
                <w:highlight w:val="none"/>
                <w:lang w:val="zh-CN"/>
              </w:rPr>
              <w:t>，该项按负偏离处理。</w:t>
            </w:r>
            <w:r>
              <w:rPr>
                <w:rFonts w:ascii="宋体" w:eastAsia="宋体" w:hAnsi="宋体" w:cs="宋体" w:hint="eastAsia"/>
                <w:color w:val="auto"/>
                <w:sz w:val="21"/>
                <w:szCs w:val="21"/>
                <w:highlight w:val="none"/>
                <w:lang w:val="en-US" w:eastAsia="zh-CN"/>
              </w:rPr>
              <w:t>以投标人的“</w:t>
            </w:r>
            <w:r>
              <w:rPr>
                <w:rFonts w:ascii="宋体" w:eastAsia="宋体" w:hAnsi="宋体" w:cs="宋体" w:hint="eastAsia"/>
                <w:color w:val="auto"/>
                <w:sz w:val="21"/>
                <w:szCs w:val="21"/>
                <w:highlight w:val="none"/>
                <w:lang w:val="zh-CN" w:eastAsia="zh-CN"/>
              </w:rPr>
              <w:t>技术</w:t>
            </w:r>
            <w:r>
              <w:rPr>
                <w:rFonts w:ascii="宋体" w:eastAsia="宋体" w:hAnsi="宋体" w:cs="宋体" w:hint="eastAsia"/>
                <w:color w:val="auto"/>
                <w:sz w:val="21"/>
                <w:szCs w:val="21"/>
                <w:highlight w:val="none"/>
                <w:lang w:val="en-US" w:eastAsia="zh-CN"/>
              </w:rPr>
              <w:t>条款</w:t>
            </w:r>
            <w:r>
              <w:rPr>
                <w:rFonts w:ascii="宋体" w:eastAsia="宋体" w:hAnsi="宋体" w:cs="宋体" w:hint="eastAsia"/>
                <w:color w:val="auto"/>
                <w:sz w:val="21"/>
                <w:szCs w:val="21"/>
                <w:highlight w:val="none"/>
                <w:lang w:val="zh-CN" w:eastAsia="zh-CN"/>
              </w:rPr>
              <w:t>偏离表”</w:t>
            </w:r>
            <w:r>
              <w:rPr>
                <w:rFonts w:ascii="宋体" w:eastAsia="宋体" w:hAnsi="宋体" w:cs="宋体" w:hint="eastAsia"/>
                <w:color w:val="auto"/>
                <w:sz w:val="21"/>
                <w:szCs w:val="21"/>
                <w:highlight w:val="none"/>
                <w:lang w:val="en-US" w:eastAsia="zh-CN"/>
              </w:rPr>
              <w:t>的响应情况为准</w:t>
            </w:r>
            <w:r>
              <w:rPr>
                <w:rFonts w:ascii="宋体" w:eastAsia="宋体" w:hAnsi="宋体" w:cs="宋体" w:hint="eastAsia"/>
                <w:color w:val="auto"/>
                <w:sz w:val="21"/>
                <w:szCs w:val="21"/>
                <w:highlight w:val="none"/>
                <w:lang w:val="zh-CN" w:eastAsia="zh-CN"/>
              </w:rPr>
              <w:t>。</w:t>
            </w:r>
          </w:p>
        </w:tc>
        <w:tc>
          <w:tcPr>
            <w:tcW w:w="893" w:type="dxa"/>
            <w:noWrap/>
            <w:vAlign w:val="center"/>
          </w:tcPr>
          <w:p>
            <w:pPr>
              <w:keepNext w:val="0"/>
              <w:keepLines w:val="0"/>
              <w:pageBreakBefore w:val="0"/>
              <w:kinsoku/>
              <w:wordWrap/>
              <w:topLinePunct w:val="0"/>
              <w:bidi w:val="0"/>
              <w:spacing w:line="360" w:lineRule="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26</w:t>
            </w:r>
            <w:r>
              <w:rPr>
                <w:rFonts w:ascii="宋体" w:eastAsia="宋体" w:hAnsi="宋体" w:cs="宋体" w:hint="eastAsia"/>
                <w:color w:val="auto"/>
                <w:sz w:val="21"/>
                <w:szCs w:val="21"/>
                <w:highlight w:val="none"/>
              </w:rPr>
              <w:t>分</w:t>
            </w:r>
          </w:p>
        </w:tc>
      </w:tr>
      <w:tr>
        <w:tblPrEx>
          <w:tblW w:w="9147" w:type="dxa"/>
          <w:tblInd w:w="0" w:type="dxa"/>
          <w:tblLayout w:type="fixed"/>
          <w:tblCellMar>
            <w:top w:w="0" w:type="dxa"/>
            <w:left w:w="108" w:type="dxa"/>
            <w:bottom w:w="0" w:type="dxa"/>
            <w:right w:w="108" w:type="dxa"/>
          </w:tblCellMar>
        </w:tblPrEx>
        <w:trPr>
          <w:trHeight w:val="1237"/>
        </w:trPr>
        <w:tc>
          <w:tcPr>
            <w:tcW w:w="477" w:type="dxa"/>
            <w:vMerge/>
            <w:noWrap/>
            <w:vAlign w:val="center"/>
          </w:tcPr>
          <w:p>
            <w:pPr>
              <w:keepNext w:val="0"/>
              <w:keepLines w:val="0"/>
              <w:pageBreakBefore w:val="0"/>
              <w:kinsoku/>
              <w:wordWrap/>
              <w:topLinePunct w:val="0"/>
              <w:bidi w:val="0"/>
              <w:spacing w:line="360" w:lineRule="exact"/>
              <w:rPr>
                <w:rFonts w:ascii="宋体" w:eastAsia="宋体" w:hAnsi="宋体" w:cs="宋体" w:hint="eastAsia"/>
                <w:color w:val="auto"/>
                <w:sz w:val="21"/>
                <w:szCs w:val="21"/>
                <w:highlight w:val="none"/>
                <w:lang w:val="en-US" w:eastAsia="zh-CN"/>
              </w:rPr>
            </w:pPr>
          </w:p>
        </w:tc>
        <w:tc>
          <w:tcPr>
            <w:tcW w:w="1102" w:type="dxa"/>
            <w:vMerge/>
            <w:noWrap/>
            <w:vAlign w:val="center"/>
          </w:tcPr>
          <w:p>
            <w:pPr>
              <w:pStyle w:val="BodyText"/>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rPr>
            </w:pP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snapToGrid w:val="0"/>
                <w:color w:val="auto"/>
                <w:sz w:val="21"/>
                <w:szCs w:val="21"/>
                <w:highlight w:val="none"/>
              </w:rPr>
            </w:pPr>
            <w:r>
              <w:rPr>
                <w:rFonts w:ascii="宋体" w:eastAsia="宋体" w:hAnsi="宋体" w:cs="宋体" w:hint="eastAsia"/>
                <w:snapToGrid w:val="0"/>
                <w:color w:val="auto"/>
                <w:sz w:val="21"/>
                <w:szCs w:val="21"/>
                <w:highlight w:val="none"/>
              </w:rPr>
              <w: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snapToGrid w:val="0"/>
                <w:color w:val="auto"/>
                <w:sz w:val="21"/>
                <w:szCs w:val="21"/>
                <w:highlight w:val="none"/>
              </w:rPr>
            </w:pPr>
            <w:r>
              <w:rPr>
                <w:rFonts w:ascii="宋体" w:eastAsia="宋体" w:hAnsi="宋体" w:cs="宋体" w:hint="eastAsia"/>
                <w:snapToGrid w:val="0"/>
                <w:color w:val="auto"/>
                <w:sz w:val="21"/>
                <w:szCs w:val="21"/>
                <w:highlight w:val="none"/>
              </w:rPr>
              <w:t>需求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snapToGrid w:val="0"/>
                <w:color w:val="auto"/>
                <w:sz w:val="21"/>
                <w:szCs w:val="21"/>
                <w:highlight w:val="none"/>
              </w:rPr>
            </w:pPr>
            <w:r>
              <w:rPr>
                <w:rFonts w:ascii="宋体" w:eastAsia="宋体" w:hAnsi="宋体" w:cs="宋体" w:hint="eastAsia"/>
                <w:snapToGrid w:val="0"/>
                <w:color w:val="auto"/>
                <w:sz w:val="21"/>
                <w:szCs w:val="21"/>
                <w:highlight w:val="none"/>
              </w:rPr>
              <w:t>理解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snapToGrid w:val="0"/>
                <w:color w:val="auto"/>
                <w:sz w:val="21"/>
                <w:szCs w:val="21"/>
                <w:highlight w:val="none"/>
                <w:lang w:val="en-US"/>
              </w:rPr>
            </w:pPr>
            <w:r>
              <w:rPr>
                <w:rFonts w:ascii="宋体" w:eastAsia="宋体" w:hAnsi="宋体" w:cs="宋体" w:hint="eastAsia"/>
                <w:snapToGrid w:val="0"/>
                <w:color w:val="auto"/>
                <w:sz w:val="21"/>
                <w:szCs w:val="21"/>
                <w:highlight w:val="none"/>
                <w:lang w:val="en-US" w:eastAsia="zh-CN"/>
              </w:rPr>
              <w:t>(9分)</w:t>
            </w:r>
          </w:p>
        </w:tc>
        <w:tc>
          <w:tcPr>
            <w:tcW w:w="5573" w:type="dxa"/>
            <w:noWrap/>
            <w:vAlign w:val="top"/>
          </w:tcPr>
          <w:p>
            <w:pPr>
              <w:pStyle w:val="a0"/>
              <w:keepNext w:val="0"/>
              <w:keepLines w:val="0"/>
              <w:pageBreakBefore w:val="0"/>
              <w:kinsoku/>
              <w:wordWrap/>
              <w:topLinePunct w:val="0"/>
              <w:bidi w:val="0"/>
              <w:spacing w:line="360" w:lineRule="auto"/>
              <w:ind w:left="0" w:firstLine="420" w:leftChars="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由评标委员会根据投标文件中的</w:t>
            </w:r>
            <w:r>
              <w:rPr>
                <w:rFonts w:ascii="宋体" w:eastAsia="宋体" w:hAnsi="宋体" w:cs="宋体" w:hint="eastAsia"/>
                <w:color w:val="auto"/>
                <w:sz w:val="21"/>
                <w:szCs w:val="21"/>
                <w:highlight w:val="none"/>
                <w:lang w:val="en-US" w:eastAsia="zh-CN"/>
              </w:rPr>
              <w:t>项目内容、</w:t>
            </w:r>
            <w:r>
              <w:rPr>
                <w:rFonts w:ascii="宋体" w:eastAsia="宋体" w:hAnsi="宋体" w:cs="宋体" w:hint="eastAsia"/>
                <w:snapToGrid w:val="0"/>
                <w:color w:val="auto"/>
                <w:sz w:val="21"/>
                <w:szCs w:val="21"/>
                <w:highlight w:val="none"/>
              </w:rPr>
              <w:t>“</w:t>
            </w:r>
            <w:r>
              <w:rPr>
                <w:rFonts w:ascii="宋体" w:eastAsia="宋体" w:hAnsi="宋体" w:cs="宋体" w:hint="eastAsia"/>
                <w:color w:val="auto"/>
                <w:kern w:val="2"/>
                <w:sz w:val="21"/>
                <w:szCs w:val="21"/>
                <w:highlight w:val="none"/>
                <w:lang w:val="en-US" w:eastAsia="zh-CN" w:bidi="ar-SA"/>
              </w:rPr>
              <w:t>金税工程运维服务管理平台</w:t>
            </w:r>
            <w:r>
              <w:rPr>
                <w:rFonts w:ascii="宋体" w:eastAsia="宋体" w:hAnsi="宋体" w:cs="宋体" w:hint="eastAsia"/>
                <w:snapToGrid w:val="0"/>
                <w:color w:val="auto"/>
                <w:sz w:val="21"/>
                <w:szCs w:val="21"/>
                <w:highlight w:val="none"/>
              </w:rPr>
              <w:t>”</w:t>
            </w:r>
            <w:r>
              <w:rPr>
                <w:rFonts w:ascii="宋体" w:eastAsia="宋体" w:hAnsi="宋体" w:cs="宋体" w:hint="eastAsia"/>
                <w:color w:val="auto"/>
                <w:sz w:val="21"/>
                <w:szCs w:val="21"/>
                <w:highlight w:val="none"/>
              </w:rPr>
              <w:t>基本情况及</w:t>
            </w:r>
            <w:r>
              <w:rPr>
                <w:rFonts w:ascii="宋体" w:eastAsia="宋体" w:hAnsi="宋体" w:cs="宋体" w:hint="eastAsia"/>
                <w:color w:val="auto"/>
                <w:sz w:val="21"/>
                <w:szCs w:val="21"/>
                <w:highlight w:val="none"/>
                <w:lang w:val="en-US" w:eastAsia="zh-CN"/>
              </w:rPr>
              <w:t>现状要求</w:t>
            </w:r>
            <w:r>
              <w:rPr>
                <w:rFonts w:ascii="宋体" w:eastAsia="宋体" w:hAnsi="宋体" w:cs="宋体" w:hint="eastAsia"/>
                <w:color w:val="auto"/>
                <w:sz w:val="21"/>
                <w:szCs w:val="21"/>
                <w:highlight w:val="none"/>
              </w:rPr>
              <w:t>、项目实施的重点及难点等进行评审，以下各项不重复计分：</w:t>
            </w:r>
          </w:p>
          <w:p>
            <w:pPr>
              <w:pStyle w:val="a0"/>
              <w:keepNext w:val="0"/>
              <w:keepLines w:val="0"/>
              <w:pageBreakBefore w:val="0"/>
              <w:kinsoku/>
              <w:wordWrap/>
              <w:topLinePunct w:val="0"/>
              <w:bidi w:val="0"/>
              <w:spacing w:line="360" w:lineRule="auto"/>
              <w:ind w:left="0" w:firstLine="420" w:leftChars="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①投标人能详细阐述项目</w:t>
            </w:r>
            <w:r>
              <w:rPr>
                <w:rFonts w:ascii="宋体" w:eastAsia="宋体" w:hAnsi="宋体" w:cs="宋体" w:hint="eastAsia"/>
                <w:color w:val="auto"/>
                <w:sz w:val="21"/>
                <w:szCs w:val="21"/>
                <w:highlight w:val="none"/>
                <w:lang w:val="en-US" w:eastAsia="zh-CN"/>
              </w:rPr>
              <w:t>内容（包括通用要求、专项要求）</w:t>
            </w:r>
            <w:r>
              <w:rPr>
                <w:rFonts w:ascii="宋体" w:eastAsia="宋体" w:hAnsi="宋体" w:cs="宋体" w:hint="eastAsia"/>
                <w:color w:val="auto"/>
                <w:sz w:val="21"/>
                <w:szCs w:val="21"/>
                <w:highlight w:val="none"/>
              </w:rPr>
              <w:t>，内容全面、完整，对本项目服务需求理解思路正确的，得</w:t>
            </w:r>
            <w:r>
              <w:rPr>
                <w:rFonts w:ascii="宋体" w:eastAsia="宋体" w:hAnsi="宋体" w:cs="宋体" w:hint="eastAsia"/>
                <w:color w:val="auto"/>
                <w:sz w:val="21"/>
                <w:szCs w:val="21"/>
                <w:highlight w:val="none"/>
                <w:lang w:val="en-US" w:eastAsia="zh-CN"/>
              </w:rPr>
              <w:t>3</w:t>
            </w:r>
            <w:r>
              <w:rPr>
                <w:rFonts w:ascii="宋体" w:eastAsia="宋体" w:hAnsi="宋体" w:cs="宋体" w:hint="eastAsia"/>
                <w:color w:val="auto"/>
                <w:sz w:val="21"/>
                <w:szCs w:val="21"/>
                <w:highlight w:val="none"/>
              </w:rPr>
              <w:t>分；</w:t>
            </w:r>
          </w:p>
          <w:p>
            <w:pPr>
              <w:pStyle w:val="a0"/>
              <w:keepNext w:val="0"/>
              <w:keepLines w:val="0"/>
              <w:pageBreakBefore w:val="0"/>
              <w:kinsoku/>
              <w:wordWrap/>
              <w:topLinePunct w:val="0"/>
              <w:bidi w:val="0"/>
              <w:spacing w:line="360" w:lineRule="auto"/>
              <w:ind w:left="0" w:firstLine="420" w:leftChars="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②在本项①基础上，投标人</w:t>
            </w:r>
            <w:r>
              <w:rPr>
                <w:rFonts w:ascii="宋体" w:eastAsia="宋体" w:hAnsi="宋体" w:cs="宋体" w:hint="eastAsia"/>
                <w:color w:val="auto"/>
                <w:kern w:val="0"/>
                <w:sz w:val="21"/>
                <w:szCs w:val="21"/>
                <w:highlight w:val="none"/>
                <w:lang w:bidi="ar"/>
              </w:rPr>
              <w:t>对</w:t>
            </w:r>
            <w:r>
              <w:rPr>
                <w:rFonts w:ascii="宋体" w:eastAsia="宋体" w:hAnsi="宋体" w:cs="宋体" w:hint="eastAsia"/>
                <w:snapToGrid/>
                <w:color w:val="auto"/>
                <w:sz w:val="21"/>
                <w:szCs w:val="21"/>
                <w:highlight w:val="none"/>
              </w:rPr>
              <w:t>“</w:t>
            </w:r>
            <w:r>
              <w:rPr>
                <w:rFonts w:ascii="宋体" w:eastAsia="宋体" w:hAnsi="宋体" w:cs="宋体" w:hint="eastAsia"/>
                <w:color w:val="auto"/>
                <w:kern w:val="2"/>
                <w:sz w:val="21"/>
                <w:szCs w:val="21"/>
                <w:highlight w:val="none"/>
                <w:lang w:val="en-US" w:eastAsia="zh-CN" w:bidi="ar-SA"/>
              </w:rPr>
              <w:t>金税工程运维服务管理平台</w:t>
            </w:r>
            <w:r>
              <w:rPr>
                <w:rFonts w:ascii="宋体" w:eastAsia="宋体" w:hAnsi="宋体" w:cs="宋体" w:hint="eastAsia"/>
                <w:snapToGrid/>
                <w:color w:val="auto"/>
                <w:sz w:val="21"/>
                <w:szCs w:val="21"/>
                <w:highlight w:val="none"/>
              </w:rPr>
              <w:t>”</w:t>
            </w:r>
            <w:r>
              <w:rPr>
                <w:rFonts w:ascii="宋体" w:eastAsia="宋体" w:hAnsi="宋体" w:cs="宋体" w:hint="eastAsia"/>
                <w:color w:val="auto"/>
                <w:sz w:val="21"/>
                <w:szCs w:val="21"/>
                <w:highlight w:val="none"/>
              </w:rPr>
              <w:t>基本情况及</w:t>
            </w:r>
            <w:r>
              <w:rPr>
                <w:rFonts w:ascii="宋体" w:eastAsia="宋体" w:hAnsi="宋体" w:cs="宋体" w:hint="eastAsia"/>
                <w:color w:val="auto"/>
                <w:sz w:val="21"/>
                <w:szCs w:val="21"/>
                <w:highlight w:val="none"/>
                <w:lang w:val="en-US" w:eastAsia="zh-CN"/>
              </w:rPr>
              <w:t>现状要求</w:t>
            </w:r>
            <w:r>
              <w:rPr>
                <w:rFonts w:ascii="宋体" w:eastAsia="宋体" w:hAnsi="宋体" w:cs="宋体" w:hint="eastAsia"/>
                <w:color w:val="auto"/>
                <w:sz w:val="21"/>
                <w:szCs w:val="21"/>
                <w:highlight w:val="none"/>
              </w:rPr>
              <w:t>进行</w:t>
            </w:r>
            <w:r>
              <w:rPr>
                <w:rFonts w:ascii="宋体" w:eastAsia="宋体" w:hAnsi="宋体" w:cs="宋体" w:hint="eastAsia"/>
                <w:color w:val="auto"/>
                <w:sz w:val="21"/>
                <w:szCs w:val="21"/>
                <w:highlight w:val="none"/>
                <w:lang w:eastAsia="zh-CN"/>
              </w:rPr>
              <w:t>详细</w:t>
            </w:r>
            <w:r>
              <w:rPr>
                <w:rFonts w:ascii="宋体" w:eastAsia="宋体" w:hAnsi="宋体" w:cs="宋体" w:hint="eastAsia"/>
                <w:color w:val="auto"/>
                <w:sz w:val="21"/>
                <w:szCs w:val="21"/>
                <w:highlight w:val="none"/>
              </w:rPr>
              <w:t>描述</w:t>
            </w:r>
            <w:r>
              <w:rPr>
                <w:rFonts w:ascii="宋体" w:eastAsia="宋体" w:hAnsi="宋体" w:cs="宋体" w:hint="eastAsia"/>
                <w:color w:val="auto"/>
                <w:sz w:val="21"/>
                <w:szCs w:val="21"/>
                <w:highlight w:val="none"/>
                <w:lang w:eastAsia="zh-CN"/>
              </w:rPr>
              <w:t>，熟悉</w:t>
            </w:r>
            <w:r>
              <w:rPr>
                <w:rFonts w:ascii="宋体" w:eastAsia="宋体" w:hAnsi="宋体" w:cs="宋体" w:hint="eastAsia"/>
                <w:snapToGrid/>
                <w:color w:val="auto"/>
                <w:sz w:val="21"/>
                <w:szCs w:val="21"/>
                <w:highlight w:val="none"/>
              </w:rPr>
              <w:t>“</w:t>
            </w:r>
            <w:r>
              <w:rPr>
                <w:rFonts w:ascii="宋体" w:eastAsia="宋体" w:hAnsi="宋体" w:cs="宋体" w:hint="eastAsia"/>
                <w:color w:val="auto"/>
                <w:kern w:val="2"/>
                <w:sz w:val="21"/>
                <w:szCs w:val="21"/>
                <w:highlight w:val="none"/>
                <w:lang w:val="en-US" w:eastAsia="zh-CN" w:bidi="ar-SA"/>
              </w:rPr>
              <w:t>金税工程运维服务管理平台</w:t>
            </w:r>
            <w:r>
              <w:rPr>
                <w:rFonts w:ascii="宋体" w:eastAsia="宋体" w:hAnsi="宋体" w:cs="宋体" w:hint="eastAsia"/>
                <w:snapToGrid/>
                <w:color w:val="auto"/>
                <w:sz w:val="21"/>
                <w:szCs w:val="21"/>
                <w:highlight w:val="none"/>
              </w:rPr>
              <w:t>”</w:t>
            </w:r>
            <w:r>
              <w:rPr>
                <w:rFonts w:ascii="宋体" w:eastAsia="宋体" w:hAnsi="宋体" w:cs="宋体" w:hint="eastAsia"/>
                <w:snapToGrid/>
                <w:color w:val="auto"/>
                <w:sz w:val="21"/>
                <w:szCs w:val="21"/>
                <w:highlight w:val="none"/>
                <w:lang w:val="en-US" w:eastAsia="zh-CN"/>
              </w:rPr>
              <w:t>操作流程</w:t>
            </w:r>
            <w:r>
              <w:rPr>
                <w:rFonts w:ascii="宋体" w:eastAsia="宋体" w:hAnsi="宋体" w:cs="宋体" w:hint="eastAsia"/>
                <w:color w:val="auto"/>
                <w:sz w:val="21"/>
                <w:szCs w:val="21"/>
                <w:highlight w:val="none"/>
                <w:lang w:eastAsia="zh-CN"/>
              </w:rPr>
              <w:t>；对运维服务的各项工作和要求理解正确，符合本项目采购要求</w:t>
            </w:r>
            <w:r>
              <w:rPr>
                <w:rFonts w:ascii="宋体" w:eastAsia="宋体" w:hAnsi="宋体" w:cs="宋体" w:hint="eastAsia"/>
                <w:color w:val="auto"/>
                <w:sz w:val="21"/>
                <w:szCs w:val="21"/>
                <w:highlight w:val="none"/>
              </w:rPr>
              <w:t>，得</w:t>
            </w: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分；</w:t>
            </w:r>
          </w:p>
          <w:p>
            <w:pPr>
              <w:pStyle w:val="a0"/>
              <w:keepNext w:val="0"/>
              <w:keepLines w:val="0"/>
              <w:pageBreakBefore w:val="0"/>
              <w:kinsoku/>
              <w:wordWrap/>
              <w:topLinePunct w:val="0"/>
              <w:bidi w:val="0"/>
              <w:spacing w:line="360" w:lineRule="auto"/>
              <w:ind w:left="0" w:firstLine="420" w:leftChars="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③在本项②基础上，投标人能根据项目实际要求进行详细的需求分析，陈述项目实施的重点及难点，并具有对应可行的针对性措施的，得</w:t>
            </w:r>
            <w:r>
              <w:rPr>
                <w:rFonts w:ascii="宋体" w:eastAsia="宋体" w:hAnsi="宋体" w:cs="宋体" w:hint="eastAsia"/>
                <w:color w:val="auto"/>
                <w:sz w:val="21"/>
                <w:szCs w:val="21"/>
                <w:highlight w:val="none"/>
                <w:lang w:val="en-US" w:eastAsia="zh-CN"/>
              </w:rPr>
              <w:t>9</w:t>
            </w:r>
            <w:r>
              <w:rPr>
                <w:rFonts w:ascii="宋体" w:eastAsia="宋体" w:hAnsi="宋体" w:cs="宋体" w:hint="eastAsia"/>
                <w:color w:val="auto"/>
                <w:sz w:val="21"/>
                <w:szCs w:val="21"/>
                <w:highlight w:val="none"/>
              </w:rPr>
              <w:t>分。</w:t>
            </w:r>
          </w:p>
          <w:p>
            <w:pPr>
              <w:pStyle w:val="a0"/>
              <w:keepNext w:val="0"/>
              <w:keepLines w:val="0"/>
              <w:pageBreakBefore w:val="0"/>
              <w:kinsoku/>
              <w:wordWrap/>
              <w:topLinePunct w:val="0"/>
              <w:bidi w:val="0"/>
              <w:spacing w:line="360" w:lineRule="auto"/>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注：未提供</w:t>
            </w:r>
            <w:r>
              <w:rPr>
                <w:rFonts w:ascii="宋体" w:eastAsia="宋体" w:hAnsi="宋体" w:cs="宋体" w:hint="eastAsia"/>
                <w:snapToGrid w:val="0"/>
                <w:color w:val="auto"/>
                <w:sz w:val="21"/>
                <w:szCs w:val="21"/>
                <w:highlight w:val="none"/>
              </w:rPr>
              <w:t>项目需求理解</w:t>
            </w:r>
            <w:r>
              <w:rPr>
                <w:rFonts w:ascii="宋体" w:eastAsia="宋体" w:hAnsi="宋体" w:cs="宋体" w:hint="eastAsia"/>
                <w:color w:val="auto"/>
                <w:sz w:val="21"/>
                <w:szCs w:val="21"/>
                <w:highlight w:val="none"/>
              </w:rPr>
              <w:t>或</w:t>
            </w:r>
            <w:r>
              <w:rPr>
                <w:rFonts w:ascii="宋体" w:eastAsia="宋体" w:hAnsi="宋体" w:cs="宋体" w:hint="eastAsia"/>
                <w:snapToGrid w:val="0"/>
                <w:color w:val="auto"/>
                <w:sz w:val="21"/>
                <w:szCs w:val="21"/>
                <w:highlight w:val="none"/>
              </w:rPr>
              <w:t>项目需求理解未</w:t>
            </w:r>
            <w:r>
              <w:rPr>
                <w:rFonts w:ascii="宋体" w:eastAsia="宋体" w:hAnsi="宋体" w:cs="宋体" w:hint="eastAsia"/>
                <w:color w:val="auto"/>
                <w:sz w:val="21"/>
                <w:szCs w:val="21"/>
                <w:highlight w:val="none"/>
              </w:rPr>
              <w:t>达到①标准要求的计0分。</w:t>
            </w:r>
          </w:p>
        </w:tc>
        <w:tc>
          <w:tcPr>
            <w:tcW w:w="893" w:type="dxa"/>
            <w:noWrap/>
            <w:vAlign w:val="center"/>
          </w:tcPr>
          <w:p>
            <w:pPr>
              <w:keepNext w:val="0"/>
              <w:keepLines w:val="0"/>
              <w:pageBreakBefore w:val="0"/>
              <w:kinsoku/>
              <w:wordWrap/>
              <w:topLinePunct w:val="0"/>
              <w:bidi w:val="0"/>
              <w:spacing w:line="360" w:lineRule="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9</w:t>
            </w:r>
            <w:r>
              <w:rPr>
                <w:rFonts w:ascii="宋体" w:eastAsia="宋体" w:hAnsi="宋体" w:cs="宋体" w:hint="eastAsia"/>
                <w:color w:val="auto"/>
                <w:sz w:val="21"/>
                <w:szCs w:val="21"/>
                <w:highlight w:val="none"/>
              </w:rPr>
              <w:t>分</w:t>
            </w:r>
          </w:p>
        </w:tc>
      </w:tr>
      <w:tr>
        <w:tblPrEx>
          <w:tblW w:w="9147" w:type="dxa"/>
          <w:tblInd w:w="0" w:type="dxa"/>
          <w:tblLayout w:type="fixed"/>
          <w:tblCellMar>
            <w:top w:w="0" w:type="dxa"/>
            <w:left w:w="108" w:type="dxa"/>
            <w:bottom w:w="0" w:type="dxa"/>
            <w:right w:w="108" w:type="dxa"/>
          </w:tblCellMar>
        </w:tblPrEx>
        <w:trPr>
          <w:trHeight w:val="5138"/>
        </w:trPr>
        <w:tc>
          <w:tcPr>
            <w:tcW w:w="477" w:type="dxa"/>
            <w:vMerge/>
            <w:noWrap/>
            <w:vAlign w:val="center"/>
          </w:tcPr>
          <w:p>
            <w:pPr>
              <w:keepNext w:val="0"/>
              <w:keepLines w:val="0"/>
              <w:pageBreakBefore w:val="0"/>
              <w:kinsoku/>
              <w:wordWrap/>
              <w:topLinePunct w:val="0"/>
              <w:bidi w:val="0"/>
              <w:spacing w:line="360" w:lineRule="exact"/>
              <w:rPr>
                <w:rFonts w:ascii="宋体" w:eastAsia="宋体" w:hAnsi="宋体" w:cs="宋体" w:hint="eastAsia"/>
                <w:color w:val="auto"/>
                <w:sz w:val="21"/>
                <w:szCs w:val="21"/>
                <w:highlight w:val="none"/>
                <w:lang w:val="en-US" w:eastAsia="zh-CN"/>
              </w:rPr>
            </w:pPr>
          </w:p>
        </w:tc>
        <w:tc>
          <w:tcPr>
            <w:tcW w:w="1102" w:type="dxa"/>
            <w:vMerge/>
            <w:noWrap/>
            <w:vAlign w:val="center"/>
          </w:tcPr>
          <w:p>
            <w:pPr>
              <w:pStyle w:val="BodyText"/>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rPr>
            </w:pP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snapToGrid w:val="0"/>
                <w:color w:val="auto"/>
                <w:sz w:val="21"/>
                <w:szCs w:val="21"/>
                <w:highlight w:val="none"/>
              </w:rPr>
            </w:pPr>
            <w:r>
              <w:rPr>
                <w:rFonts w:ascii="宋体" w:eastAsia="宋体" w:hAnsi="宋体" w:cs="宋体" w:hint="eastAsia"/>
                <w:snapToGrid w:val="0"/>
                <w:color w:val="auto"/>
                <w:sz w:val="21"/>
                <w:szCs w:val="21"/>
                <w:highlight w:val="none"/>
              </w:rPr>
              <w:t>实施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snapToGrid w:val="0"/>
                <w:color w:val="auto"/>
                <w:sz w:val="21"/>
                <w:szCs w:val="21"/>
                <w:highlight w:val="none"/>
              </w:rPr>
            </w:pPr>
            <w:r>
              <w:rPr>
                <w:rFonts w:ascii="宋体" w:eastAsia="宋体" w:hAnsi="宋体" w:cs="宋体" w:hint="eastAsia"/>
                <w:snapToGrid w:val="0"/>
                <w:color w:val="auto"/>
                <w:sz w:val="21"/>
                <w:szCs w:val="21"/>
                <w:highlight w:val="none"/>
              </w:rPr>
              <w:t>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bCs/>
                <w:color w:val="auto"/>
                <w:sz w:val="21"/>
                <w:szCs w:val="21"/>
                <w:highlight w:val="none"/>
                <w:lang w:val="en-US" w:eastAsia="zh-CN" w:bidi="ar-SA"/>
              </w:rPr>
            </w:pPr>
            <w:r>
              <w:rPr>
                <w:rFonts w:ascii="宋体" w:eastAsia="宋体" w:hAnsi="宋体" w:cs="宋体" w:hint="eastAsia"/>
                <w:snapToGrid w:val="0"/>
                <w:color w:val="auto"/>
                <w:sz w:val="21"/>
                <w:szCs w:val="21"/>
                <w:highlight w:val="none"/>
                <w:lang w:val="en-US" w:eastAsia="zh-CN"/>
              </w:rPr>
              <w:t>(6分)</w:t>
            </w:r>
          </w:p>
        </w:tc>
        <w:tc>
          <w:tcPr>
            <w:tcW w:w="5573" w:type="dxa"/>
            <w:noWrap/>
            <w:vAlign w:val="top"/>
          </w:tcPr>
          <w:p>
            <w:pPr>
              <w:pStyle w:val="a0"/>
              <w:keepNext w:val="0"/>
              <w:keepLines w:val="0"/>
              <w:pageBreakBefore w:val="0"/>
              <w:kinsoku/>
              <w:wordWrap/>
              <w:topLinePunct w:val="0"/>
              <w:bidi w:val="0"/>
              <w:spacing w:line="360" w:lineRule="auto"/>
              <w:ind w:left="0" w:firstLine="0" w:leftChars="0" w:firstLineChars="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 xml:space="preserve">   </w:t>
            </w:r>
            <w:r>
              <w:rPr>
                <w:rFonts w:ascii="宋体" w:eastAsia="宋体" w:hAnsi="宋体" w:cs="宋体" w:hint="eastAsia"/>
                <w:color w:val="auto"/>
                <w:sz w:val="21"/>
                <w:szCs w:val="21"/>
                <w:highlight w:val="none"/>
              </w:rPr>
              <w:t>由评标委员会根据投标人提供的实施方案，</w:t>
            </w:r>
            <w:r>
              <w:rPr>
                <w:rFonts w:ascii="宋体" w:eastAsia="宋体" w:hAnsi="宋体" w:cs="宋体" w:hint="eastAsia"/>
                <w:snapToGrid w:val="0"/>
                <w:color w:val="auto"/>
                <w:sz w:val="21"/>
                <w:szCs w:val="21"/>
                <w:highlight w:val="none"/>
              </w:rPr>
              <w:t>包括但不限于实施进度计划、</w:t>
            </w:r>
            <w:r>
              <w:rPr>
                <w:rFonts w:ascii="宋体" w:eastAsia="宋体" w:hAnsi="宋体" w:cs="宋体" w:hint="eastAsia"/>
                <w:snapToGrid w:val="0"/>
                <w:color w:val="auto"/>
                <w:sz w:val="21"/>
                <w:szCs w:val="21"/>
                <w:highlight w:val="none"/>
                <w:lang w:eastAsia="zh-CN"/>
              </w:rPr>
              <w:t>项目</w:t>
            </w:r>
            <w:r>
              <w:rPr>
                <w:rFonts w:ascii="宋体" w:eastAsia="宋体" w:hAnsi="宋体" w:cs="宋体" w:hint="eastAsia"/>
                <w:snapToGrid w:val="0"/>
                <w:color w:val="auto"/>
                <w:sz w:val="21"/>
                <w:szCs w:val="21"/>
                <w:highlight w:val="none"/>
              </w:rPr>
              <w:t>管理组织</w:t>
            </w:r>
            <w:r>
              <w:rPr>
                <w:rFonts w:ascii="宋体" w:eastAsia="宋体" w:hAnsi="宋体" w:cs="宋体" w:hint="eastAsia"/>
                <w:snapToGrid w:val="0"/>
                <w:color w:val="auto"/>
                <w:sz w:val="21"/>
                <w:szCs w:val="21"/>
                <w:highlight w:val="none"/>
                <w:lang w:val="en-US" w:eastAsia="zh-CN"/>
              </w:rPr>
              <w:t>管控</w:t>
            </w:r>
            <w:r>
              <w:rPr>
                <w:rFonts w:ascii="宋体" w:eastAsia="宋体" w:hAnsi="宋体" w:cs="宋体" w:hint="eastAsia"/>
                <w:snapToGrid w:val="0"/>
                <w:color w:val="auto"/>
                <w:sz w:val="21"/>
                <w:szCs w:val="21"/>
                <w:highlight w:val="none"/>
                <w:lang w:eastAsia="zh-CN"/>
              </w:rPr>
              <w:t>、</w:t>
            </w:r>
            <w:r>
              <w:rPr>
                <w:rFonts w:ascii="宋体" w:eastAsia="宋体" w:hAnsi="宋体" w:cs="宋体" w:hint="eastAsia"/>
                <w:snapToGrid w:val="0"/>
                <w:color w:val="auto"/>
                <w:sz w:val="21"/>
                <w:szCs w:val="21"/>
                <w:highlight w:val="none"/>
                <w:lang w:val="en-US" w:eastAsia="zh-CN"/>
              </w:rPr>
              <w:t>项目实施过程</w:t>
            </w:r>
            <w:r>
              <w:rPr>
                <w:rFonts w:ascii="宋体" w:eastAsia="宋体" w:hAnsi="宋体" w:cs="宋体" w:hint="eastAsia"/>
                <w:color w:val="auto"/>
                <w:sz w:val="21"/>
                <w:szCs w:val="21"/>
                <w:highlight w:val="none"/>
              </w:rPr>
              <w:t>等内容进行综合评审，以下各项不得重复计分。</w:t>
            </w:r>
          </w:p>
          <w:p>
            <w:pPr>
              <w:pStyle w:val="a0"/>
              <w:keepNext w:val="0"/>
              <w:keepLines w:val="0"/>
              <w:pageBreakBefore w:val="0"/>
              <w:kinsoku/>
              <w:wordWrap/>
              <w:topLinePunct w:val="0"/>
              <w:bidi w:val="0"/>
              <w:spacing w:line="360" w:lineRule="auto"/>
              <w:ind w:left="0" w:firstLine="0" w:leftChars="0" w:firstLineChars="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 xml:space="preserve">   </w:t>
            </w:r>
            <w:r>
              <w:rPr>
                <w:rFonts w:ascii="宋体" w:eastAsia="宋体" w:hAnsi="宋体" w:cs="宋体" w:hint="eastAsia"/>
                <w:color w:val="auto"/>
                <w:sz w:val="21"/>
                <w:szCs w:val="21"/>
                <w:highlight w:val="none"/>
              </w:rPr>
              <w:t>①投标人提供有实施方案，</w:t>
            </w:r>
            <w:r>
              <w:rPr>
                <w:rFonts w:ascii="宋体" w:eastAsia="宋体" w:hAnsi="宋体" w:cs="宋体" w:hint="eastAsia"/>
                <w:color w:val="auto"/>
                <w:sz w:val="21"/>
                <w:szCs w:val="21"/>
                <w:highlight w:val="none"/>
                <w:lang w:eastAsia="zh-CN"/>
              </w:rPr>
              <w:t>包含有</w:t>
            </w:r>
            <w:r>
              <w:rPr>
                <w:rFonts w:ascii="宋体" w:eastAsia="宋体" w:hAnsi="宋体" w:cs="宋体" w:hint="eastAsia"/>
                <w:snapToGrid w:val="0"/>
                <w:color w:val="auto"/>
                <w:sz w:val="21"/>
                <w:szCs w:val="21"/>
                <w:highlight w:val="none"/>
              </w:rPr>
              <w:t>实施进度计划、</w:t>
            </w:r>
            <w:r>
              <w:rPr>
                <w:rFonts w:ascii="宋体" w:eastAsia="宋体" w:hAnsi="宋体" w:cs="宋体" w:hint="eastAsia"/>
                <w:color w:val="auto"/>
                <w:sz w:val="21"/>
                <w:szCs w:val="21"/>
                <w:highlight w:val="none"/>
              </w:rPr>
              <w:t>成立项目管理组织以及实施团队</w:t>
            </w:r>
            <w:r>
              <w:rPr>
                <w:rFonts w:ascii="宋体" w:eastAsia="宋体" w:hAnsi="宋体" w:cs="宋体" w:hint="eastAsia"/>
                <w:snapToGrid w:val="0"/>
                <w:color w:val="auto"/>
                <w:sz w:val="21"/>
                <w:szCs w:val="21"/>
                <w:highlight w:val="none"/>
                <w:lang w:eastAsia="zh-CN"/>
              </w:rPr>
              <w:t>、</w:t>
            </w:r>
            <w:r>
              <w:rPr>
                <w:rFonts w:ascii="宋体" w:eastAsia="宋体" w:hAnsi="宋体" w:cs="宋体" w:hint="eastAsia"/>
                <w:snapToGrid w:val="0"/>
                <w:color w:val="auto"/>
                <w:sz w:val="21"/>
                <w:szCs w:val="21"/>
                <w:highlight w:val="none"/>
                <w:lang w:val="en-US" w:eastAsia="zh-CN"/>
              </w:rPr>
              <w:t>项目实施过程</w:t>
            </w:r>
            <w:r>
              <w:rPr>
                <w:rFonts w:ascii="宋体" w:eastAsia="宋体" w:hAnsi="宋体" w:cs="宋体" w:hint="eastAsia"/>
                <w:color w:val="auto"/>
                <w:sz w:val="21"/>
                <w:szCs w:val="21"/>
                <w:highlight w:val="none"/>
              </w:rPr>
              <w:t>等内容满足项目需求，</w:t>
            </w:r>
            <w:r>
              <w:rPr>
                <w:rFonts w:ascii="宋体" w:eastAsia="宋体" w:hAnsi="宋体" w:cs="宋体" w:hint="eastAsia"/>
                <w:color w:val="auto"/>
                <w:sz w:val="21"/>
                <w:szCs w:val="21"/>
                <w:highlight w:val="none"/>
                <w:lang w:eastAsia="zh-CN"/>
              </w:rPr>
              <w:t>整体</w:t>
            </w:r>
            <w:r>
              <w:rPr>
                <w:rFonts w:ascii="宋体" w:eastAsia="宋体" w:hAnsi="宋体" w:cs="宋体" w:hint="eastAsia"/>
                <w:color w:val="auto"/>
                <w:sz w:val="21"/>
                <w:szCs w:val="21"/>
                <w:highlight w:val="none"/>
              </w:rPr>
              <w:t>实施方案内容表述</w:t>
            </w:r>
            <w:r>
              <w:rPr>
                <w:rFonts w:ascii="宋体" w:eastAsia="宋体" w:hAnsi="宋体" w:cs="宋体" w:hint="eastAsia"/>
                <w:color w:val="auto"/>
                <w:sz w:val="21"/>
                <w:szCs w:val="21"/>
                <w:highlight w:val="none"/>
                <w:lang w:eastAsia="zh-CN"/>
              </w:rPr>
              <w:t>基本</w:t>
            </w:r>
            <w:r>
              <w:rPr>
                <w:rFonts w:ascii="宋体" w:eastAsia="宋体" w:hAnsi="宋体" w:cs="宋体" w:hint="eastAsia"/>
                <w:color w:val="auto"/>
                <w:sz w:val="21"/>
                <w:szCs w:val="21"/>
                <w:highlight w:val="none"/>
              </w:rPr>
              <w:t>完整</w:t>
            </w:r>
            <w:r>
              <w:rPr>
                <w:rFonts w:ascii="宋体" w:eastAsia="宋体" w:hAnsi="宋体" w:cs="宋体" w:hint="eastAsia"/>
                <w:color w:val="auto"/>
                <w:sz w:val="21"/>
                <w:szCs w:val="21"/>
                <w:highlight w:val="none"/>
                <w:lang w:eastAsia="zh-CN"/>
              </w:rPr>
              <w:t>、内容较简单，得</w:t>
            </w:r>
            <w:r>
              <w:rPr>
                <w:rFonts w:ascii="宋体" w:eastAsia="宋体" w:hAnsi="宋体" w:cs="宋体" w:hint="eastAsia"/>
                <w:color w:val="auto"/>
                <w:sz w:val="21"/>
                <w:szCs w:val="21"/>
                <w:highlight w:val="none"/>
                <w:lang w:val="en-US" w:eastAsia="zh-CN"/>
              </w:rPr>
              <w:t>2</w:t>
            </w:r>
            <w:r>
              <w:rPr>
                <w:rFonts w:ascii="宋体" w:eastAsia="宋体" w:hAnsi="宋体" w:cs="宋体" w:hint="eastAsia"/>
                <w:color w:val="auto"/>
                <w:sz w:val="21"/>
                <w:szCs w:val="21"/>
                <w:highlight w:val="none"/>
                <w:lang w:eastAsia="zh-CN"/>
              </w:rPr>
              <w:t>分；</w:t>
            </w:r>
          </w:p>
          <w:p>
            <w:pPr>
              <w:pStyle w:val="a0"/>
              <w:keepNext w:val="0"/>
              <w:keepLines w:val="0"/>
              <w:pageBreakBefore w:val="0"/>
              <w:kinsoku/>
              <w:wordWrap/>
              <w:topLinePunct w:val="0"/>
              <w:bidi w:val="0"/>
              <w:spacing w:line="360" w:lineRule="auto"/>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②在本项①基础上， 投标人针对</w:t>
            </w:r>
            <w:r>
              <w:rPr>
                <w:rFonts w:ascii="宋体" w:eastAsia="宋体" w:hAnsi="宋体" w:cs="宋体" w:hint="eastAsia"/>
                <w:color w:val="auto"/>
                <w:sz w:val="21"/>
                <w:szCs w:val="21"/>
                <w:highlight w:val="none"/>
                <w:lang w:eastAsia="zh-CN"/>
              </w:rPr>
              <w:t>项目需求的</w:t>
            </w:r>
            <w:r>
              <w:rPr>
                <w:rFonts w:ascii="宋体" w:eastAsia="宋体" w:hAnsi="宋体" w:cs="宋体" w:hint="eastAsia"/>
                <w:color w:val="auto"/>
                <w:sz w:val="21"/>
                <w:szCs w:val="21"/>
                <w:highlight w:val="none"/>
              </w:rPr>
              <w:t>各项</w:t>
            </w:r>
            <w:r>
              <w:rPr>
                <w:rFonts w:ascii="宋体" w:eastAsia="宋体" w:hAnsi="宋体" w:cs="宋体" w:hint="eastAsia"/>
                <w:color w:val="auto"/>
                <w:sz w:val="21"/>
                <w:szCs w:val="21"/>
                <w:highlight w:val="none"/>
                <w:lang w:eastAsia="zh-CN"/>
              </w:rPr>
              <w:t>工作</w:t>
            </w:r>
            <w:r>
              <w:rPr>
                <w:rFonts w:ascii="宋体" w:eastAsia="宋体" w:hAnsi="宋体" w:cs="宋体" w:hint="eastAsia"/>
                <w:color w:val="auto"/>
                <w:sz w:val="21"/>
                <w:szCs w:val="21"/>
                <w:highlight w:val="none"/>
              </w:rPr>
              <w:t>有详细</w:t>
            </w:r>
            <w:r>
              <w:rPr>
                <w:rFonts w:ascii="宋体" w:eastAsia="宋体" w:hAnsi="宋体" w:cs="宋体" w:hint="eastAsia"/>
                <w:color w:val="auto"/>
                <w:sz w:val="21"/>
                <w:szCs w:val="21"/>
                <w:highlight w:val="none"/>
                <w:lang w:eastAsia="zh-CN"/>
              </w:rPr>
              <w:t>实施方案</w:t>
            </w:r>
            <w:r>
              <w:rPr>
                <w:rFonts w:ascii="宋体" w:eastAsia="宋体" w:hAnsi="宋体" w:cs="宋体" w:hint="eastAsia"/>
                <w:color w:val="auto"/>
                <w:sz w:val="21"/>
                <w:szCs w:val="21"/>
                <w:highlight w:val="none"/>
              </w:rPr>
              <w:t>描述，拟采取的</w:t>
            </w:r>
            <w:r>
              <w:rPr>
                <w:rFonts w:ascii="宋体" w:eastAsia="宋体" w:hAnsi="宋体" w:cs="宋体" w:hint="eastAsia"/>
                <w:color w:val="auto"/>
                <w:sz w:val="21"/>
                <w:szCs w:val="21"/>
                <w:highlight w:val="none"/>
                <w:lang w:val="en-US" w:eastAsia="zh-CN"/>
              </w:rPr>
              <w:t>实施</w:t>
            </w:r>
            <w:r>
              <w:rPr>
                <w:rFonts w:ascii="宋体" w:eastAsia="宋体" w:hAnsi="宋体" w:cs="宋体" w:hint="eastAsia"/>
                <w:color w:val="auto"/>
                <w:sz w:val="21"/>
                <w:szCs w:val="21"/>
                <w:highlight w:val="none"/>
              </w:rPr>
              <w:t>方式符合项目实际；成立项目管理组织以及实施团队，人员满足本项目实施进度计划要求、组织管理严密、有利于人员协调</w:t>
            </w:r>
            <w:r>
              <w:rPr>
                <w:rFonts w:ascii="宋体" w:eastAsia="宋体" w:hAnsi="宋体" w:cs="宋体" w:hint="eastAsia"/>
                <w:color w:val="auto"/>
                <w:sz w:val="21"/>
                <w:szCs w:val="21"/>
                <w:highlight w:val="none"/>
                <w:lang w:eastAsia="zh-CN"/>
              </w:rPr>
              <w:t>，对上线实施工作进行明细分工，责任到人</w:t>
            </w:r>
            <w:r>
              <w:rPr>
                <w:rFonts w:ascii="宋体" w:eastAsia="宋体" w:hAnsi="宋体" w:cs="宋体" w:hint="eastAsia"/>
                <w:color w:val="auto"/>
                <w:sz w:val="21"/>
                <w:szCs w:val="21"/>
                <w:highlight w:val="none"/>
              </w:rPr>
              <w:t>；制订有针对性的</w:t>
            </w:r>
            <w:r>
              <w:rPr>
                <w:rFonts w:ascii="宋体" w:eastAsia="宋体" w:hAnsi="宋体" w:cs="宋体" w:hint="eastAsia"/>
                <w:snapToGrid w:val="0"/>
                <w:color w:val="auto"/>
                <w:sz w:val="21"/>
                <w:szCs w:val="21"/>
                <w:highlight w:val="none"/>
              </w:rPr>
              <w:t>工作流程</w:t>
            </w:r>
            <w:r>
              <w:rPr>
                <w:rFonts w:ascii="宋体" w:eastAsia="宋体" w:hAnsi="宋体" w:cs="宋体" w:hint="eastAsia"/>
                <w:snapToGrid w:val="0"/>
                <w:color w:val="auto"/>
                <w:sz w:val="21"/>
                <w:szCs w:val="21"/>
                <w:highlight w:val="none"/>
                <w:lang w:eastAsia="zh-CN"/>
              </w:rPr>
              <w:t>，</w:t>
            </w:r>
            <w:r>
              <w:rPr>
                <w:rFonts w:ascii="宋体" w:eastAsia="宋体" w:hAnsi="宋体" w:cs="宋体" w:hint="eastAsia"/>
                <w:snapToGrid w:val="0"/>
                <w:color w:val="auto"/>
                <w:sz w:val="21"/>
                <w:szCs w:val="21"/>
                <w:highlight w:val="none"/>
                <w:lang w:val="en-US" w:eastAsia="zh-CN"/>
              </w:rPr>
              <w:t>实施过程拟采取的技术手段、方法可行；过程内控</w:t>
            </w:r>
            <w:r>
              <w:rPr>
                <w:rFonts w:ascii="宋体" w:eastAsia="宋体" w:hAnsi="宋体" w:cs="宋体" w:hint="eastAsia"/>
                <w:snapToGrid w:val="0"/>
                <w:color w:val="auto"/>
                <w:sz w:val="21"/>
                <w:szCs w:val="21"/>
                <w:highlight w:val="none"/>
              </w:rPr>
              <w:t>管理、业务、考核等制度</w:t>
            </w:r>
            <w:r>
              <w:rPr>
                <w:rFonts w:ascii="宋体" w:eastAsia="宋体" w:hAnsi="宋体" w:cs="宋体" w:hint="eastAsia"/>
                <w:snapToGrid w:val="0"/>
                <w:color w:val="auto"/>
                <w:sz w:val="21"/>
                <w:szCs w:val="21"/>
                <w:highlight w:val="none"/>
                <w:lang w:val="en-US" w:eastAsia="zh-CN"/>
              </w:rPr>
              <w:t>完善</w:t>
            </w:r>
            <w:r>
              <w:rPr>
                <w:rFonts w:ascii="宋体" w:eastAsia="宋体" w:hAnsi="宋体" w:cs="宋体" w:hint="eastAsia"/>
                <w:snapToGrid w:val="0"/>
                <w:color w:val="auto"/>
                <w:sz w:val="21"/>
                <w:szCs w:val="21"/>
                <w:highlight w:val="none"/>
              </w:rPr>
              <w:t>，</w:t>
            </w:r>
            <w:r>
              <w:rPr>
                <w:rFonts w:ascii="宋体" w:eastAsia="宋体" w:hAnsi="宋体" w:cs="宋体" w:hint="eastAsia"/>
                <w:color w:val="auto"/>
                <w:sz w:val="21"/>
                <w:szCs w:val="21"/>
                <w:highlight w:val="none"/>
              </w:rPr>
              <w:t>得</w:t>
            </w:r>
            <w:r>
              <w:rPr>
                <w:rFonts w:ascii="宋体" w:eastAsia="宋体" w:hAnsi="宋体" w:cs="宋体" w:hint="eastAsia"/>
                <w:color w:val="auto"/>
                <w:sz w:val="21"/>
                <w:szCs w:val="21"/>
                <w:highlight w:val="none"/>
                <w:lang w:val="en-US" w:eastAsia="zh-CN"/>
              </w:rPr>
              <w:t>4</w:t>
            </w:r>
            <w:r>
              <w:rPr>
                <w:rFonts w:ascii="宋体" w:eastAsia="宋体" w:hAnsi="宋体" w:cs="宋体" w:hint="eastAsia"/>
                <w:color w:val="auto"/>
                <w:sz w:val="21"/>
                <w:szCs w:val="21"/>
                <w:highlight w:val="none"/>
              </w:rPr>
              <w:t>分；</w:t>
            </w:r>
          </w:p>
          <w:p>
            <w:pPr>
              <w:pStyle w:val="a0"/>
              <w:keepNext w:val="0"/>
              <w:keepLines w:val="0"/>
              <w:pageBreakBefore w:val="0"/>
              <w:kinsoku/>
              <w:wordWrap/>
              <w:topLinePunct w:val="0"/>
              <w:bidi w:val="0"/>
              <w:spacing w:line="360" w:lineRule="auto"/>
              <w:ind w:left="0" w:firstLine="420" w:leftChars="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③在本项②基础上，能提供对应的实施进度</w:t>
            </w:r>
            <w:r>
              <w:rPr>
                <w:rFonts w:ascii="宋体" w:eastAsia="宋体" w:hAnsi="宋体" w:cs="宋体" w:hint="eastAsia"/>
                <w:color w:val="auto"/>
                <w:sz w:val="21"/>
                <w:szCs w:val="21"/>
                <w:highlight w:val="none"/>
                <w:lang w:eastAsia="zh-CN"/>
              </w:rPr>
              <w:t>计划</w:t>
            </w:r>
            <w:r>
              <w:rPr>
                <w:rFonts w:ascii="宋体" w:eastAsia="宋体" w:hAnsi="宋体" w:cs="宋体" w:hint="eastAsia"/>
                <w:color w:val="auto"/>
                <w:sz w:val="21"/>
                <w:szCs w:val="21"/>
                <w:highlight w:val="none"/>
              </w:rPr>
              <w:t>表和</w:t>
            </w:r>
            <w:r>
              <w:rPr>
                <w:rFonts w:ascii="宋体" w:eastAsia="宋体" w:hAnsi="宋体" w:cs="宋体" w:hint="eastAsia"/>
                <w:color w:val="auto"/>
                <w:sz w:val="21"/>
                <w:szCs w:val="21"/>
                <w:highlight w:val="none"/>
                <w:lang w:eastAsia="zh-CN"/>
              </w:rPr>
              <w:t>各项需求目标</w:t>
            </w:r>
            <w:r>
              <w:rPr>
                <w:rFonts w:ascii="宋体" w:eastAsia="宋体" w:hAnsi="宋体" w:cs="宋体" w:hint="eastAsia"/>
                <w:color w:val="auto"/>
                <w:sz w:val="21"/>
                <w:szCs w:val="21"/>
                <w:highlight w:val="none"/>
              </w:rPr>
              <w:t>对应的实施计划，计划中列明各实施阶段的阶段性产出</w:t>
            </w:r>
            <w:r>
              <w:rPr>
                <w:rFonts w:ascii="宋体" w:eastAsia="宋体" w:hAnsi="宋体" w:cs="宋体" w:hint="eastAsia"/>
                <w:color w:val="auto"/>
                <w:sz w:val="21"/>
                <w:szCs w:val="21"/>
                <w:highlight w:val="none"/>
                <w:lang w:eastAsia="zh-CN"/>
              </w:rPr>
              <w:t>成果</w:t>
            </w:r>
            <w:r>
              <w:rPr>
                <w:rFonts w:ascii="宋体" w:eastAsia="宋体" w:hAnsi="宋体" w:cs="宋体" w:hint="eastAsia"/>
                <w:color w:val="auto"/>
                <w:sz w:val="21"/>
                <w:szCs w:val="21"/>
                <w:highlight w:val="none"/>
              </w:rPr>
              <w:t>；针对</w:t>
            </w:r>
            <w:r>
              <w:rPr>
                <w:rFonts w:ascii="宋体" w:eastAsia="宋体" w:hAnsi="宋体" w:cs="宋体" w:hint="eastAsia"/>
                <w:color w:val="auto"/>
                <w:sz w:val="21"/>
                <w:szCs w:val="21"/>
                <w:highlight w:val="none"/>
                <w:lang w:eastAsia="zh-CN"/>
              </w:rPr>
              <w:t>项目需求提出的各项工作</w:t>
            </w:r>
            <w:r>
              <w:rPr>
                <w:rFonts w:ascii="宋体" w:eastAsia="宋体" w:hAnsi="宋体" w:cs="宋体" w:hint="eastAsia"/>
                <w:color w:val="auto"/>
                <w:sz w:val="21"/>
                <w:szCs w:val="21"/>
                <w:highlight w:val="none"/>
                <w:lang w:val="en-US" w:eastAsia="zh-CN"/>
              </w:rPr>
              <w:t>要求</w:t>
            </w:r>
            <w:r>
              <w:rPr>
                <w:rFonts w:ascii="宋体" w:eastAsia="宋体" w:hAnsi="宋体" w:cs="宋体" w:hint="eastAsia"/>
                <w:color w:val="auto"/>
                <w:sz w:val="21"/>
                <w:szCs w:val="21"/>
                <w:highlight w:val="none"/>
                <w:lang w:eastAsia="zh-CN"/>
              </w:rPr>
              <w:t>及内容</w:t>
            </w:r>
            <w:r>
              <w:rPr>
                <w:rFonts w:ascii="宋体" w:eastAsia="宋体" w:hAnsi="宋体" w:cs="宋体" w:hint="eastAsia"/>
                <w:color w:val="auto"/>
                <w:sz w:val="21"/>
                <w:szCs w:val="21"/>
                <w:highlight w:val="none"/>
              </w:rPr>
              <w:t>，能提供完善、具体的</w:t>
            </w:r>
            <w:r>
              <w:rPr>
                <w:rFonts w:ascii="宋体" w:eastAsia="宋体" w:hAnsi="宋体" w:cs="宋体" w:hint="eastAsia"/>
                <w:color w:val="auto"/>
                <w:sz w:val="21"/>
                <w:szCs w:val="21"/>
                <w:highlight w:val="none"/>
                <w:lang w:val="en-US"/>
              </w:rPr>
              <w:t>质量</w:t>
            </w:r>
            <w:r>
              <w:rPr>
                <w:rFonts w:ascii="宋体" w:eastAsia="宋体" w:hAnsi="宋体" w:cs="宋体" w:hint="eastAsia"/>
                <w:color w:val="auto"/>
                <w:sz w:val="21"/>
                <w:szCs w:val="21"/>
                <w:highlight w:val="none"/>
              </w:rPr>
              <w:t>保证措施，得</w:t>
            </w: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分。</w:t>
            </w:r>
          </w:p>
          <w:p>
            <w:pPr>
              <w:pStyle w:val="a0"/>
              <w:keepNext w:val="0"/>
              <w:keepLines w:val="0"/>
              <w:pageBreakBefore w:val="0"/>
              <w:kinsoku/>
              <w:wordWrap/>
              <w:topLinePunct w:val="0"/>
              <w:bidi w:val="0"/>
              <w:spacing w:line="360" w:lineRule="auto"/>
              <w:ind w:firstLine="420" w:firstLineChars="200"/>
              <w:jc w:val="both"/>
              <w:rPr>
                <w:rFonts w:ascii="宋体" w:eastAsia="宋体" w:hAnsi="宋体" w:cs="宋体" w:hint="eastAsia"/>
                <w:b/>
                <w:bCs/>
                <w:color w:val="auto"/>
                <w:sz w:val="21"/>
                <w:szCs w:val="21"/>
                <w:highlight w:val="none"/>
                <w:lang w:val="en-US" w:eastAsia="zh-CN" w:bidi="ar-SA"/>
              </w:rPr>
            </w:pPr>
            <w:r>
              <w:rPr>
                <w:rFonts w:ascii="宋体" w:eastAsia="宋体" w:hAnsi="宋体" w:cs="宋体" w:hint="eastAsia"/>
                <w:color w:val="auto"/>
                <w:sz w:val="21"/>
                <w:szCs w:val="21"/>
                <w:highlight w:val="none"/>
              </w:rPr>
              <w:t>注：未提供</w:t>
            </w:r>
            <w:r>
              <w:rPr>
                <w:rFonts w:ascii="宋体" w:eastAsia="宋体" w:hAnsi="宋体" w:cs="宋体" w:hint="eastAsia"/>
                <w:snapToGrid w:val="0"/>
                <w:color w:val="auto"/>
                <w:sz w:val="21"/>
                <w:szCs w:val="21"/>
                <w:highlight w:val="none"/>
              </w:rPr>
              <w:t>实施方案</w:t>
            </w:r>
            <w:r>
              <w:rPr>
                <w:rFonts w:ascii="宋体" w:eastAsia="宋体" w:hAnsi="宋体" w:cs="宋体" w:hint="eastAsia"/>
                <w:color w:val="auto"/>
                <w:sz w:val="21"/>
                <w:szCs w:val="21"/>
                <w:highlight w:val="none"/>
              </w:rPr>
              <w:t>或</w:t>
            </w:r>
            <w:r>
              <w:rPr>
                <w:rFonts w:ascii="宋体" w:eastAsia="宋体" w:hAnsi="宋体" w:cs="宋体" w:hint="eastAsia"/>
                <w:snapToGrid w:val="0"/>
                <w:color w:val="auto"/>
                <w:sz w:val="21"/>
                <w:szCs w:val="21"/>
                <w:highlight w:val="none"/>
              </w:rPr>
              <w:t>实施方案</w:t>
            </w:r>
            <w:r>
              <w:rPr>
                <w:rFonts w:ascii="宋体" w:eastAsia="宋体" w:hAnsi="宋体" w:cs="宋体" w:hint="eastAsia"/>
                <w:color w:val="auto"/>
                <w:sz w:val="21"/>
                <w:szCs w:val="21"/>
                <w:highlight w:val="none"/>
              </w:rPr>
              <w:t>达不到①标准要求的计0分。</w:t>
            </w:r>
          </w:p>
        </w:tc>
        <w:tc>
          <w:tcPr>
            <w:tcW w:w="893" w:type="dxa"/>
            <w:noWrap/>
            <w:vAlign w:val="center"/>
          </w:tcPr>
          <w:p>
            <w:pPr>
              <w:keepNext w:val="0"/>
              <w:keepLines w:val="0"/>
              <w:pageBreakBefore w:val="0"/>
              <w:kinsoku/>
              <w:wordWrap/>
              <w:topLinePunct w:val="0"/>
              <w:bidi w:val="0"/>
              <w:spacing w:line="360" w:lineRule="auto"/>
              <w:rPr>
                <w:rFonts w:ascii="宋体" w:eastAsia="宋体" w:hAnsi="宋体" w:cs="宋体" w:hint="eastAsia"/>
                <w:bCs/>
                <w:color w:val="auto"/>
                <w:sz w:val="21"/>
                <w:szCs w:val="21"/>
                <w:highlight w:val="none"/>
                <w:lang w:val="en-US" w:eastAsia="zh-CN" w:bidi="ar-SA"/>
              </w:rPr>
            </w:pP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分</w:t>
            </w:r>
          </w:p>
        </w:tc>
      </w:tr>
      <w:tr>
        <w:tblPrEx>
          <w:tblW w:w="9147" w:type="dxa"/>
          <w:tblInd w:w="0" w:type="dxa"/>
          <w:tblLayout w:type="fixed"/>
          <w:tblCellMar>
            <w:top w:w="0" w:type="dxa"/>
            <w:left w:w="108" w:type="dxa"/>
            <w:bottom w:w="0" w:type="dxa"/>
            <w:right w:w="108" w:type="dxa"/>
          </w:tblCellMar>
        </w:tblPrEx>
        <w:trPr>
          <w:trHeight w:val="762"/>
        </w:trPr>
        <w:tc>
          <w:tcPr>
            <w:tcW w:w="477" w:type="dxa"/>
            <w:vMerge/>
            <w:noWrap/>
            <w:vAlign w:val="center"/>
          </w:tcPr>
          <w:p>
            <w:pPr>
              <w:keepNext w:val="0"/>
              <w:keepLines w:val="0"/>
              <w:pageBreakBefore w:val="0"/>
              <w:kinsoku/>
              <w:wordWrap/>
              <w:topLinePunct w:val="0"/>
              <w:bidi w:val="0"/>
              <w:spacing w:line="360" w:lineRule="exact"/>
              <w:rPr>
                <w:rFonts w:ascii="宋体" w:eastAsia="宋体" w:hAnsi="宋体" w:cs="宋体" w:hint="eastAsia"/>
                <w:color w:val="auto"/>
                <w:sz w:val="21"/>
                <w:szCs w:val="21"/>
                <w:highlight w:val="none"/>
              </w:rPr>
            </w:pPr>
          </w:p>
        </w:tc>
        <w:tc>
          <w:tcPr>
            <w:tcW w:w="1102" w:type="dxa"/>
            <w:vMerge/>
            <w:noWrap/>
            <w:vAlign w:val="center"/>
          </w:tcPr>
          <w:p>
            <w:pPr>
              <w:pStyle w:val="BodyText"/>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eastAsia="宋体" w:hAnsi="宋体" w:cs="宋体" w:hint="eastAsia"/>
                <w:color w:val="auto"/>
                <w:sz w:val="21"/>
                <w:szCs w:val="21"/>
                <w:highlight w:val="none"/>
              </w:rPr>
            </w:pP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运行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维护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bCs/>
                <w:color w:val="auto"/>
                <w:sz w:val="21"/>
                <w:szCs w:val="21"/>
                <w:highlight w:val="none"/>
                <w:lang w:val="en-US" w:eastAsia="zh-CN" w:bidi="ar-SA"/>
              </w:rPr>
            </w:pPr>
            <w:r>
              <w:rPr>
                <w:rFonts w:ascii="宋体" w:eastAsia="宋体" w:hAnsi="宋体" w:cs="宋体" w:hint="eastAsia"/>
                <w:snapToGrid w:val="0"/>
                <w:color w:val="auto"/>
                <w:sz w:val="21"/>
                <w:szCs w:val="21"/>
                <w:highlight w:val="none"/>
                <w:lang w:val="en-US" w:eastAsia="zh-CN"/>
              </w:rPr>
              <w:t>(9分)</w:t>
            </w:r>
          </w:p>
        </w:tc>
        <w:tc>
          <w:tcPr>
            <w:tcW w:w="5573" w:type="dxa"/>
            <w:noWrap/>
            <w:vAlign w:val="top"/>
          </w:tcPr>
          <w:p>
            <w:pPr>
              <w:pStyle w:val="a0"/>
              <w:keepNext w:val="0"/>
              <w:keepLines w:val="0"/>
              <w:pageBreakBefore w:val="0"/>
              <w:kinsoku/>
              <w:wordWrap/>
              <w:topLinePunct w:val="0"/>
              <w:bidi w:val="0"/>
              <w:spacing w:line="360" w:lineRule="auto"/>
              <w:ind w:left="0" w:firstLine="420" w:leftChars="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由评标委员会根据投标人所提供的</w:t>
            </w:r>
            <w:r>
              <w:rPr>
                <w:rFonts w:ascii="宋体" w:eastAsia="宋体" w:hAnsi="宋体" w:cs="宋体" w:hint="eastAsia"/>
                <w:color w:val="auto"/>
                <w:sz w:val="21"/>
                <w:szCs w:val="21"/>
                <w:highlight w:val="none"/>
                <w:lang w:eastAsia="zh-CN"/>
              </w:rPr>
              <w:t>运行维护方案，包括但不限于</w:t>
            </w:r>
            <w:r>
              <w:rPr>
                <w:rFonts w:ascii="宋体" w:eastAsia="宋体" w:hAnsi="宋体" w:cs="宋体" w:hint="eastAsia"/>
                <w:color w:val="auto"/>
                <w:sz w:val="21"/>
                <w:szCs w:val="21"/>
                <w:highlight w:val="none"/>
              </w:rPr>
              <w:t>服务方式、运维工作流程</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响应时间、解决时限等作出的描述内容进行评价</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以下各项不得重复计分：</w:t>
            </w:r>
          </w:p>
          <w:p>
            <w:pPr>
              <w:pStyle w:val="a0"/>
              <w:keepNext w:val="0"/>
              <w:keepLines w:val="0"/>
              <w:pageBreakBefore w:val="0"/>
              <w:kinsoku/>
              <w:wordWrap/>
              <w:topLinePunct w:val="0"/>
              <w:bidi w:val="0"/>
              <w:spacing w:line="360" w:lineRule="auto"/>
              <w:ind w:left="0" w:firstLine="420" w:leftChars="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①投标人提供了运行维护服务</w:t>
            </w:r>
            <w:r>
              <w:rPr>
                <w:rFonts w:ascii="宋体" w:eastAsia="宋体" w:hAnsi="宋体" w:cs="宋体" w:hint="eastAsia"/>
                <w:snapToGrid w:val="0"/>
                <w:color w:val="auto"/>
                <w:sz w:val="21"/>
                <w:szCs w:val="21"/>
                <w:highlight w:val="none"/>
                <w:lang w:eastAsia="zh-CN"/>
              </w:rPr>
              <w:t>方</w:t>
            </w:r>
            <w:r>
              <w:rPr>
                <w:rFonts w:ascii="宋体" w:eastAsia="宋体" w:hAnsi="宋体" w:cs="宋体" w:hint="eastAsia"/>
                <w:snapToGrid w:val="0"/>
                <w:color w:val="auto"/>
                <w:sz w:val="21"/>
                <w:szCs w:val="21"/>
                <w:highlight w:val="none"/>
              </w:rPr>
              <w:t>案</w:t>
            </w:r>
            <w:r>
              <w:rPr>
                <w:rFonts w:ascii="宋体" w:eastAsia="宋体" w:hAnsi="宋体" w:cs="宋体" w:hint="eastAsia"/>
                <w:color w:val="auto"/>
                <w:sz w:val="21"/>
                <w:szCs w:val="21"/>
                <w:highlight w:val="none"/>
              </w:rPr>
              <w:t>，包含但不限于服务方式、响应时间、解决时限</w:t>
            </w:r>
            <w:r>
              <w:rPr>
                <w:rFonts w:ascii="宋体" w:eastAsia="宋体" w:hAnsi="宋体" w:cs="宋体" w:hint="eastAsia"/>
                <w:color w:val="auto"/>
                <w:sz w:val="21"/>
                <w:szCs w:val="21"/>
                <w:highlight w:val="none"/>
                <w:lang w:val="en-US" w:eastAsia="zh-CN"/>
              </w:rPr>
              <w:t>、服务流程</w:t>
            </w:r>
            <w:r>
              <w:rPr>
                <w:rFonts w:ascii="宋体" w:eastAsia="宋体" w:hAnsi="宋体" w:cs="宋体" w:hint="eastAsia"/>
                <w:color w:val="auto"/>
                <w:sz w:val="21"/>
                <w:szCs w:val="21"/>
                <w:highlight w:val="none"/>
              </w:rPr>
              <w:t>，且各项内容表述完整，</w:t>
            </w:r>
            <w:r>
              <w:rPr>
                <w:rFonts w:ascii="宋体" w:eastAsia="宋体" w:hAnsi="宋体" w:cs="宋体" w:hint="eastAsia"/>
                <w:color w:val="auto"/>
                <w:sz w:val="21"/>
                <w:szCs w:val="21"/>
                <w:highlight w:val="none"/>
                <w:lang w:val="en-US" w:eastAsia="zh-CN"/>
              </w:rPr>
              <w:t>满足本项目服务要求</w:t>
            </w:r>
            <w:r>
              <w:rPr>
                <w:rFonts w:ascii="宋体" w:eastAsia="宋体" w:hAnsi="宋体" w:cs="宋体" w:hint="eastAsia"/>
                <w:color w:val="auto"/>
                <w:sz w:val="21"/>
                <w:szCs w:val="21"/>
                <w:highlight w:val="none"/>
              </w:rPr>
              <w:t>，得</w:t>
            </w:r>
            <w:r>
              <w:rPr>
                <w:rFonts w:ascii="宋体" w:eastAsia="宋体" w:hAnsi="宋体" w:cs="宋体" w:hint="eastAsia"/>
                <w:color w:val="auto"/>
                <w:sz w:val="21"/>
                <w:szCs w:val="21"/>
                <w:highlight w:val="none"/>
                <w:lang w:val="en-US" w:eastAsia="zh-CN"/>
              </w:rPr>
              <w:t>3</w:t>
            </w:r>
            <w:r>
              <w:rPr>
                <w:rFonts w:ascii="宋体" w:eastAsia="宋体" w:hAnsi="宋体" w:cs="宋体" w:hint="eastAsia"/>
                <w:color w:val="auto"/>
                <w:sz w:val="21"/>
                <w:szCs w:val="21"/>
                <w:highlight w:val="none"/>
              </w:rPr>
              <w:t>分；</w:t>
            </w:r>
          </w:p>
          <w:p>
            <w:pPr>
              <w:pStyle w:val="a0"/>
              <w:keepNext w:val="0"/>
              <w:keepLines w:val="0"/>
              <w:pageBreakBefore w:val="0"/>
              <w:kinsoku/>
              <w:wordWrap/>
              <w:topLinePunct w:val="0"/>
              <w:bidi w:val="0"/>
              <w:spacing w:line="360" w:lineRule="auto"/>
              <w:ind w:left="0" w:firstLine="420" w:leftChars="0" w:firstLineChars="200"/>
              <w:jc w:val="both"/>
              <w:rPr>
                <w:rFonts w:ascii="宋体" w:eastAsia="宋体" w:hAnsi="宋体" w:cs="宋体" w:hint="eastAsia"/>
                <w:color w:val="auto"/>
                <w:sz w:val="21"/>
                <w:szCs w:val="21"/>
                <w:highlight w:val="none"/>
                <w:lang w:eastAsia="zh-CN"/>
              </w:rPr>
            </w:pPr>
            <w:r>
              <w:rPr>
                <w:rFonts w:ascii="宋体" w:eastAsia="宋体" w:hAnsi="宋体" w:cs="宋体" w:hint="eastAsia"/>
                <w:color w:val="auto"/>
                <w:sz w:val="21"/>
                <w:szCs w:val="21"/>
                <w:highlight w:val="none"/>
              </w:rPr>
              <w:t>②</w:t>
            </w:r>
            <w:r>
              <w:rPr>
                <w:rFonts w:ascii="宋体" w:eastAsia="宋体" w:hAnsi="宋体" w:cs="宋体" w:hint="eastAsia"/>
                <w:color w:val="auto"/>
                <w:sz w:val="21"/>
                <w:szCs w:val="21"/>
                <w:highlight w:val="none"/>
                <w:lang w:eastAsia="zh-CN"/>
              </w:rPr>
              <w:t>在本项</w:t>
            </w:r>
            <w:r>
              <w:rPr>
                <w:rFonts w:ascii="宋体" w:eastAsia="宋体" w:hAnsi="宋体" w:cs="宋体" w:hint="eastAsia"/>
                <w:color w:val="auto"/>
                <w:sz w:val="21"/>
                <w:szCs w:val="21"/>
                <w:highlight w:val="none"/>
              </w:rPr>
              <w:t>①</w:t>
            </w:r>
            <w:r>
              <w:rPr>
                <w:rFonts w:ascii="宋体" w:eastAsia="宋体" w:hAnsi="宋体" w:cs="宋体" w:hint="eastAsia"/>
                <w:color w:val="auto"/>
                <w:sz w:val="21"/>
                <w:szCs w:val="21"/>
                <w:highlight w:val="none"/>
                <w:lang w:eastAsia="zh-CN"/>
              </w:rPr>
              <w:t>的基础上</w:t>
            </w:r>
            <w:r>
              <w:rPr>
                <w:rFonts w:ascii="宋体" w:eastAsia="宋体" w:hAnsi="宋体" w:cs="宋体" w:hint="eastAsia"/>
                <w:color w:val="auto"/>
                <w:sz w:val="21"/>
                <w:szCs w:val="21"/>
                <w:highlight w:val="none"/>
              </w:rPr>
              <w:t>，</w:t>
            </w:r>
            <w:r>
              <w:rPr>
                <w:rFonts w:ascii="宋体" w:eastAsia="宋体" w:hAnsi="宋体" w:cs="宋体" w:hint="eastAsia"/>
                <w:color w:val="auto"/>
                <w:sz w:val="21"/>
                <w:szCs w:val="21"/>
                <w:highlight w:val="none"/>
                <w:lang w:eastAsia="zh-CN"/>
              </w:rPr>
              <w:t>投标人能根据项目采购需求中的</w:t>
            </w:r>
            <w:r>
              <w:rPr>
                <w:rFonts w:ascii="宋体" w:eastAsia="宋体" w:hAnsi="宋体" w:cs="宋体" w:hint="eastAsia"/>
                <w:color w:val="auto"/>
                <w:sz w:val="21"/>
                <w:szCs w:val="21"/>
                <w:highlight w:val="none"/>
                <w:lang w:val="en-US" w:eastAsia="zh-CN"/>
              </w:rPr>
              <w:t>技术服务</w:t>
            </w:r>
            <w:r>
              <w:rPr>
                <w:rFonts w:ascii="宋体" w:eastAsia="宋体" w:hAnsi="宋体" w:cs="宋体" w:hint="eastAsia"/>
                <w:color w:val="auto"/>
                <w:sz w:val="21"/>
                <w:szCs w:val="21"/>
                <w:highlight w:val="none"/>
                <w:lang w:eastAsia="zh-CN"/>
              </w:rPr>
              <w:t>要求制订相应详细、完善的日常运行保障服务计划、服务流程、运行保障</w:t>
            </w:r>
            <w:r>
              <w:rPr>
                <w:rFonts w:ascii="宋体" w:eastAsia="宋体" w:hAnsi="宋体" w:cs="宋体" w:hint="eastAsia"/>
                <w:color w:val="auto"/>
                <w:sz w:val="21"/>
                <w:szCs w:val="21"/>
                <w:highlight w:val="none"/>
                <w:lang w:val="en-US" w:eastAsia="zh-CN"/>
              </w:rPr>
              <w:t>的管理</w:t>
            </w:r>
            <w:r>
              <w:rPr>
                <w:rFonts w:ascii="宋体" w:eastAsia="宋体" w:hAnsi="宋体" w:cs="宋体" w:hint="eastAsia"/>
                <w:color w:val="auto"/>
                <w:sz w:val="21"/>
                <w:szCs w:val="21"/>
                <w:highlight w:val="none"/>
                <w:lang w:eastAsia="zh-CN"/>
              </w:rPr>
              <w:t>措施；根据运行保障服务内容制订有齐全的</w:t>
            </w:r>
            <w:r>
              <w:rPr>
                <w:rFonts w:ascii="宋体" w:eastAsia="宋体" w:hAnsi="宋体" w:cs="宋体" w:hint="eastAsia"/>
                <w:color w:val="auto"/>
                <w:sz w:val="21"/>
                <w:szCs w:val="21"/>
                <w:highlight w:val="none"/>
                <w:lang w:val="en-US" w:eastAsia="zh-CN"/>
              </w:rPr>
              <w:t>数据报送</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lang w:val="en-US" w:eastAsia="zh-CN"/>
              </w:rPr>
              <w:t>数据查询、系统巡检或故障记录报告等表单样板</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得</w:t>
            </w: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分</w:t>
            </w:r>
            <w:r>
              <w:rPr>
                <w:rFonts w:ascii="宋体" w:eastAsia="宋体" w:hAnsi="宋体" w:cs="宋体" w:hint="eastAsia"/>
                <w:color w:val="auto"/>
                <w:sz w:val="21"/>
                <w:szCs w:val="21"/>
                <w:highlight w:val="none"/>
                <w:lang w:eastAsia="zh-CN"/>
              </w:rPr>
              <w:t>；</w:t>
            </w:r>
          </w:p>
          <w:p>
            <w:pPr>
              <w:pStyle w:val="a0"/>
              <w:keepNext w:val="0"/>
              <w:keepLines w:val="0"/>
              <w:pageBreakBefore w:val="0"/>
              <w:kinsoku/>
              <w:wordWrap/>
              <w:topLinePunct w:val="0"/>
              <w:bidi w:val="0"/>
              <w:spacing w:line="360" w:lineRule="auto"/>
              <w:ind w:left="0" w:firstLine="420" w:leftChars="0" w:firstLineChars="200"/>
              <w:jc w:val="both"/>
              <w:rPr>
                <w:rFonts w:ascii="宋体" w:eastAsia="宋体" w:hAnsi="宋体" w:cs="宋体" w:hint="eastAsia"/>
                <w:color w:val="auto"/>
                <w:sz w:val="21"/>
                <w:szCs w:val="21"/>
                <w:highlight w:val="none"/>
                <w:lang w:eastAsia="zh-CN"/>
              </w:rPr>
            </w:pPr>
            <w:r>
              <w:rPr>
                <w:rFonts w:ascii="宋体" w:eastAsia="宋体" w:hAnsi="宋体" w:cs="宋体" w:hint="eastAsia"/>
                <w:color w:val="auto"/>
                <w:sz w:val="21"/>
                <w:szCs w:val="21"/>
                <w:highlight w:val="none"/>
              </w:rPr>
              <w:t>③在本项②基础上，针对运维工作实际情况和服务要求制定并细化运维措施，优化运维工作流程，做出的运维维护方案清晰、全面，内容详实，能有针对性提出有效优化建议</w:t>
            </w:r>
            <w:r>
              <w:rPr>
                <w:rFonts w:ascii="宋体" w:eastAsia="宋体" w:hAnsi="宋体" w:cs="宋体" w:hint="eastAsia"/>
                <w:color w:val="auto"/>
                <w:sz w:val="21"/>
                <w:szCs w:val="21"/>
                <w:highlight w:val="none"/>
                <w:lang w:val="en-US" w:eastAsia="zh-CN"/>
              </w:rPr>
              <w:t>；</w:t>
            </w:r>
            <w:r>
              <w:rPr>
                <w:rFonts w:ascii="宋体" w:eastAsia="宋体" w:hAnsi="宋体" w:cs="宋体" w:hint="eastAsia"/>
                <w:color w:val="auto"/>
                <w:sz w:val="21"/>
                <w:szCs w:val="21"/>
                <w:highlight w:val="none"/>
              </w:rPr>
              <w:t>承诺针对不同的故障</w:t>
            </w:r>
            <w:r>
              <w:rPr>
                <w:rFonts w:ascii="宋体" w:eastAsia="宋体" w:hAnsi="宋体" w:cs="宋体" w:hint="eastAsia"/>
                <w:color w:val="auto"/>
                <w:sz w:val="21"/>
                <w:szCs w:val="21"/>
                <w:highlight w:val="none"/>
                <w:lang w:eastAsia="zh-CN"/>
              </w:rPr>
              <w:t>级别</w:t>
            </w:r>
            <w:r>
              <w:rPr>
                <w:rFonts w:ascii="宋体" w:eastAsia="宋体" w:hAnsi="宋体" w:cs="宋体" w:hint="eastAsia"/>
                <w:color w:val="auto"/>
                <w:sz w:val="21"/>
                <w:szCs w:val="21"/>
                <w:highlight w:val="none"/>
              </w:rPr>
              <w:t>的</w:t>
            </w:r>
            <w:r>
              <w:rPr>
                <w:rFonts w:ascii="宋体" w:eastAsia="宋体" w:hAnsi="宋体" w:cs="宋体" w:hint="eastAsia"/>
                <w:color w:val="auto"/>
                <w:sz w:val="21"/>
                <w:szCs w:val="21"/>
                <w:highlight w:val="none"/>
                <w:lang w:eastAsia="zh-CN"/>
              </w:rPr>
              <w:t>处理时限</w:t>
            </w:r>
            <w:r>
              <w:rPr>
                <w:rFonts w:ascii="宋体" w:eastAsia="宋体" w:hAnsi="宋体" w:cs="宋体" w:hint="eastAsia"/>
                <w:color w:val="auto"/>
                <w:sz w:val="21"/>
                <w:szCs w:val="21"/>
                <w:highlight w:val="none"/>
              </w:rPr>
              <w:t>优于采购需求：1级故障：处理时限1小时，2级故障：处理时限2小时，3级故障：处理时限</w:t>
            </w:r>
            <w:r>
              <w:rPr>
                <w:rFonts w:ascii="宋体" w:eastAsia="宋体" w:hAnsi="宋体" w:cs="宋体" w:hint="eastAsia"/>
                <w:color w:val="auto"/>
                <w:sz w:val="21"/>
                <w:szCs w:val="21"/>
                <w:highlight w:val="none"/>
                <w:lang w:val="en-US" w:eastAsia="zh-CN"/>
              </w:rPr>
              <w:t>3</w:t>
            </w:r>
            <w:r>
              <w:rPr>
                <w:rFonts w:ascii="宋体" w:eastAsia="宋体" w:hAnsi="宋体" w:cs="宋体" w:hint="eastAsia"/>
                <w:color w:val="auto"/>
                <w:sz w:val="21"/>
                <w:szCs w:val="21"/>
                <w:highlight w:val="none"/>
              </w:rPr>
              <w:t>小时，4级故障（非故障）：处理时限</w:t>
            </w: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小时</w:t>
            </w:r>
            <w:r>
              <w:rPr>
                <w:rFonts w:ascii="宋体" w:eastAsia="宋体" w:hAnsi="宋体" w:cs="宋体" w:hint="eastAsia"/>
                <w:color w:val="auto"/>
                <w:sz w:val="21"/>
                <w:szCs w:val="21"/>
                <w:highlight w:val="none"/>
                <w:lang w:eastAsia="zh-CN"/>
              </w:rPr>
              <w:t>，</w:t>
            </w:r>
            <w:r>
              <w:rPr>
                <w:rFonts w:ascii="宋体" w:eastAsia="宋体" w:hAnsi="宋体" w:cs="宋体" w:hint="eastAsia"/>
                <w:color w:val="auto"/>
                <w:sz w:val="21"/>
                <w:szCs w:val="21"/>
                <w:highlight w:val="none"/>
              </w:rPr>
              <w:t>得</w:t>
            </w:r>
            <w:r>
              <w:rPr>
                <w:rFonts w:ascii="宋体" w:eastAsia="宋体" w:hAnsi="宋体" w:cs="宋体" w:hint="eastAsia"/>
                <w:color w:val="auto"/>
                <w:sz w:val="21"/>
                <w:szCs w:val="21"/>
                <w:highlight w:val="none"/>
                <w:lang w:val="en-US" w:eastAsia="zh-CN"/>
              </w:rPr>
              <w:t>9</w:t>
            </w:r>
            <w:r>
              <w:rPr>
                <w:rFonts w:ascii="宋体" w:eastAsia="宋体" w:hAnsi="宋体" w:cs="宋体" w:hint="eastAsia"/>
                <w:color w:val="auto"/>
                <w:sz w:val="21"/>
                <w:szCs w:val="21"/>
                <w:highlight w:val="none"/>
              </w:rPr>
              <w:t>分。</w:t>
            </w:r>
          </w:p>
          <w:p>
            <w:pPr>
              <w:pStyle w:val="a0"/>
              <w:keepNext w:val="0"/>
              <w:keepLines w:val="0"/>
              <w:pageBreakBefore w:val="0"/>
              <w:kinsoku/>
              <w:wordWrap/>
              <w:topLinePunct w:val="0"/>
              <w:bidi w:val="0"/>
              <w:spacing w:line="360" w:lineRule="auto"/>
              <w:ind w:firstLine="420" w:firstLineChars="200"/>
              <w:jc w:val="both"/>
              <w:rPr>
                <w:rFonts w:ascii="宋体" w:eastAsia="宋体" w:hAnsi="宋体" w:cs="宋体" w:hint="eastAsia"/>
                <w:bCs/>
                <w:color w:val="auto"/>
                <w:sz w:val="21"/>
                <w:szCs w:val="21"/>
                <w:highlight w:val="none"/>
                <w:lang w:val="en-US" w:eastAsia="zh-CN" w:bidi="ar-SA"/>
              </w:rPr>
            </w:pPr>
            <w:r>
              <w:rPr>
                <w:rFonts w:ascii="宋体" w:eastAsia="宋体" w:hAnsi="宋体" w:cs="宋体" w:hint="eastAsia"/>
                <w:color w:val="auto"/>
                <w:sz w:val="21"/>
                <w:szCs w:val="21"/>
                <w:highlight w:val="none"/>
              </w:rPr>
              <w:t>注：未提供运行维护方案或运行维护方案达不到①标准要求的计0分。</w:t>
            </w:r>
          </w:p>
        </w:tc>
        <w:tc>
          <w:tcPr>
            <w:tcW w:w="893" w:type="dxa"/>
            <w:noWrap/>
            <w:vAlign w:val="center"/>
          </w:tcPr>
          <w:p>
            <w:pPr>
              <w:keepNext w:val="0"/>
              <w:keepLines w:val="0"/>
              <w:pageBreakBefore w:val="0"/>
              <w:kinsoku/>
              <w:wordWrap/>
              <w:topLinePunct w:val="0"/>
              <w:bidi w:val="0"/>
              <w:spacing w:line="360" w:lineRule="auto"/>
              <w:rPr>
                <w:rFonts w:ascii="宋体" w:eastAsia="宋体" w:hAnsi="宋体" w:cs="宋体" w:hint="eastAsia"/>
                <w:bCs/>
                <w:color w:val="auto"/>
                <w:sz w:val="21"/>
                <w:szCs w:val="21"/>
                <w:highlight w:val="none"/>
                <w:lang w:val="en-US" w:eastAsia="zh-CN" w:bidi="ar-SA"/>
              </w:rPr>
            </w:pPr>
            <w:r>
              <w:rPr>
                <w:rFonts w:ascii="宋体" w:eastAsia="宋体" w:hAnsi="宋体" w:cs="宋体" w:hint="eastAsia"/>
                <w:color w:val="auto"/>
                <w:sz w:val="21"/>
                <w:szCs w:val="21"/>
                <w:highlight w:val="none"/>
                <w:lang w:val="en-US" w:eastAsia="zh-CN"/>
              </w:rPr>
              <w:t>9</w:t>
            </w:r>
            <w:r>
              <w:rPr>
                <w:rFonts w:ascii="宋体" w:eastAsia="宋体" w:hAnsi="宋体" w:cs="宋体" w:hint="eastAsia"/>
                <w:color w:val="auto"/>
                <w:sz w:val="21"/>
                <w:szCs w:val="21"/>
                <w:highlight w:val="none"/>
              </w:rPr>
              <w:t>分</w:t>
            </w:r>
          </w:p>
        </w:tc>
      </w:tr>
      <w:tr>
        <w:tblPrEx>
          <w:tblW w:w="9147" w:type="dxa"/>
          <w:tblInd w:w="0" w:type="dxa"/>
          <w:tblLayout w:type="fixed"/>
          <w:tblCellMar>
            <w:top w:w="0" w:type="dxa"/>
            <w:left w:w="108" w:type="dxa"/>
            <w:bottom w:w="0" w:type="dxa"/>
            <w:right w:w="108" w:type="dxa"/>
          </w:tblCellMar>
        </w:tblPrEx>
        <w:trPr>
          <w:trHeight w:val="732"/>
        </w:trPr>
        <w:tc>
          <w:tcPr>
            <w:tcW w:w="477" w:type="dxa"/>
            <w:vMerge/>
            <w:noWrap/>
            <w:vAlign w:val="center"/>
          </w:tcPr>
          <w:p>
            <w:pPr>
              <w:keepNext w:val="0"/>
              <w:keepLines w:val="0"/>
              <w:pageBreakBefore w:val="0"/>
              <w:kinsoku/>
              <w:wordWrap/>
              <w:topLinePunct w:val="0"/>
              <w:bidi w:val="0"/>
              <w:spacing w:line="360" w:lineRule="auto"/>
              <w:rPr>
                <w:rFonts w:ascii="宋体" w:eastAsia="宋体" w:hAnsi="宋体" w:cs="宋体" w:hint="eastAsia"/>
                <w:color w:val="auto"/>
                <w:sz w:val="21"/>
                <w:szCs w:val="21"/>
                <w:highlight w:val="none"/>
              </w:rPr>
            </w:pPr>
          </w:p>
        </w:tc>
        <w:tc>
          <w:tcPr>
            <w:tcW w:w="1102" w:type="dxa"/>
            <w:vMerge/>
            <w:noWrap/>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zh-CN"/>
              </w:rPr>
            </w:pPr>
          </w:p>
        </w:tc>
        <w:tc>
          <w:tcPr>
            <w:tcW w:w="1102"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snapToGrid w:val="0"/>
                <w:color w:val="auto"/>
                <w:sz w:val="21"/>
                <w:szCs w:val="21"/>
                <w:highlight w:val="none"/>
              </w:rPr>
            </w:pPr>
            <w:r>
              <w:rPr>
                <w:rFonts w:ascii="宋体" w:eastAsia="宋体" w:hAnsi="宋体" w:cs="宋体" w:hint="eastAsia"/>
                <w:snapToGrid w:val="0"/>
                <w:color w:val="auto"/>
                <w:sz w:val="21"/>
                <w:szCs w:val="21"/>
                <w:highlight w:val="none"/>
              </w:rPr>
              <w:t>验收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snapToGrid w:val="0"/>
                <w:color w:val="auto"/>
                <w:sz w:val="21"/>
                <w:szCs w:val="21"/>
                <w:highlight w:val="none"/>
              </w:rPr>
            </w:pPr>
            <w:r>
              <w:rPr>
                <w:rFonts w:ascii="宋体" w:eastAsia="宋体" w:hAnsi="宋体" w:cs="宋体" w:hint="eastAsia"/>
                <w:snapToGrid w:val="0"/>
                <w:color w:val="auto"/>
                <w:sz w:val="21"/>
                <w:szCs w:val="21"/>
                <w:highlight w:val="none"/>
              </w:rPr>
              <w:t>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auto"/>
                <w:sz w:val="21"/>
                <w:szCs w:val="21"/>
                <w:highlight w:val="none"/>
                <w:lang w:val="en"/>
              </w:rPr>
            </w:pPr>
            <w:r>
              <w:rPr>
                <w:rFonts w:ascii="宋体" w:eastAsia="宋体" w:hAnsi="宋体" w:cs="宋体" w:hint="eastAsia"/>
                <w:snapToGrid w:val="0"/>
                <w:color w:val="auto"/>
                <w:sz w:val="21"/>
                <w:szCs w:val="21"/>
                <w:highlight w:val="none"/>
                <w:lang w:val="en-US" w:eastAsia="zh-CN"/>
              </w:rPr>
              <w:t>(6分</w:t>
            </w:r>
            <w:r>
              <w:rPr>
                <w:rFonts w:ascii="宋体" w:eastAsia="宋体" w:hAnsi="宋体" w:cs="宋体" w:hint="eastAsia"/>
                <w:snapToGrid w:val="0"/>
                <w:color w:val="auto"/>
                <w:sz w:val="21"/>
                <w:szCs w:val="21"/>
                <w:highlight w:val="none"/>
                <w:lang w:val="en" w:eastAsia="zh-CN"/>
              </w:rPr>
              <w:t>)</w:t>
            </w:r>
          </w:p>
        </w:tc>
        <w:tc>
          <w:tcPr>
            <w:tcW w:w="5573" w:type="dxa"/>
            <w:noWrap/>
            <w:vAlign w:val="top"/>
          </w:tcPr>
          <w:p>
            <w:pPr>
              <w:pStyle w:val="PlainText"/>
              <w:keepNext w:val="0"/>
              <w:keepLines w:val="0"/>
              <w:pageBreakBefore w:val="0"/>
              <w:kinsoku/>
              <w:wordWrap/>
              <w:topLinePunct w:val="0"/>
              <w:bidi w:val="0"/>
              <w:spacing w:line="360" w:lineRule="auto"/>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由评标委员会根据投标人提供的验收方案，从</w:t>
            </w:r>
            <w:r>
              <w:rPr>
                <w:rFonts w:ascii="宋体" w:eastAsia="宋体" w:hAnsi="宋体" w:cs="宋体" w:hint="eastAsia"/>
                <w:color w:val="auto"/>
                <w:sz w:val="21"/>
                <w:szCs w:val="21"/>
                <w:highlight w:val="none"/>
                <w:lang w:eastAsia="zh-CN"/>
              </w:rPr>
              <w:t>验收内容、验收方式、</w:t>
            </w:r>
            <w:r>
              <w:rPr>
                <w:rFonts w:ascii="宋体" w:eastAsia="宋体" w:hAnsi="宋体" w:cs="宋体" w:hint="eastAsia"/>
                <w:color w:val="auto"/>
                <w:sz w:val="21"/>
                <w:szCs w:val="21"/>
                <w:highlight w:val="none"/>
              </w:rPr>
              <w:t>验收流程及标准、验收中出现问题的解决办法和补救措施等内容、验收交付物等描述进行评价，以下各项不得重复计分。</w:t>
            </w:r>
          </w:p>
          <w:p>
            <w:pPr>
              <w:pStyle w:val="PlainText"/>
              <w:keepNext w:val="0"/>
              <w:keepLines w:val="0"/>
              <w:pageBreakBefore w:val="0"/>
              <w:kinsoku/>
              <w:wordWrap/>
              <w:topLinePunct w:val="0"/>
              <w:bidi w:val="0"/>
              <w:spacing w:line="360" w:lineRule="auto"/>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①投标人提供的验收方案在满足采购需求的</w:t>
            </w:r>
            <w:r>
              <w:rPr>
                <w:rFonts w:ascii="宋体" w:eastAsia="宋体" w:hAnsi="宋体" w:cs="宋体" w:hint="eastAsia"/>
                <w:color w:val="auto"/>
                <w:sz w:val="21"/>
                <w:szCs w:val="21"/>
                <w:highlight w:val="none"/>
                <w:lang w:eastAsia="zh-CN"/>
              </w:rPr>
              <w:t>验收内容</w:t>
            </w:r>
            <w:r>
              <w:rPr>
                <w:rFonts w:ascii="宋体" w:eastAsia="宋体" w:hAnsi="宋体" w:cs="宋体" w:hint="eastAsia"/>
                <w:color w:val="auto"/>
                <w:sz w:val="21"/>
                <w:szCs w:val="21"/>
                <w:highlight w:val="none"/>
              </w:rPr>
              <w:t>前提下，对</w:t>
            </w:r>
            <w:r>
              <w:rPr>
                <w:rFonts w:ascii="宋体" w:eastAsia="宋体" w:hAnsi="宋体" w:cs="宋体" w:hint="eastAsia"/>
                <w:color w:val="auto"/>
                <w:sz w:val="21"/>
                <w:szCs w:val="21"/>
                <w:highlight w:val="none"/>
                <w:lang w:eastAsia="zh-CN"/>
              </w:rPr>
              <w:t>验收方式、</w:t>
            </w:r>
            <w:r>
              <w:rPr>
                <w:rFonts w:ascii="宋体" w:eastAsia="宋体" w:hAnsi="宋体" w:cs="宋体" w:hint="eastAsia"/>
                <w:color w:val="auto"/>
                <w:sz w:val="21"/>
                <w:szCs w:val="21"/>
                <w:highlight w:val="none"/>
              </w:rPr>
              <w:t>验收流程及标准、验收交付物等内容均有</w:t>
            </w:r>
            <w:r>
              <w:rPr>
                <w:rFonts w:ascii="宋体" w:eastAsia="宋体" w:hAnsi="宋体" w:cs="宋体" w:hint="eastAsia"/>
                <w:color w:val="auto"/>
                <w:sz w:val="21"/>
                <w:szCs w:val="21"/>
                <w:highlight w:val="none"/>
                <w:lang w:eastAsia="zh-CN"/>
              </w:rPr>
              <w:t>明确</w:t>
            </w:r>
            <w:r>
              <w:rPr>
                <w:rFonts w:ascii="宋体" w:eastAsia="宋体" w:hAnsi="宋体" w:cs="宋体" w:hint="eastAsia"/>
                <w:color w:val="auto"/>
                <w:sz w:val="21"/>
                <w:szCs w:val="21"/>
                <w:highlight w:val="none"/>
              </w:rPr>
              <w:t>描述的，得2分；</w:t>
            </w:r>
          </w:p>
          <w:p>
            <w:pPr>
              <w:pStyle w:val="PlainText"/>
              <w:keepNext w:val="0"/>
              <w:keepLines w:val="0"/>
              <w:pageBreakBefore w:val="0"/>
              <w:kinsoku/>
              <w:wordWrap/>
              <w:topLinePunct w:val="0"/>
              <w:bidi w:val="0"/>
              <w:spacing w:line="360" w:lineRule="auto"/>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②在本项①基础上，投标人能根据项目情况考核制定并能优化项目验收流程</w:t>
            </w:r>
            <w:r>
              <w:rPr>
                <w:rFonts w:ascii="宋体" w:eastAsia="宋体" w:hAnsi="宋体" w:cs="宋体" w:hint="eastAsia"/>
                <w:color w:val="auto"/>
                <w:sz w:val="21"/>
                <w:szCs w:val="21"/>
                <w:highlight w:val="none"/>
                <w:lang w:eastAsia="zh-CN"/>
              </w:rPr>
              <w:t>及</w:t>
            </w:r>
            <w:r>
              <w:rPr>
                <w:rFonts w:ascii="宋体" w:eastAsia="宋体" w:hAnsi="宋体" w:cs="宋体" w:hint="eastAsia"/>
                <w:color w:val="auto"/>
                <w:sz w:val="21"/>
                <w:szCs w:val="21"/>
                <w:highlight w:val="none"/>
              </w:rPr>
              <w:t>标准</w:t>
            </w:r>
            <w:r>
              <w:rPr>
                <w:rFonts w:ascii="宋体" w:eastAsia="宋体" w:hAnsi="宋体" w:cs="宋体" w:hint="eastAsia"/>
                <w:color w:val="auto"/>
                <w:sz w:val="21"/>
                <w:szCs w:val="21"/>
                <w:highlight w:val="none"/>
                <w:lang w:eastAsia="zh-CN"/>
              </w:rPr>
              <w:t>；有具体的验收测试准备及</w:t>
            </w:r>
            <w:r>
              <w:rPr>
                <w:rFonts w:ascii="宋体" w:eastAsia="宋体" w:hAnsi="宋体" w:cs="宋体" w:hint="eastAsia"/>
                <w:color w:val="auto"/>
                <w:sz w:val="21"/>
                <w:szCs w:val="21"/>
                <w:highlight w:val="none"/>
              </w:rPr>
              <w:t>应急保障措施，应急处置、保障手段能有效保障项目各阶段的顺利验收，得4分；</w:t>
            </w:r>
          </w:p>
          <w:p>
            <w:pPr>
              <w:pStyle w:val="PlainText"/>
              <w:keepNext w:val="0"/>
              <w:keepLines w:val="0"/>
              <w:pageBreakBefore w:val="0"/>
              <w:kinsoku/>
              <w:wordWrap/>
              <w:topLinePunct w:val="0"/>
              <w:bidi w:val="0"/>
              <w:spacing w:line="360" w:lineRule="auto"/>
              <w:ind w:firstLine="420" w:firstLineChars="200"/>
              <w:jc w:val="both"/>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③在本项②基础上，</w:t>
            </w:r>
            <w:r>
              <w:rPr>
                <w:rFonts w:ascii="宋体" w:eastAsia="宋体" w:hAnsi="宋体" w:cs="宋体" w:hint="eastAsia"/>
                <w:color w:val="auto"/>
                <w:sz w:val="21"/>
                <w:szCs w:val="21"/>
                <w:highlight w:val="none"/>
                <w:lang w:val="zh-CN" w:eastAsia="zh-CN"/>
              </w:rPr>
              <w:t>投标人针对项目履行情况考核及服务质量考核验收，能量化到细节，保障手段具有多样性，突出重点；有对应的验收流程图、图表等，完全满足采购需求，得</w:t>
            </w:r>
            <w:r>
              <w:rPr>
                <w:rFonts w:ascii="宋体" w:eastAsia="宋体" w:hAnsi="宋体" w:cs="宋体" w:hint="eastAsia"/>
                <w:color w:val="auto"/>
                <w:sz w:val="21"/>
                <w:szCs w:val="21"/>
                <w:highlight w:val="none"/>
                <w:lang w:val="en-US" w:eastAsia="zh-CN"/>
              </w:rPr>
              <w:t>6分</w:t>
            </w:r>
            <w:r>
              <w:rPr>
                <w:rFonts w:ascii="宋体" w:eastAsia="宋体" w:hAnsi="宋体" w:cs="宋体" w:hint="eastAsia"/>
                <w:color w:val="auto"/>
                <w:sz w:val="21"/>
                <w:szCs w:val="21"/>
                <w:highlight w:val="none"/>
              </w:rPr>
              <w:t>。</w:t>
            </w:r>
          </w:p>
          <w:p>
            <w:pPr>
              <w:pStyle w:val="PlainText"/>
              <w:keepNext w:val="0"/>
              <w:keepLines w:val="0"/>
              <w:pageBreakBefore w:val="0"/>
              <w:kinsoku/>
              <w:wordWrap/>
              <w:topLinePunct w:val="0"/>
              <w:bidi w:val="0"/>
              <w:spacing w:line="360" w:lineRule="auto"/>
              <w:ind w:firstLine="420" w:firstLineChars="200"/>
              <w:jc w:val="both"/>
              <w:rPr>
                <w:rFonts w:ascii="宋体" w:eastAsia="宋体" w:hAnsi="宋体" w:cs="宋体" w:hint="eastAsia"/>
                <w:color w:val="auto"/>
                <w:sz w:val="21"/>
                <w:szCs w:val="21"/>
                <w:highlight w:val="none"/>
                <w:lang w:val="zh-CN"/>
              </w:rPr>
            </w:pPr>
            <w:r>
              <w:rPr>
                <w:rFonts w:ascii="宋体" w:eastAsia="宋体" w:hAnsi="宋体" w:cs="宋体" w:hint="eastAsia"/>
                <w:color w:val="auto"/>
                <w:sz w:val="21"/>
                <w:szCs w:val="21"/>
                <w:highlight w:val="none"/>
              </w:rPr>
              <w:t>未提供验收方案或验收方案未达到①标准要求的， 得 0 分。</w:t>
            </w:r>
          </w:p>
        </w:tc>
        <w:tc>
          <w:tcPr>
            <w:tcW w:w="893" w:type="dxa"/>
            <w:noWrap/>
            <w:vAlign w:val="center"/>
          </w:tcPr>
          <w:p>
            <w:pPr>
              <w:keepNext w:val="0"/>
              <w:keepLines w:val="0"/>
              <w:pageBreakBefore w:val="0"/>
              <w:kinsoku/>
              <w:wordWrap/>
              <w:topLinePunct w:val="0"/>
              <w:bidi w:val="0"/>
              <w:spacing w:line="360" w:lineRule="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lang w:val="en-US" w:eastAsia="zh-CN"/>
              </w:rPr>
              <w:t>6</w:t>
            </w:r>
            <w:r>
              <w:rPr>
                <w:rFonts w:ascii="宋体" w:eastAsia="宋体" w:hAnsi="宋体" w:cs="宋体" w:hint="eastAsia"/>
                <w:color w:val="auto"/>
                <w:sz w:val="21"/>
                <w:szCs w:val="21"/>
                <w:highlight w:val="none"/>
              </w:rPr>
              <w:t>分</w:t>
            </w:r>
          </w:p>
        </w:tc>
      </w:tr>
      <w:tr>
        <w:tblPrEx>
          <w:tblW w:w="9147" w:type="dxa"/>
          <w:tblInd w:w="0" w:type="dxa"/>
          <w:tblLayout w:type="fixed"/>
          <w:tblCellMar>
            <w:top w:w="0" w:type="dxa"/>
            <w:left w:w="108" w:type="dxa"/>
            <w:bottom w:w="0" w:type="dxa"/>
            <w:right w:w="108" w:type="dxa"/>
          </w:tblCellMar>
        </w:tblPrEx>
        <w:tc>
          <w:tcPr>
            <w:tcW w:w="8254" w:type="dxa"/>
            <w:gridSpan w:val="4"/>
            <w:noWrap/>
            <w:vAlign w:val="center"/>
          </w:tcPr>
          <w:p>
            <w:pPr>
              <w:keepNext w:val="0"/>
              <w:keepLines w:val="0"/>
              <w:pageBreakBefore w:val="0"/>
              <w:kinsoku/>
              <w:wordWrap/>
              <w:topLinePunct w:val="0"/>
              <w:bidi w:val="0"/>
              <w:spacing w:line="360" w:lineRule="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合     计</w:t>
            </w:r>
          </w:p>
        </w:tc>
        <w:tc>
          <w:tcPr>
            <w:tcW w:w="893" w:type="dxa"/>
            <w:noWrap/>
            <w:vAlign w:val="center"/>
          </w:tcPr>
          <w:p>
            <w:pPr>
              <w:keepNext w:val="0"/>
              <w:keepLines w:val="0"/>
              <w:pageBreakBefore w:val="0"/>
              <w:kinsoku/>
              <w:wordWrap/>
              <w:topLinePunct w:val="0"/>
              <w:bidi w:val="0"/>
              <w:spacing w:line="360" w:lineRule="auto"/>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 xml:space="preserve">100 </w:t>
            </w:r>
          </w:p>
        </w:tc>
      </w:tr>
    </w:tbl>
    <w:p>
      <w:pPr>
        <w:spacing w:line="360" w:lineRule="auto"/>
        <w:rPr>
          <w:color w:val="auto"/>
          <w:sz w:val="21"/>
          <w:szCs w:val="21"/>
          <w:highlight w:val="none"/>
        </w:rPr>
      </w:pPr>
    </w:p>
    <w:p>
      <w:pPr>
        <w:rPr>
          <w:color w:val="auto"/>
          <w:highlight w:val="none"/>
        </w:rPr>
      </w:pPr>
    </w:p>
    <w:p>
      <w:pPr>
        <w:ind w:firstLine="210" w:firstLineChars="100"/>
        <w:jc w:val="both"/>
        <w:rPr>
          <w:color w:val="auto"/>
          <w:highlight w:val="none"/>
        </w:rPr>
      </w:pPr>
      <w:r>
        <w:rPr>
          <w:rFonts w:hint="eastAsia"/>
          <w:color w:val="auto"/>
          <w:highlight w:val="none"/>
        </w:rPr>
        <w:t>2.3 落实政府采购政策进行价格调整的规则：</w:t>
      </w:r>
    </w:p>
    <w:tbl>
      <w:tblPr>
        <w:tblStyle w:val="TableNormal"/>
        <w:tblW w:w="8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140"/>
        <w:gridCol w:w="3913"/>
        <w:gridCol w:w="2911"/>
      </w:tblGrid>
      <w:tr>
        <w:tblPrEx>
          <w:tblW w:w="8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jc w:val="center"/>
        </w:trPr>
        <w:tc>
          <w:tcPr>
            <w:tcW w:w="2140" w:type="dxa"/>
            <w:noWrap/>
            <w:vAlign w:val="center"/>
          </w:tcPr>
          <w:p>
            <w:pPr>
              <w:pStyle w:val="null3"/>
              <w:widowControl w:val="0"/>
              <w:spacing w:line="440" w:lineRule="exact"/>
              <w:jc w:val="center"/>
              <w:rPr>
                <w:rFonts w:asciiTheme="minorEastAsia" w:eastAsiaTheme="minorEastAsia" w:hAnsiTheme="minorEastAsia" w:cstheme="minorEastAsia" w:hint="default"/>
                <w:b/>
                <w:color w:val="auto"/>
                <w:kern w:val="2"/>
                <w:sz w:val="21"/>
                <w:szCs w:val="21"/>
                <w:highlight w:val="none"/>
              </w:rPr>
            </w:pPr>
            <w:r>
              <w:rPr>
                <w:rFonts w:asciiTheme="minorEastAsia" w:eastAsiaTheme="minorEastAsia" w:hAnsiTheme="minorEastAsia" w:cstheme="minorEastAsia"/>
                <w:b/>
                <w:color w:val="auto"/>
                <w:kern w:val="2"/>
                <w:sz w:val="21"/>
                <w:szCs w:val="21"/>
                <w:highlight w:val="none"/>
              </w:rPr>
              <w:t>政府采购政策</w:t>
            </w:r>
          </w:p>
        </w:tc>
        <w:tc>
          <w:tcPr>
            <w:tcW w:w="3913" w:type="dxa"/>
            <w:noWrap/>
            <w:vAlign w:val="center"/>
          </w:tcPr>
          <w:p>
            <w:pPr>
              <w:pStyle w:val="null3"/>
              <w:widowControl w:val="0"/>
              <w:spacing w:line="440" w:lineRule="exact"/>
              <w:jc w:val="center"/>
              <w:rPr>
                <w:rFonts w:asciiTheme="minorEastAsia" w:eastAsiaTheme="minorEastAsia" w:hAnsiTheme="minorEastAsia" w:cstheme="minorEastAsia" w:hint="default"/>
                <w:b/>
                <w:color w:val="auto"/>
                <w:kern w:val="2"/>
                <w:sz w:val="21"/>
                <w:szCs w:val="21"/>
                <w:highlight w:val="none"/>
              </w:rPr>
            </w:pPr>
            <w:r>
              <w:rPr>
                <w:rFonts w:asciiTheme="minorEastAsia" w:eastAsiaTheme="minorEastAsia" w:hAnsiTheme="minorEastAsia" w:cstheme="minorEastAsia"/>
                <w:b/>
                <w:color w:val="auto"/>
                <w:kern w:val="2"/>
                <w:sz w:val="21"/>
                <w:szCs w:val="21"/>
                <w:highlight w:val="none"/>
              </w:rPr>
              <w:t>价格扣除规则</w:t>
            </w:r>
          </w:p>
        </w:tc>
        <w:tc>
          <w:tcPr>
            <w:tcW w:w="2911" w:type="dxa"/>
            <w:noWrap/>
            <w:vAlign w:val="center"/>
          </w:tcPr>
          <w:p>
            <w:pPr>
              <w:pStyle w:val="null3"/>
              <w:widowControl w:val="0"/>
              <w:spacing w:line="440" w:lineRule="exact"/>
              <w:jc w:val="center"/>
              <w:rPr>
                <w:rFonts w:asciiTheme="minorEastAsia" w:eastAsiaTheme="minorEastAsia" w:hAnsiTheme="minorEastAsia" w:cstheme="minorEastAsia" w:hint="default"/>
                <w:b/>
                <w:color w:val="auto"/>
                <w:kern w:val="2"/>
                <w:sz w:val="21"/>
                <w:szCs w:val="21"/>
                <w:highlight w:val="none"/>
              </w:rPr>
            </w:pPr>
            <w:r>
              <w:rPr>
                <w:rFonts w:asciiTheme="minorEastAsia" w:eastAsiaTheme="minorEastAsia" w:hAnsiTheme="minorEastAsia" w:cstheme="minorEastAsia"/>
                <w:b/>
                <w:color w:val="auto"/>
                <w:kern w:val="2"/>
                <w:sz w:val="21"/>
                <w:szCs w:val="21"/>
                <w:highlight w:val="none"/>
              </w:rPr>
              <w:t>享受价格扣除的条件</w:t>
            </w:r>
          </w:p>
        </w:tc>
      </w:tr>
      <w:tr>
        <w:tblPrEx>
          <w:tblW w:w="8964" w:type="dxa"/>
          <w:jc w:val="center"/>
          <w:tblLayout w:type="fixed"/>
          <w:tblCellMar>
            <w:top w:w="0" w:type="dxa"/>
            <w:left w:w="108" w:type="dxa"/>
            <w:bottom w:w="0" w:type="dxa"/>
            <w:right w:w="108" w:type="dxa"/>
          </w:tblCellMar>
        </w:tblPrEx>
        <w:trPr>
          <w:jc w:val="center"/>
        </w:trPr>
        <w:tc>
          <w:tcPr>
            <w:tcW w:w="2140" w:type="dxa"/>
            <w:noWrap/>
            <w:vAlign w:val="center"/>
          </w:tcPr>
          <w:p>
            <w:pPr>
              <w:pStyle w:val="null3"/>
              <w:widowControl w:val="0"/>
              <w:spacing w:line="440" w:lineRule="exact"/>
              <w:jc w:val="center"/>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节约能源政策</w:t>
            </w:r>
          </w:p>
        </w:tc>
        <w:tc>
          <w:tcPr>
            <w:tcW w:w="3913" w:type="dxa"/>
            <w:noWrap/>
            <w:vAlign w:val="center"/>
          </w:tcPr>
          <w:p>
            <w:pPr>
              <w:pStyle w:val="null3"/>
              <w:widowControl w:val="0"/>
              <w:spacing w:line="440" w:lineRule="exact"/>
              <w:jc w:val="center"/>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w:t>
            </w:r>
          </w:p>
        </w:tc>
        <w:tc>
          <w:tcPr>
            <w:tcW w:w="2911" w:type="dxa"/>
            <w:noWrap/>
            <w:vAlign w:val="center"/>
          </w:tcPr>
          <w:p>
            <w:pPr>
              <w:pStyle w:val="null3"/>
              <w:widowControl w:val="0"/>
              <w:spacing w:line="440" w:lineRule="exact"/>
              <w:jc w:val="center"/>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w:t>
            </w:r>
          </w:p>
        </w:tc>
      </w:tr>
      <w:tr>
        <w:tblPrEx>
          <w:tblW w:w="8964" w:type="dxa"/>
          <w:jc w:val="center"/>
          <w:tblLayout w:type="fixed"/>
          <w:tblCellMar>
            <w:top w:w="0" w:type="dxa"/>
            <w:left w:w="108" w:type="dxa"/>
            <w:bottom w:w="0" w:type="dxa"/>
            <w:right w:w="108" w:type="dxa"/>
          </w:tblCellMar>
        </w:tblPrEx>
        <w:trPr>
          <w:jc w:val="center"/>
        </w:trPr>
        <w:tc>
          <w:tcPr>
            <w:tcW w:w="2140" w:type="dxa"/>
            <w:noWrap/>
            <w:vAlign w:val="center"/>
          </w:tcPr>
          <w:p>
            <w:pPr>
              <w:pStyle w:val="null3"/>
              <w:widowControl w:val="0"/>
              <w:spacing w:line="440" w:lineRule="exact"/>
              <w:jc w:val="center"/>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保护环境政策</w:t>
            </w:r>
          </w:p>
        </w:tc>
        <w:tc>
          <w:tcPr>
            <w:tcW w:w="3913" w:type="dxa"/>
            <w:noWrap/>
            <w:vAlign w:val="center"/>
          </w:tcPr>
          <w:p>
            <w:pPr>
              <w:pStyle w:val="null3"/>
              <w:widowControl w:val="0"/>
              <w:spacing w:line="440" w:lineRule="exact"/>
              <w:jc w:val="center"/>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w:t>
            </w:r>
          </w:p>
        </w:tc>
        <w:tc>
          <w:tcPr>
            <w:tcW w:w="2911" w:type="dxa"/>
            <w:noWrap/>
            <w:vAlign w:val="center"/>
          </w:tcPr>
          <w:p>
            <w:pPr>
              <w:pStyle w:val="null3"/>
              <w:widowControl w:val="0"/>
              <w:spacing w:line="440" w:lineRule="exact"/>
              <w:jc w:val="center"/>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w:t>
            </w:r>
          </w:p>
        </w:tc>
      </w:tr>
      <w:tr>
        <w:tblPrEx>
          <w:tblW w:w="8964" w:type="dxa"/>
          <w:jc w:val="center"/>
          <w:tblLayout w:type="fixed"/>
          <w:tblCellMar>
            <w:top w:w="0" w:type="dxa"/>
            <w:left w:w="108" w:type="dxa"/>
            <w:bottom w:w="0" w:type="dxa"/>
            <w:right w:w="108" w:type="dxa"/>
          </w:tblCellMar>
        </w:tblPrEx>
        <w:trPr>
          <w:jc w:val="center"/>
        </w:trPr>
        <w:tc>
          <w:tcPr>
            <w:tcW w:w="2140" w:type="dxa"/>
            <w:noWrap/>
            <w:vAlign w:val="center"/>
          </w:tcPr>
          <w:p>
            <w:pPr>
              <w:pStyle w:val="null3"/>
              <w:widowControl w:val="0"/>
              <w:spacing w:line="360" w:lineRule="auto"/>
              <w:jc w:val="center"/>
              <w:rPr>
                <w:rFonts w:ascii="宋体" w:hAnsi="宋体" w:hint="default"/>
                <w:color w:val="auto"/>
                <w:kern w:val="2"/>
                <w:sz w:val="21"/>
                <w:szCs w:val="21"/>
                <w:highlight w:val="none"/>
              </w:rPr>
            </w:pPr>
            <w:r>
              <w:rPr>
                <w:rFonts w:ascii="宋体" w:hAnsi="宋体"/>
                <w:color w:val="auto"/>
                <w:kern w:val="2"/>
                <w:sz w:val="21"/>
                <w:szCs w:val="21"/>
                <w:highlight w:val="none"/>
              </w:rPr>
              <w:t>促进中小企业</w:t>
            </w:r>
          </w:p>
          <w:p>
            <w:pPr>
              <w:pStyle w:val="null3"/>
              <w:widowControl w:val="0"/>
              <w:spacing w:line="360" w:lineRule="auto"/>
              <w:jc w:val="center"/>
              <w:rPr>
                <w:rFonts w:asciiTheme="minorEastAsia" w:eastAsiaTheme="minorEastAsia" w:hAnsiTheme="minorEastAsia" w:cstheme="minorEastAsia" w:hint="default"/>
                <w:color w:val="auto"/>
                <w:kern w:val="2"/>
                <w:sz w:val="21"/>
                <w:szCs w:val="21"/>
                <w:highlight w:val="none"/>
              </w:rPr>
            </w:pPr>
            <w:r>
              <w:rPr>
                <w:rFonts w:ascii="宋体" w:hAnsi="宋体"/>
                <w:color w:val="auto"/>
                <w:kern w:val="2"/>
                <w:sz w:val="21"/>
                <w:szCs w:val="21"/>
                <w:highlight w:val="none"/>
              </w:rPr>
              <w:t>发展政策</w:t>
            </w:r>
          </w:p>
        </w:tc>
        <w:tc>
          <w:tcPr>
            <w:tcW w:w="3913" w:type="dxa"/>
            <w:noWrap/>
            <w:vAlign w:val="center"/>
          </w:tcPr>
          <w:p>
            <w:pPr>
              <w:spacing w:line="440" w:lineRule="exact"/>
              <w:jc w:val="left"/>
              <w:rPr>
                <w:rFonts w:asciiTheme="minorEastAsia" w:hAnsiTheme="minorEastAsia" w:cstheme="minorEastAsia"/>
                <w:color w:val="auto"/>
                <w:highlight w:val="none"/>
              </w:rPr>
            </w:pPr>
            <w:r>
              <w:rPr>
                <w:rFonts w:asciiTheme="minorEastAsia" w:eastAsiaTheme="minorEastAsia" w:hAnsiTheme="minorEastAsia" w:cstheme="minorEastAsia" w:hint="eastAsia"/>
                <w:color w:val="auto"/>
                <w:sz w:val="21"/>
                <w:szCs w:val="21"/>
                <w:highlight w:val="none"/>
              </w:rPr>
              <w:t>本项目为专门面向中小企业采购项目，按照《政府采购促进中小企业发展管理办法》（财库〔2020〕46号）规定，小微企业不再执行价格评审优惠的扶持政策。</w:t>
            </w:r>
          </w:p>
        </w:tc>
        <w:tc>
          <w:tcPr>
            <w:tcW w:w="2911" w:type="dxa"/>
            <w:noWrap/>
            <w:vAlign w:val="center"/>
          </w:tcPr>
          <w:p>
            <w:pPr>
              <w:widowControl w:val="0"/>
              <w:spacing w:line="360" w:lineRule="auto"/>
              <w:jc w:val="center"/>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w:t>
            </w:r>
          </w:p>
        </w:tc>
      </w:tr>
      <w:tr>
        <w:tblPrEx>
          <w:tblW w:w="8964" w:type="dxa"/>
          <w:jc w:val="center"/>
          <w:tblLayout w:type="fixed"/>
          <w:tblCellMar>
            <w:top w:w="0" w:type="dxa"/>
            <w:left w:w="108" w:type="dxa"/>
            <w:bottom w:w="0" w:type="dxa"/>
            <w:right w:w="108" w:type="dxa"/>
          </w:tblCellMar>
        </w:tblPrEx>
        <w:trPr>
          <w:jc w:val="center"/>
        </w:trPr>
        <w:tc>
          <w:tcPr>
            <w:tcW w:w="2140" w:type="dxa"/>
            <w:noWrap/>
            <w:vAlign w:val="center"/>
          </w:tcPr>
          <w:p>
            <w:pPr>
              <w:pStyle w:val="null3"/>
              <w:widowControl w:val="0"/>
              <w:spacing w:line="360" w:lineRule="auto"/>
              <w:jc w:val="center"/>
              <w:rPr>
                <w:rFonts w:asciiTheme="minorEastAsia" w:eastAsiaTheme="minorEastAsia" w:hAnsiTheme="minorEastAsia" w:cstheme="minorEastAsia" w:hint="default"/>
                <w:color w:val="auto"/>
                <w:kern w:val="2"/>
                <w:sz w:val="21"/>
                <w:szCs w:val="21"/>
                <w:highlight w:val="none"/>
              </w:rPr>
            </w:pPr>
            <w:r>
              <w:rPr>
                <w:rFonts w:ascii="宋体" w:hAnsi="宋体"/>
                <w:color w:val="auto"/>
                <w:kern w:val="2"/>
                <w:sz w:val="21"/>
                <w:szCs w:val="21"/>
                <w:highlight w:val="none"/>
              </w:rPr>
              <w:t>促进残疾人就业政策</w:t>
            </w:r>
          </w:p>
        </w:tc>
        <w:tc>
          <w:tcPr>
            <w:tcW w:w="3913" w:type="dxa"/>
            <w:noWrap/>
            <w:vAlign w:val="center"/>
          </w:tcPr>
          <w:p>
            <w:pPr>
              <w:pStyle w:val="null3"/>
              <w:widowControl w:val="0"/>
              <w:spacing w:line="440" w:lineRule="exact"/>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本项目为专门面向中小企业采购项目，按照《政府采购促进中小企业发展管理办法》（财库〔2020〕46号）规定，残疾人福利性单位不再执行价格评审优惠的扶持政策。</w:t>
            </w:r>
          </w:p>
        </w:tc>
        <w:tc>
          <w:tcPr>
            <w:tcW w:w="2911" w:type="dxa"/>
            <w:noWrap/>
            <w:vAlign w:val="center"/>
          </w:tcPr>
          <w:p>
            <w:pPr>
              <w:widowControl w:val="0"/>
              <w:spacing w:line="360" w:lineRule="auto"/>
              <w:jc w:val="center"/>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w:t>
            </w:r>
          </w:p>
        </w:tc>
      </w:tr>
      <w:tr>
        <w:tblPrEx>
          <w:tblW w:w="8964" w:type="dxa"/>
          <w:jc w:val="center"/>
          <w:tblLayout w:type="fixed"/>
          <w:tblCellMar>
            <w:top w:w="0" w:type="dxa"/>
            <w:left w:w="108" w:type="dxa"/>
            <w:bottom w:w="0" w:type="dxa"/>
            <w:right w:w="108" w:type="dxa"/>
          </w:tblCellMar>
        </w:tblPrEx>
        <w:trPr>
          <w:jc w:val="center"/>
        </w:trPr>
        <w:tc>
          <w:tcPr>
            <w:tcW w:w="2140" w:type="dxa"/>
            <w:noWrap/>
            <w:vAlign w:val="center"/>
          </w:tcPr>
          <w:p>
            <w:pPr>
              <w:pStyle w:val="null3"/>
              <w:widowControl w:val="0"/>
              <w:spacing w:line="360" w:lineRule="auto"/>
              <w:jc w:val="center"/>
              <w:rPr>
                <w:rFonts w:ascii="宋体" w:hAnsi="宋体" w:hint="default"/>
                <w:color w:val="auto"/>
                <w:kern w:val="2"/>
                <w:sz w:val="21"/>
                <w:szCs w:val="21"/>
                <w:highlight w:val="none"/>
              </w:rPr>
            </w:pPr>
            <w:r>
              <w:rPr>
                <w:rFonts w:ascii="宋体" w:hAnsi="宋体"/>
                <w:color w:val="auto"/>
                <w:kern w:val="2"/>
                <w:sz w:val="21"/>
                <w:szCs w:val="21"/>
                <w:highlight w:val="none"/>
              </w:rPr>
              <w:t>支持监狱企业</w:t>
            </w:r>
          </w:p>
          <w:p>
            <w:pPr>
              <w:pStyle w:val="null3"/>
              <w:widowControl w:val="0"/>
              <w:spacing w:line="360" w:lineRule="auto"/>
              <w:jc w:val="center"/>
              <w:rPr>
                <w:rFonts w:asciiTheme="minorEastAsia" w:eastAsiaTheme="minorEastAsia" w:hAnsiTheme="minorEastAsia" w:cstheme="minorEastAsia" w:hint="default"/>
                <w:color w:val="auto"/>
                <w:kern w:val="2"/>
                <w:sz w:val="21"/>
                <w:szCs w:val="21"/>
                <w:highlight w:val="none"/>
              </w:rPr>
            </w:pPr>
            <w:r>
              <w:rPr>
                <w:rFonts w:ascii="宋体" w:hAnsi="宋体"/>
                <w:color w:val="auto"/>
                <w:kern w:val="2"/>
                <w:sz w:val="21"/>
                <w:szCs w:val="21"/>
                <w:highlight w:val="none"/>
              </w:rPr>
              <w:t>发展政策</w:t>
            </w:r>
          </w:p>
        </w:tc>
        <w:tc>
          <w:tcPr>
            <w:tcW w:w="3913" w:type="dxa"/>
            <w:noWrap/>
            <w:vAlign w:val="center"/>
          </w:tcPr>
          <w:p>
            <w:pPr>
              <w:pStyle w:val="null3"/>
              <w:widowControl w:val="0"/>
              <w:spacing w:line="440" w:lineRule="exact"/>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本项目为专门面向中小企业采购项目，按照《政府采购促进中小企业发展管理办法》（财库〔2020〕46号）规定，监狱企业不再执行价格评审优惠的扶持政策。</w:t>
            </w:r>
          </w:p>
        </w:tc>
        <w:tc>
          <w:tcPr>
            <w:tcW w:w="2911" w:type="dxa"/>
            <w:noWrap/>
            <w:vAlign w:val="center"/>
          </w:tcPr>
          <w:p>
            <w:pPr>
              <w:widowControl w:val="0"/>
              <w:spacing w:line="360" w:lineRule="auto"/>
              <w:jc w:val="center"/>
              <w:rPr>
                <w:rFonts w:asciiTheme="minorEastAsia" w:eastAsiaTheme="minorEastAsia" w:hAnsiTheme="minorEastAsia" w:cstheme="minorEastAsia" w:hint="default"/>
                <w:color w:val="auto"/>
                <w:kern w:val="2"/>
                <w:sz w:val="21"/>
                <w:szCs w:val="21"/>
                <w:highlight w:val="none"/>
              </w:rPr>
            </w:pPr>
            <w:r>
              <w:rPr>
                <w:rFonts w:asciiTheme="minorEastAsia" w:eastAsiaTheme="minorEastAsia" w:hAnsiTheme="minorEastAsia" w:cstheme="minorEastAsia"/>
                <w:color w:val="auto"/>
                <w:kern w:val="2"/>
                <w:sz w:val="21"/>
                <w:szCs w:val="21"/>
                <w:highlight w:val="none"/>
              </w:rPr>
              <w:t>/</w:t>
            </w:r>
          </w:p>
        </w:tc>
      </w:tr>
    </w:tbl>
    <w:p>
      <w:pPr>
        <w:pStyle w:val="null3"/>
        <w:widowControl w:val="0"/>
        <w:spacing w:line="440" w:lineRule="exact"/>
        <w:ind w:firstLine="420" w:firstLineChars="200"/>
        <w:jc w:val="both"/>
        <w:rPr>
          <w:rFonts w:asciiTheme="minorEastAsia" w:eastAsiaTheme="minorEastAsia" w:hAnsiTheme="minorEastAsia" w:cstheme="minorEastAsia" w:hint="default"/>
          <w:color w:val="auto"/>
          <w:sz w:val="21"/>
          <w:szCs w:val="21"/>
          <w:highlight w:val="none"/>
        </w:rPr>
      </w:pPr>
      <w:r>
        <w:rPr>
          <w:rFonts w:asciiTheme="minorEastAsia" w:eastAsiaTheme="minorEastAsia" w:hAnsiTheme="minorEastAsia" w:cstheme="minorEastAsia"/>
          <w:color w:val="auto"/>
          <w:sz w:val="21"/>
          <w:szCs w:val="21"/>
          <w:highlight w:val="none"/>
        </w:rPr>
        <w:t>2.4推荐中标候选人</w:t>
      </w:r>
    </w:p>
    <w:p>
      <w:pPr>
        <w:ind w:firstLine="420" w:firstLineChars="200"/>
        <w:jc w:val="left"/>
        <w:rPr>
          <w:color w:val="auto"/>
          <w:highlight w:val="none"/>
        </w:rPr>
      </w:pPr>
      <w:r>
        <w:rPr>
          <w:rFonts w:hint="eastAsia"/>
          <w:color w:val="auto"/>
          <w:highlight w:val="none"/>
        </w:rPr>
        <w:t>2.4.1按评审后得分由高到低顺序排列。得分相同的，按投标报价由低到高顺序排列。得分且投标报价相同的并列。</w:t>
      </w:r>
    </w:p>
    <w:p>
      <w:pPr>
        <w:ind w:firstLine="420" w:firstLineChars="200"/>
        <w:jc w:val="left"/>
        <w:rPr>
          <w:color w:val="auto"/>
          <w:highlight w:val="none"/>
        </w:rPr>
      </w:pPr>
      <w:r>
        <w:rPr>
          <w:rFonts w:hint="eastAsia"/>
          <w:color w:val="auto"/>
          <w:highlight w:val="none"/>
        </w:rPr>
        <w:t>2.4.2本采购包推荐中标候选人的数量：</w:t>
      </w:r>
      <w:r>
        <w:rPr>
          <w:rFonts w:hint="eastAsia"/>
          <w:color w:val="auto"/>
          <w:highlight w:val="none"/>
          <w:u w:val="single"/>
        </w:rPr>
        <w:t>3</w:t>
      </w:r>
      <w:r>
        <w:rPr>
          <w:rFonts w:hint="eastAsia"/>
          <w:color w:val="auto"/>
          <w:highlight w:val="none"/>
        </w:rPr>
        <w:t>家。</w:t>
      </w:r>
    </w:p>
    <w:p>
      <w:pPr>
        <w:ind w:firstLine="420" w:firstLineChars="200"/>
        <w:jc w:val="left"/>
        <w:rPr>
          <w:color w:val="auto"/>
          <w:highlight w:val="none"/>
        </w:rPr>
      </w:pPr>
      <w:r>
        <w:rPr>
          <w:rFonts w:hint="eastAsia"/>
          <w:color w:val="auto"/>
          <w:highlight w:val="none"/>
        </w:rPr>
        <w:t>2.4.3中标人数量：</w:t>
      </w:r>
      <w:r>
        <w:rPr>
          <w:rFonts w:hint="eastAsia"/>
          <w:color w:val="auto"/>
          <w:highlight w:val="none"/>
          <w:u w:val="single"/>
        </w:rPr>
        <w:t>1</w:t>
      </w:r>
      <w:r>
        <w:rPr>
          <w:rFonts w:hint="eastAsia"/>
          <w:color w:val="auto"/>
          <w:highlight w:val="none"/>
        </w:rPr>
        <w:t>家。</w:t>
      </w:r>
    </w:p>
    <w:p>
      <w:pPr>
        <w:ind w:firstLine="420" w:firstLineChars="200"/>
        <w:jc w:val="left"/>
        <w:rPr>
          <w:color w:val="auto"/>
          <w:highlight w:val="none"/>
        </w:rPr>
      </w:pPr>
      <w:r>
        <w:rPr>
          <w:rFonts w:hint="eastAsia"/>
          <w:color w:val="auto"/>
          <w:highlight w:val="none"/>
        </w:rPr>
        <w:t>中标候选人并列的，按照</w:t>
      </w:r>
      <w:r>
        <w:rPr>
          <w:rFonts w:hint="eastAsia"/>
          <w:color w:val="auto"/>
          <w:highlight w:val="none"/>
          <w:u w:val="single"/>
        </w:rPr>
        <w:t>技术指标优劣顺序排列</w:t>
      </w:r>
      <w:r>
        <w:rPr>
          <w:rFonts w:hint="eastAsia"/>
          <w:color w:val="auto"/>
          <w:highlight w:val="none"/>
        </w:rPr>
        <w:t>的方式确定中标人。</w:t>
      </w:r>
    </w:p>
    <w:p>
      <w:pPr>
        <w:jc w:val="left"/>
        <w:rPr>
          <w:color w:val="auto"/>
          <w:highlight w:val="none"/>
        </w:rPr>
        <w:sectPr>
          <w:pgSz w:w="11906" w:h="16838"/>
          <w:pgMar w:top="1417" w:right="1417" w:bottom="1417" w:left="1417" w:header="851" w:footer="992" w:gutter="0"/>
          <w:cols w:num="1" w:space="720"/>
          <w:titlePg/>
          <w:docGrid w:type="lines" w:linePitch="312" w:charSpace="0"/>
        </w:sectPr>
      </w:pPr>
    </w:p>
    <w:p>
      <w:pPr>
        <w:pStyle w:val="Heading1"/>
        <w:rPr>
          <w:color w:val="auto"/>
          <w:highlight w:val="none"/>
        </w:rPr>
      </w:pPr>
      <w:r>
        <w:rPr>
          <w:rFonts w:hint="eastAsia"/>
          <w:color w:val="auto"/>
          <w:highlight w:val="none"/>
        </w:rPr>
        <w:t>第四章  政府采购合同文本</w:t>
      </w:r>
    </w:p>
    <w:p>
      <w:pPr>
        <w:pStyle w:val="PlainText"/>
        <w:jc w:val="center"/>
        <w:rPr>
          <w:rFonts w:hAnsi="宋体" w:cs="Times New Roman" w:hint="eastAsia"/>
          <w:color w:val="auto"/>
          <w:sz w:val="30"/>
          <w:szCs w:val="30"/>
          <w:highlight w:val="none"/>
        </w:rPr>
      </w:pPr>
      <w:r>
        <w:rPr>
          <w:rFonts w:ascii="宋体" w:hAnsi="宋体" w:cs="Times New Roman" w:hint="eastAsia"/>
          <w:color w:val="auto"/>
          <w:sz w:val="30"/>
          <w:szCs w:val="30"/>
          <w:highlight w:val="none"/>
          <w:lang w:eastAsia="zh-CN"/>
        </w:rPr>
        <w:t>（</w:t>
      </w:r>
      <w:r>
        <w:rPr>
          <w:rFonts w:ascii="宋体" w:hAnsi="宋体" w:cs="Times New Roman" w:hint="eastAsia"/>
          <w:color w:val="auto"/>
          <w:sz w:val="30"/>
          <w:szCs w:val="30"/>
          <w:highlight w:val="none"/>
        </w:rPr>
        <w:t>合同封面</w:t>
      </w:r>
      <w:r>
        <w:rPr>
          <w:rFonts w:ascii="宋体" w:hAnsi="宋体" w:cs="Times New Roman" w:hint="eastAsia"/>
          <w:color w:val="auto"/>
          <w:sz w:val="30"/>
          <w:szCs w:val="30"/>
          <w:highlight w:val="none"/>
          <w:lang w:eastAsia="zh-CN"/>
        </w:rPr>
        <w:t>）</w:t>
      </w:r>
      <w:r>
        <w:rPr>
          <w:rFonts w:ascii="宋体" w:hAnsi="宋体" w:cs="Times New Roman" w:hint="eastAsia"/>
          <w:color w:val="auto"/>
          <w:sz w:val="30"/>
          <w:szCs w:val="30"/>
          <w:highlight w:val="none"/>
        </w:rPr>
        <w:t xml:space="preserve"> </w:t>
      </w:r>
      <w:r>
        <w:rPr>
          <w:rFonts w:hAnsi="宋体" w:cs="Times New Roman"/>
          <w:color w:val="auto"/>
          <w:sz w:val="30"/>
          <w:szCs w:val="30"/>
          <w:highlight w:val="none"/>
        </w:rPr>
        <w:t xml:space="preserve">                 </w:t>
      </w:r>
      <w:r>
        <w:rPr>
          <w:rFonts w:hAnsi="宋体" w:cs="Times New Roman" w:hint="eastAsia"/>
          <w:color w:val="auto"/>
          <w:sz w:val="30"/>
          <w:szCs w:val="30"/>
          <w:highlight w:val="none"/>
        </w:rPr>
        <w:t>中小企业预留合同：□是 □ 否</w:t>
      </w:r>
    </w:p>
    <w:p>
      <w:pPr>
        <w:pStyle w:val="PlainText"/>
        <w:jc w:val="center"/>
        <w:rPr>
          <w:rFonts w:ascii="宋体" w:hAnsi="宋体" w:cs="Times New Roman" w:hint="eastAsia"/>
          <w:color w:val="auto"/>
          <w:sz w:val="30"/>
          <w:szCs w:val="30"/>
          <w:highlight w:val="none"/>
        </w:rPr>
      </w:pPr>
      <w:r>
        <w:rPr>
          <w:rFonts w:hAnsi="宋体" w:cs="Times New Roman" w:hint="eastAsia"/>
          <w:color w:val="auto"/>
          <w:sz w:val="30"/>
          <w:szCs w:val="30"/>
          <w:highlight w:val="none"/>
        </w:rPr>
        <w:t xml:space="preserve">                         </w:t>
      </w:r>
      <w:r>
        <w:rPr>
          <w:rFonts w:hAnsi="宋体" w:cs="Times New Roman" w:hint="eastAsia"/>
          <w:color w:val="auto"/>
          <w:sz w:val="30"/>
          <w:szCs w:val="30"/>
          <w:highlight w:val="none"/>
          <w:lang w:val="en-US" w:eastAsia="zh-CN"/>
        </w:rPr>
        <w:t xml:space="preserve">   </w:t>
      </w:r>
      <w:r>
        <w:rPr>
          <w:rFonts w:hAnsi="宋体" w:cs="Times New Roman" w:hint="eastAsia"/>
          <w:color w:val="auto"/>
          <w:sz w:val="30"/>
          <w:szCs w:val="30"/>
          <w:highlight w:val="none"/>
        </w:rPr>
        <w:t>合  同  类  别：</w:t>
      </w:r>
      <w:r>
        <w:rPr>
          <w:rFonts w:ascii="宋体" w:hAnsi="宋体" w:cs="Times New Roman" w:hint="eastAsia"/>
          <w:color w:val="auto"/>
          <w:sz w:val="30"/>
          <w:szCs w:val="30"/>
          <w:highlight w:val="none"/>
        </w:rPr>
        <w:t>技术服务类</w:t>
      </w:r>
    </w:p>
    <w:p>
      <w:pPr>
        <w:rPr>
          <w:rFonts w:hint="eastAsia"/>
          <w:color w:val="auto"/>
          <w:highlight w:val="none"/>
        </w:rPr>
      </w:pPr>
    </w:p>
    <w:p>
      <w:pPr>
        <w:pStyle w:val="PlainText"/>
        <w:jc w:val="center"/>
        <w:rPr>
          <w:rFonts w:ascii="黑体" w:eastAsia="黑体" w:hAnsi="宋体" w:cs="Times New Roman"/>
          <w:b/>
          <w:color w:val="auto"/>
          <w:sz w:val="44"/>
          <w:szCs w:val="44"/>
          <w:highlight w:val="none"/>
        </w:rPr>
      </w:pPr>
    </w:p>
    <w:p>
      <w:pPr>
        <w:pStyle w:val="PlainText"/>
        <w:jc w:val="center"/>
        <w:rPr>
          <w:rFonts w:ascii="黑体" w:eastAsia="黑体" w:hAnsi="宋体" w:cs="Times New Roman"/>
          <w:b/>
          <w:color w:val="auto"/>
          <w:sz w:val="44"/>
          <w:szCs w:val="44"/>
          <w:highlight w:val="none"/>
        </w:rPr>
      </w:pPr>
      <w:r>
        <w:rPr>
          <w:rFonts w:ascii="黑体" w:eastAsia="黑体" w:hAnsi="宋体" w:cs="Times New Roman" w:hint="eastAsia"/>
          <w:b/>
          <w:color w:val="auto"/>
          <w:sz w:val="44"/>
          <w:szCs w:val="44"/>
          <w:highlight w:val="none"/>
        </w:rPr>
        <w:t>政</w:t>
      </w:r>
      <w:r>
        <w:rPr>
          <w:rFonts w:ascii="黑体" w:eastAsia="黑体" w:hAnsi="宋体" w:cs="Times New Roman"/>
          <w:b/>
          <w:color w:val="auto"/>
          <w:sz w:val="44"/>
          <w:szCs w:val="44"/>
          <w:highlight w:val="none"/>
        </w:rPr>
        <w:t xml:space="preserve"> </w:t>
      </w:r>
      <w:r>
        <w:rPr>
          <w:rFonts w:ascii="黑体" w:eastAsia="黑体" w:hAnsi="宋体" w:cs="Times New Roman" w:hint="eastAsia"/>
          <w:b/>
          <w:color w:val="auto"/>
          <w:sz w:val="44"/>
          <w:szCs w:val="44"/>
          <w:highlight w:val="none"/>
        </w:rPr>
        <w:t>府</w:t>
      </w:r>
      <w:r>
        <w:rPr>
          <w:rFonts w:ascii="黑体" w:eastAsia="黑体" w:hAnsi="宋体" w:cs="Times New Roman"/>
          <w:b/>
          <w:color w:val="auto"/>
          <w:sz w:val="44"/>
          <w:szCs w:val="44"/>
          <w:highlight w:val="none"/>
        </w:rPr>
        <w:t xml:space="preserve"> </w:t>
      </w:r>
      <w:r>
        <w:rPr>
          <w:rFonts w:ascii="黑体" w:eastAsia="黑体" w:hAnsi="宋体" w:cs="Times New Roman" w:hint="eastAsia"/>
          <w:b/>
          <w:color w:val="auto"/>
          <w:sz w:val="44"/>
          <w:szCs w:val="44"/>
          <w:highlight w:val="none"/>
        </w:rPr>
        <w:t>采</w:t>
      </w:r>
      <w:r>
        <w:rPr>
          <w:rFonts w:ascii="黑体" w:eastAsia="黑体" w:hAnsi="宋体" w:cs="Times New Roman"/>
          <w:b/>
          <w:color w:val="auto"/>
          <w:sz w:val="44"/>
          <w:szCs w:val="44"/>
          <w:highlight w:val="none"/>
        </w:rPr>
        <w:t xml:space="preserve"> </w:t>
      </w:r>
      <w:r>
        <w:rPr>
          <w:rFonts w:ascii="黑体" w:eastAsia="黑体" w:hAnsi="宋体" w:cs="Times New Roman" w:hint="eastAsia"/>
          <w:b/>
          <w:color w:val="auto"/>
          <w:sz w:val="44"/>
          <w:szCs w:val="44"/>
          <w:highlight w:val="none"/>
        </w:rPr>
        <w:t>购</w:t>
      </w:r>
      <w:r>
        <w:rPr>
          <w:rFonts w:ascii="黑体" w:eastAsia="黑体" w:hAnsi="宋体" w:cs="Times New Roman"/>
          <w:b/>
          <w:color w:val="auto"/>
          <w:sz w:val="44"/>
          <w:szCs w:val="44"/>
          <w:highlight w:val="none"/>
        </w:rPr>
        <w:t xml:space="preserve"> </w:t>
      </w:r>
      <w:r>
        <w:rPr>
          <w:rFonts w:ascii="黑体" w:eastAsia="黑体" w:hAnsi="宋体" w:cs="Times New Roman" w:hint="eastAsia"/>
          <w:b/>
          <w:color w:val="auto"/>
          <w:sz w:val="44"/>
          <w:szCs w:val="44"/>
          <w:highlight w:val="none"/>
        </w:rPr>
        <w:t>合</w:t>
      </w:r>
      <w:r>
        <w:rPr>
          <w:rFonts w:ascii="黑体" w:eastAsia="黑体" w:hAnsi="宋体" w:cs="Times New Roman"/>
          <w:b/>
          <w:color w:val="auto"/>
          <w:sz w:val="44"/>
          <w:szCs w:val="44"/>
          <w:highlight w:val="none"/>
        </w:rPr>
        <w:t xml:space="preserve"> </w:t>
      </w:r>
      <w:r>
        <w:rPr>
          <w:rFonts w:ascii="黑体" w:eastAsia="黑体" w:hAnsi="宋体" w:cs="Times New Roman" w:hint="eastAsia"/>
          <w:b/>
          <w:color w:val="auto"/>
          <w:sz w:val="44"/>
          <w:szCs w:val="44"/>
          <w:highlight w:val="none"/>
        </w:rPr>
        <w:t>同</w:t>
      </w:r>
    </w:p>
    <w:p>
      <w:pPr>
        <w:pStyle w:val="PlainText"/>
        <w:ind w:firstLine="560" w:firstLineChars="200"/>
        <w:jc w:val="center"/>
        <w:rPr>
          <w:rFonts w:hAnsi="宋体" w:cs="Times New Roman"/>
          <w:color w:val="auto"/>
          <w:sz w:val="28"/>
          <w:szCs w:val="28"/>
          <w:highlight w:val="none"/>
        </w:rPr>
      </w:pPr>
    </w:p>
    <w:p>
      <w:pPr>
        <w:pStyle w:val="PlainText"/>
        <w:ind w:firstLine="560" w:firstLineChars="200"/>
        <w:jc w:val="center"/>
        <w:rPr>
          <w:rFonts w:hAnsi="宋体" w:cs="Times New Roman"/>
          <w:color w:val="auto"/>
          <w:sz w:val="28"/>
          <w:szCs w:val="28"/>
          <w:highlight w:val="none"/>
        </w:rPr>
      </w:pPr>
      <w:r>
        <w:rPr>
          <w:rFonts w:hAnsi="宋体" w:cs="Times New Roman" w:hint="eastAsia"/>
          <w:color w:val="auto"/>
          <w:sz w:val="28"/>
          <w:szCs w:val="28"/>
          <w:highlight w:val="none"/>
        </w:rPr>
        <w:t>（年</w:t>
      </w:r>
      <w:r>
        <w:rPr>
          <w:rFonts w:hAnsi="宋体" w:cs="Times New Roman"/>
          <w:color w:val="auto"/>
          <w:sz w:val="28"/>
          <w:szCs w:val="28"/>
          <w:highlight w:val="none"/>
        </w:rPr>
        <w:t xml:space="preserve"> </w:t>
      </w:r>
      <w:r>
        <w:rPr>
          <w:rFonts w:hAnsi="宋体" w:cs="Times New Roman" w:hint="eastAsia"/>
          <w:color w:val="auto"/>
          <w:sz w:val="28"/>
          <w:szCs w:val="28"/>
          <w:highlight w:val="none"/>
        </w:rPr>
        <w:t>度</w:t>
      </w:r>
      <w:r>
        <w:rPr>
          <w:rFonts w:hAnsi="宋体" w:cs="Times New Roman"/>
          <w:color w:val="auto"/>
          <w:sz w:val="28"/>
          <w:szCs w:val="28"/>
          <w:highlight w:val="none"/>
          <w:u w:val="single"/>
        </w:rPr>
        <w:t xml:space="preserve">         </w:t>
      </w:r>
      <w:r>
        <w:rPr>
          <w:rFonts w:hAnsi="宋体" w:cs="Times New Roman" w:hint="eastAsia"/>
          <w:color w:val="auto"/>
          <w:sz w:val="28"/>
          <w:szCs w:val="28"/>
          <w:highlight w:val="none"/>
        </w:rPr>
        <w:t>）</w:t>
      </w:r>
    </w:p>
    <w:p>
      <w:pPr>
        <w:jc w:val="center"/>
        <w:rPr>
          <w:rFonts w:ascii="华文中宋" w:eastAsia="华文中宋" w:hAnsi="华文中宋" w:cs="华文中宋"/>
          <w:bCs/>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tabs>
          <w:tab w:val="left" w:pos="540"/>
          <w:tab w:val="left" w:pos="1080"/>
          <w:tab w:val="left" w:pos="1440"/>
        </w:tabs>
        <w:snapToGrid w:val="0"/>
        <w:rPr>
          <w:rFonts w:ascii="宋体" w:hAnsi="宋体" w:cs="宋体"/>
          <w:color w:val="auto"/>
          <w:sz w:val="32"/>
          <w:szCs w:val="32"/>
          <w:highlight w:val="none"/>
        </w:rPr>
      </w:pPr>
    </w:p>
    <w:p>
      <w:pPr>
        <w:spacing w:line="360" w:lineRule="auto"/>
        <w:ind w:firstLine="1600" w:firstLineChars="500"/>
        <w:jc w:val="both"/>
        <w:outlineLvl w:val="0"/>
        <w:rPr>
          <w:rFonts w:cstheme="minorEastAsia" w:hint="eastAsia"/>
          <w:b/>
          <w:bCs/>
          <w:color w:val="auto"/>
          <w:sz w:val="32"/>
          <w:szCs w:val="32"/>
          <w:highlight w:val="none"/>
          <w:lang w:eastAsia="zh-CN"/>
        </w:rPr>
      </w:pPr>
      <w:r>
        <w:rPr>
          <w:rFonts w:ascii="宋体" w:hAnsi="宋体" w:cs="宋体" w:hint="eastAsia"/>
          <w:b/>
          <w:color w:val="auto"/>
          <w:sz w:val="32"/>
          <w:szCs w:val="32"/>
          <w:highlight w:val="none"/>
        </w:rPr>
        <w:t>项目名称：</w:t>
      </w:r>
      <w:r>
        <w:rPr>
          <w:rFonts w:cstheme="minorEastAsia" w:hint="eastAsia"/>
          <w:b/>
          <w:bCs/>
          <w:color w:val="auto"/>
          <w:sz w:val="32"/>
          <w:szCs w:val="32"/>
          <w:highlight w:val="none"/>
          <w:lang w:eastAsia="zh-CN"/>
        </w:rPr>
        <w:t>国家税务总局广西壮族自治区税务局</w:t>
      </w:r>
    </w:p>
    <w:p>
      <w:pPr>
        <w:topLinePunct w:val="0"/>
        <w:snapToGrid/>
        <w:spacing w:line="360" w:lineRule="auto"/>
        <w:ind w:left="1919" w:firstLine="1280" w:leftChars="914" w:firstLineChars="400"/>
        <w:jc w:val="left"/>
        <w:outlineLvl w:val="0"/>
        <w:rPr>
          <w:rFonts w:cstheme="minorEastAsia" w:hint="eastAsia"/>
          <w:b/>
          <w:bCs/>
          <w:color w:val="auto"/>
          <w:sz w:val="32"/>
          <w:szCs w:val="32"/>
          <w:highlight w:val="none"/>
          <w:lang w:val="en-US" w:eastAsia="zh-CN"/>
        </w:rPr>
      </w:pPr>
      <w:r>
        <w:rPr>
          <w:rFonts w:cstheme="minorEastAsia" w:hint="eastAsia"/>
          <w:b/>
          <w:bCs/>
          <w:color w:val="auto"/>
          <w:sz w:val="32"/>
          <w:szCs w:val="32"/>
          <w:highlight w:val="none"/>
          <w:lang w:val="en-US" w:eastAsia="zh-CN"/>
        </w:rPr>
        <w:t>金税工程运维服务管理平台2024年运维</w:t>
      </w:r>
    </w:p>
    <w:p>
      <w:pPr>
        <w:topLinePunct w:val="0"/>
        <w:snapToGrid/>
        <w:spacing w:line="360" w:lineRule="auto"/>
        <w:ind w:left="1919" w:firstLine="1280" w:leftChars="914" w:firstLineChars="400"/>
        <w:jc w:val="left"/>
        <w:outlineLvl w:val="0"/>
        <w:rPr>
          <w:rFonts w:ascii="宋体" w:hAnsi="宋体" w:cs="宋体"/>
          <w:b/>
          <w:color w:val="auto"/>
          <w:sz w:val="32"/>
          <w:szCs w:val="32"/>
          <w:highlight w:val="none"/>
        </w:rPr>
      </w:pPr>
      <w:r>
        <w:rPr>
          <w:rFonts w:cstheme="minorEastAsia" w:hint="eastAsia"/>
          <w:b/>
          <w:bCs/>
          <w:color w:val="auto"/>
          <w:sz w:val="32"/>
          <w:szCs w:val="32"/>
          <w:highlight w:val="none"/>
          <w:lang w:val="en-US" w:eastAsia="zh-CN"/>
        </w:rPr>
        <w:t>服务项目</w:t>
      </w:r>
    </w:p>
    <w:p>
      <w:pPr>
        <w:tabs>
          <w:tab w:val="left" w:pos="540"/>
          <w:tab w:val="left" w:pos="1080"/>
          <w:tab w:val="left" w:pos="1440"/>
        </w:tabs>
        <w:snapToGrid w:val="0"/>
        <w:spacing w:line="500" w:lineRule="exact"/>
        <w:ind w:firstLine="1600" w:firstLineChars="500"/>
        <w:jc w:val="both"/>
        <w:rPr>
          <w:rFonts w:ascii="宋体" w:eastAsia="宋体" w:hAnsi="宋体" w:cs="宋体"/>
          <w:b/>
          <w:color w:val="auto"/>
          <w:sz w:val="32"/>
          <w:szCs w:val="32"/>
          <w:highlight w:val="none"/>
        </w:rPr>
      </w:pPr>
      <w:r>
        <w:rPr>
          <w:rFonts w:ascii="宋体" w:hAnsi="宋体" w:cs="宋体" w:hint="eastAsia"/>
          <w:b/>
          <w:color w:val="auto"/>
          <w:sz w:val="32"/>
          <w:szCs w:val="32"/>
          <w:highlight w:val="none"/>
        </w:rPr>
        <w:t>包     号：</w:t>
      </w:r>
    </w:p>
    <w:p>
      <w:pPr>
        <w:tabs>
          <w:tab w:val="left" w:pos="540"/>
          <w:tab w:val="left" w:pos="1080"/>
          <w:tab w:val="left" w:pos="1440"/>
        </w:tabs>
        <w:snapToGrid w:val="0"/>
        <w:spacing w:line="500" w:lineRule="exact"/>
        <w:ind w:firstLine="1600" w:firstLineChars="500"/>
        <w:jc w:val="both"/>
        <w:rPr>
          <w:rFonts w:ascii="宋体" w:hAnsi="宋体" w:cs="宋体"/>
          <w:b/>
          <w:color w:val="auto"/>
          <w:sz w:val="32"/>
          <w:szCs w:val="32"/>
          <w:highlight w:val="none"/>
        </w:rPr>
      </w:pPr>
      <w:r>
        <w:rPr>
          <w:rFonts w:ascii="宋体" w:hAnsi="宋体" w:cs="宋体" w:hint="eastAsia"/>
          <w:b/>
          <w:color w:val="auto"/>
          <w:sz w:val="32"/>
          <w:szCs w:val="32"/>
          <w:highlight w:val="none"/>
        </w:rPr>
        <w:t>合同编号：</w:t>
      </w:r>
    </w:p>
    <w:p>
      <w:pPr>
        <w:tabs>
          <w:tab w:val="left" w:pos="2160"/>
        </w:tabs>
        <w:topLinePunct/>
        <w:snapToGrid w:val="0"/>
        <w:spacing w:line="360" w:lineRule="auto"/>
        <w:ind w:left="2558" w:hanging="1600" w:leftChars="456" w:hangingChars="500"/>
        <w:rPr>
          <w:rFonts w:ascii="宋体" w:hAnsi="宋体" w:cs="宋体"/>
          <w:b/>
          <w:color w:val="auto"/>
          <w:sz w:val="32"/>
          <w:szCs w:val="32"/>
          <w:highlight w:val="none"/>
        </w:rPr>
      </w:pPr>
    </w:p>
    <w:p>
      <w:pPr>
        <w:widowControl w:val="0"/>
        <w:spacing w:line="460" w:lineRule="exact"/>
        <w:rPr>
          <w:rFonts w:ascii="宋体" w:eastAsia="宋体" w:hAnsi="宋体" w:cs="宋体"/>
          <w:b/>
          <w:color w:val="auto"/>
          <w:sz w:val="52"/>
          <w:highlight w:val="none"/>
        </w:rPr>
      </w:pPr>
    </w:p>
    <w:p>
      <w:pPr>
        <w:widowControl w:val="0"/>
        <w:tabs>
          <w:tab w:val="left" w:pos="3045"/>
        </w:tabs>
        <w:spacing w:line="460" w:lineRule="exact"/>
        <w:jc w:val="both"/>
        <w:rPr>
          <w:rFonts w:ascii="宋体" w:eastAsia="宋体" w:hAnsi="宋体" w:cs="宋体"/>
          <w:b/>
          <w:color w:val="auto"/>
          <w:sz w:val="32"/>
          <w:highlight w:val="none"/>
        </w:rPr>
      </w:pPr>
      <w:r>
        <w:rPr>
          <w:rFonts w:ascii="宋体" w:eastAsia="宋体" w:hAnsi="宋体" w:cs="宋体" w:hint="eastAsia"/>
          <w:b/>
          <w:color w:val="auto"/>
          <w:sz w:val="32"/>
          <w:highlight w:val="none"/>
        </w:rPr>
        <w:tab/>
      </w:r>
    </w:p>
    <w:p>
      <w:pPr>
        <w:widowControl w:val="0"/>
        <w:spacing w:line="460" w:lineRule="exact"/>
        <w:jc w:val="both"/>
        <w:rPr>
          <w:rFonts w:ascii="宋体" w:eastAsia="宋体" w:hAnsi="宋体" w:cs="宋体"/>
          <w:b/>
          <w:color w:val="auto"/>
          <w:sz w:val="52"/>
          <w:highlight w:val="none"/>
        </w:rPr>
      </w:pPr>
    </w:p>
    <w:p>
      <w:pPr>
        <w:widowControl w:val="0"/>
        <w:spacing w:line="460" w:lineRule="exact"/>
        <w:rPr>
          <w:rFonts w:ascii="宋体" w:eastAsia="宋体" w:hAnsi="宋体" w:cs="宋体"/>
          <w:b/>
          <w:color w:val="auto"/>
          <w:sz w:val="52"/>
          <w:highlight w:val="none"/>
        </w:rPr>
      </w:pPr>
    </w:p>
    <w:p>
      <w:pPr>
        <w:spacing w:line="300" w:lineRule="auto"/>
        <w:ind w:left="840" w:firstLine="1298" w:leftChars="400" w:firstLineChars="541"/>
        <w:rPr>
          <w:rFonts w:ascii="宋体" w:eastAsia="宋体" w:hAnsi="宋体" w:cs="宋体" w:hint="eastAsia"/>
          <w:b/>
          <w:bCs w:val="0"/>
          <w:color w:val="auto"/>
          <w:sz w:val="24"/>
          <w:szCs w:val="24"/>
          <w:highlight w:val="none"/>
        </w:rPr>
      </w:pPr>
      <w:r>
        <w:rPr>
          <w:rFonts w:ascii="宋体" w:eastAsia="宋体" w:hAnsi="宋体" w:cs="宋体" w:hint="eastAsia"/>
          <w:b/>
          <w:bCs w:val="0"/>
          <w:color w:val="auto"/>
          <w:sz w:val="24"/>
          <w:szCs w:val="24"/>
          <w:highlight w:val="none"/>
        </w:rPr>
        <w:t>甲    方：</w:t>
      </w:r>
      <w:r>
        <w:rPr>
          <w:rFonts w:ascii="宋体" w:eastAsia="宋体" w:hAnsi="宋体" w:cs="宋体" w:hint="eastAsia"/>
          <w:b/>
          <w:bCs w:val="0"/>
          <w:color w:val="auto"/>
          <w:sz w:val="24"/>
          <w:szCs w:val="24"/>
          <w:highlight w:val="none"/>
          <w:u w:val="single"/>
        </w:rPr>
        <w:t>国家税务总局广西壮族自治区税务局</w:t>
      </w:r>
    </w:p>
    <w:p>
      <w:pPr>
        <w:spacing w:line="300" w:lineRule="auto"/>
        <w:ind w:firstLine="3120" w:firstLineChars="1300"/>
        <w:jc w:val="both"/>
        <w:rPr>
          <w:rFonts w:ascii="宋体" w:eastAsia="宋体" w:hAnsi="宋体" w:cs="宋体" w:hint="eastAsia"/>
          <w:b/>
          <w:bCs w:val="0"/>
          <w:color w:val="auto"/>
          <w:sz w:val="24"/>
          <w:szCs w:val="24"/>
          <w:highlight w:val="none"/>
          <w:u w:val="single"/>
        </w:rPr>
      </w:pPr>
      <w:r>
        <w:rPr>
          <w:rFonts w:ascii="宋体" w:eastAsia="宋体" w:hAnsi="宋体" w:cs="宋体" w:hint="eastAsia"/>
          <w:b/>
          <w:bCs w:val="0"/>
          <w:color w:val="auto"/>
          <w:sz w:val="24"/>
          <w:szCs w:val="24"/>
          <w:highlight w:val="none"/>
        </w:rPr>
        <w:t xml:space="preserve">乙    方： </w:t>
      </w:r>
      <w:r>
        <w:rPr>
          <w:rFonts w:ascii="宋体" w:eastAsia="宋体" w:hAnsi="宋体" w:cs="宋体" w:hint="eastAsia"/>
          <w:b/>
          <w:bCs w:val="0"/>
          <w:color w:val="auto"/>
          <w:sz w:val="24"/>
          <w:szCs w:val="24"/>
          <w:highlight w:val="none"/>
          <w:u w:val="single"/>
        </w:rPr>
        <w:t xml:space="preserve">                     </w:t>
      </w:r>
    </w:p>
    <w:p>
      <w:pPr>
        <w:spacing w:line="300" w:lineRule="auto"/>
        <w:ind w:firstLine="3120" w:firstLineChars="1300"/>
        <w:jc w:val="both"/>
        <w:rPr>
          <w:rFonts w:ascii="宋体" w:eastAsia="宋体" w:hAnsi="宋体" w:cs="宋体" w:hint="eastAsia"/>
          <w:b/>
          <w:bCs w:val="0"/>
          <w:color w:val="auto"/>
          <w:sz w:val="24"/>
          <w:szCs w:val="24"/>
          <w:highlight w:val="none"/>
          <w:u w:val="single"/>
        </w:rPr>
      </w:pPr>
      <w:r>
        <w:rPr>
          <w:rFonts w:ascii="宋体" w:eastAsia="宋体" w:hAnsi="宋体" w:cs="宋体" w:hint="eastAsia"/>
          <w:b/>
          <w:bCs w:val="0"/>
          <w:color w:val="auto"/>
          <w:sz w:val="24"/>
          <w:szCs w:val="24"/>
          <w:highlight w:val="none"/>
        </w:rPr>
        <w:t xml:space="preserve">日    期： </w:t>
      </w:r>
      <w:r>
        <w:rPr>
          <w:rFonts w:ascii="宋体" w:eastAsia="宋体" w:hAnsi="宋体" w:cs="宋体" w:hint="eastAsia"/>
          <w:b/>
          <w:bCs w:val="0"/>
          <w:color w:val="auto"/>
          <w:sz w:val="24"/>
          <w:szCs w:val="24"/>
          <w:highlight w:val="none"/>
          <w:u w:val="single"/>
        </w:rPr>
        <w:t xml:space="preserve">        年    月   日</w:t>
      </w:r>
    </w:p>
    <w:p>
      <w:pPr>
        <w:pStyle w:val="PlainText"/>
        <w:rPr>
          <w:color w:val="auto"/>
          <w:highlight w:val="none"/>
        </w:rPr>
      </w:pPr>
    </w:p>
    <w:p>
      <w:pPr>
        <w:spacing w:line="300" w:lineRule="auto"/>
        <w:ind w:firstLine="1680" w:firstLineChars="600"/>
        <w:jc w:val="left"/>
        <w:rPr>
          <w:rFonts w:ascii="宋体" w:hAnsi="宋体" w:cs="宋体"/>
          <w:b/>
          <w:color w:val="auto"/>
          <w:sz w:val="28"/>
          <w:highlight w:val="none"/>
          <w:u w:val="none"/>
        </w:rPr>
      </w:pPr>
      <w:r>
        <w:rPr>
          <w:rFonts w:ascii="宋体" w:hAnsi="宋体" w:cs="宋体" w:hint="eastAsia"/>
          <w:b/>
          <w:color w:val="auto"/>
          <w:sz w:val="28"/>
          <w:highlight w:val="none"/>
          <w:u w:val="none"/>
        </w:rPr>
        <w:t xml:space="preserve">  </w:t>
      </w:r>
    </w:p>
    <w:p>
      <w:pPr>
        <w:rPr>
          <w:b/>
          <w:bCs w:val="0"/>
          <w:color w:val="auto"/>
          <w:sz w:val="32"/>
          <w:szCs w:val="32"/>
          <w:highlight w:val="none"/>
        </w:rPr>
      </w:pPr>
      <w:r>
        <w:rPr>
          <w:color w:val="auto"/>
          <w:sz w:val="28"/>
          <w:szCs w:val="28"/>
          <w:highlight w:val="none"/>
          <w:u w:val="single"/>
        </w:rPr>
        <w:br w:type="page"/>
      </w:r>
      <w:r>
        <w:rPr>
          <w:rFonts w:hint="eastAsia"/>
          <w:b/>
          <w:bCs w:val="0"/>
          <w:color w:val="auto"/>
          <w:sz w:val="32"/>
          <w:szCs w:val="32"/>
          <w:highlight w:val="none"/>
        </w:rPr>
        <w:t>合同条款前附表</w:t>
      </w:r>
    </w:p>
    <w:tbl>
      <w:tblPr>
        <w:tblStyle w:val="TableNormal"/>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5"/>
        <w:gridCol w:w="409"/>
        <w:gridCol w:w="1500"/>
        <w:gridCol w:w="6379"/>
      </w:tblGrid>
      <w:tr>
        <w:tblPrEx>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54"/>
        </w:trPr>
        <w:tc>
          <w:tcPr>
            <w:tcW w:w="655" w:type="dxa"/>
            <w:noWrap/>
            <w:vAlign w:val="center"/>
          </w:tcPr>
          <w:p>
            <w:pPr>
              <w:rPr>
                <w:color w:val="auto"/>
                <w:highlight w:val="none"/>
              </w:rPr>
            </w:pPr>
            <w:r>
              <w:rPr>
                <w:rFonts w:hint="eastAsia"/>
                <w:color w:val="auto"/>
                <w:highlight w:val="none"/>
              </w:rPr>
              <w:t>序号</w:t>
            </w:r>
          </w:p>
        </w:tc>
        <w:tc>
          <w:tcPr>
            <w:tcW w:w="8288" w:type="dxa"/>
            <w:gridSpan w:val="3"/>
            <w:noWrap/>
            <w:vAlign w:val="center"/>
          </w:tcPr>
          <w:p>
            <w:pPr>
              <w:rPr>
                <w:color w:val="auto"/>
                <w:highlight w:val="none"/>
              </w:rPr>
            </w:pPr>
            <w:r>
              <w:rPr>
                <w:rFonts w:hint="eastAsia"/>
                <w:color w:val="auto"/>
                <w:highlight w:val="none"/>
              </w:rPr>
              <w:t>内        容</w:t>
            </w:r>
          </w:p>
        </w:tc>
      </w:tr>
      <w:tr>
        <w:tblPrEx>
          <w:tblW w:w="0" w:type="auto"/>
          <w:tblInd w:w="96" w:type="dxa"/>
          <w:tblLayout w:type="fixed"/>
          <w:tblCellMar>
            <w:top w:w="0" w:type="dxa"/>
            <w:left w:w="108" w:type="dxa"/>
            <w:bottom w:w="0" w:type="dxa"/>
            <w:right w:w="108" w:type="dxa"/>
          </w:tblCellMar>
        </w:tblPrEx>
        <w:trPr>
          <w:trHeight w:hRule="exact" w:val="1055"/>
        </w:trPr>
        <w:tc>
          <w:tcPr>
            <w:tcW w:w="655" w:type="dxa"/>
            <w:noWrap/>
            <w:vAlign w:val="center"/>
          </w:tcPr>
          <w:p>
            <w:pPr>
              <w:rPr>
                <w:color w:val="auto"/>
                <w:highlight w:val="none"/>
              </w:rPr>
            </w:pPr>
            <w:r>
              <w:rPr>
                <w:rFonts w:hint="eastAsia"/>
                <w:color w:val="auto"/>
                <w:highlight w:val="none"/>
              </w:rPr>
              <w:t>1</w:t>
            </w:r>
          </w:p>
        </w:tc>
        <w:tc>
          <w:tcPr>
            <w:tcW w:w="1909" w:type="dxa"/>
            <w:gridSpan w:val="2"/>
            <w:noWrap/>
            <w:vAlign w:val="center"/>
          </w:tcPr>
          <w:p>
            <w:pPr>
              <w:rPr>
                <w:color w:val="auto"/>
                <w:highlight w:val="none"/>
              </w:rPr>
            </w:pPr>
            <w:r>
              <w:rPr>
                <w:rFonts w:hint="eastAsia"/>
                <w:color w:val="auto"/>
                <w:highlight w:val="none"/>
              </w:rPr>
              <w:t>合同名称</w:t>
            </w:r>
          </w:p>
        </w:tc>
        <w:tc>
          <w:tcPr>
            <w:tcW w:w="6379" w:type="dxa"/>
            <w:noWrap/>
            <w:vAlign w:val="center"/>
          </w:tcPr>
          <w:p>
            <w:pPr>
              <w:jc w:val="left"/>
              <w:rPr>
                <w:rFonts w:eastAsiaTheme="minorEastAsia" w:hint="eastAsia"/>
                <w:color w:val="auto"/>
                <w:highlight w:val="none"/>
                <w:lang w:eastAsia="zh-CN"/>
              </w:rPr>
            </w:pPr>
            <w:r>
              <w:rPr>
                <w:rFonts w:hint="eastAsia"/>
                <w:color w:val="auto"/>
                <w:highlight w:val="none"/>
                <w:lang w:eastAsia="zh-CN"/>
              </w:rPr>
              <w:t>国家税务总局广西壮族自治区税务局金税工程运维服务管理平台2024年运维服务项目</w:t>
            </w:r>
          </w:p>
        </w:tc>
      </w:tr>
      <w:tr>
        <w:tblPrEx>
          <w:tblW w:w="0" w:type="auto"/>
          <w:tblInd w:w="96" w:type="dxa"/>
          <w:tblLayout w:type="fixed"/>
          <w:tblCellMar>
            <w:top w:w="0" w:type="dxa"/>
            <w:left w:w="108" w:type="dxa"/>
            <w:bottom w:w="0" w:type="dxa"/>
            <w:right w:w="108" w:type="dxa"/>
          </w:tblCellMar>
        </w:tblPrEx>
        <w:trPr>
          <w:trHeight w:hRule="exact" w:val="454"/>
        </w:trPr>
        <w:tc>
          <w:tcPr>
            <w:tcW w:w="655" w:type="dxa"/>
            <w:noWrap/>
            <w:vAlign w:val="center"/>
          </w:tcPr>
          <w:p>
            <w:pPr>
              <w:rPr>
                <w:color w:val="auto"/>
                <w:highlight w:val="none"/>
              </w:rPr>
            </w:pPr>
            <w:r>
              <w:rPr>
                <w:rFonts w:hint="eastAsia"/>
                <w:color w:val="auto"/>
                <w:highlight w:val="none"/>
              </w:rPr>
              <w:t>2</w:t>
            </w:r>
          </w:p>
        </w:tc>
        <w:tc>
          <w:tcPr>
            <w:tcW w:w="1909" w:type="dxa"/>
            <w:gridSpan w:val="2"/>
            <w:noWrap/>
            <w:vAlign w:val="center"/>
          </w:tcPr>
          <w:p>
            <w:pPr>
              <w:rPr>
                <w:color w:val="auto"/>
                <w:highlight w:val="none"/>
              </w:rPr>
            </w:pPr>
            <w:r>
              <w:rPr>
                <w:rFonts w:hint="eastAsia"/>
                <w:color w:val="auto"/>
                <w:highlight w:val="none"/>
              </w:rPr>
              <w:t>合同编号</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noWrap/>
            <w:vAlign w:val="center"/>
          </w:tcPr>
          <w:p>
            <w:pPr>
              <w:rPr>
                <w:color w:val="auto"/>
                <w:highlight w:val="none"/>
              </w:rPr>
            </w:pPr>
            <w:r>
              <w:rPr>
                <w:rFonts w:hint="eastAsia"/>
                <w:color w:val="auto"/>
                <w:highlight w:val="none"/>
              </w:rPr>
              <w:t>3</w:t>
            </w:r>
          </w:p>
        </w:tc>
        <w:tc>
          <w:tcPr>
            <w:tcW w:w="1909" w:type="dxa"/>
            <w:gridSpan w:val="2"/>
            <w:noWrap/>
            <w:vAlign w:val="center"/>
          </w:tcPr>
          <w:p>
            <w:pPr>
              <w:rPr>
                <w:color w:val="auto"/>
                <w:highlight w:val="none"/>
              </w:rPr>
            </w:pPr>
            <w:r>
              <w:rPr>
                <w:rFonts w:hint="eastAsia"/>
                <w:color w:val="auto"/>
                <w:highlight w:val="none"/>
              </w:rPr>
              <w:t>合同类型</w:t>
            </w:r>
          </w:p>
        </w:tc>
        <w:tc>
          <w:tcPr>
            <w:tcW w:w="6379" w:type="dxa"/>
            <w:noWrap/>
            <w:vAlign w:val="center"/>
          </w:tcPr>
          <w:p>
            <w:pPr>
              <w:rPr>
                <w:b/>
                <w:color w:val="auto"/>
                <w:highlight w:val="none"/>
              </w:rPr>
            </w:pPr>
            <w:r>
              <w:rPr>
                <w:rFonts w:hint="eastAsia"/>
                <w:color w:val="auto"/>
                <w:highlight w:val="none"/>
              </w:rPr>
              <w:t>服务类</w:t>
            </w:r>
          </w:p>
        </w:tc>
      </w:tr>
      <w:tr>
        <w:tblPrEx>
          <w:tblW w:w="0" w:type="auto"/>
          <w:tblInd w:w="96" w:type="dxa"/>
          <w:tblLayout w:type="fixed"/>
          <w:tblCellMar>
            <w:top w:w="0" w:type="dxa"/>
            <w:left w:w="108" w:type="dxa"/>
            <w:bottom w:w="0" w:type="dxa"/>
            <w:right w:w="108" w:type="dxa"/>
          </w:tblCellMar>
        </w:tblPrEx>
        <w:trPr>
          <w:trHeight w:hRule="exact" w:val="454"/>
        </w:trPr>
        <w:tc>
          <w:tcPr>
            <w:tcW w:w="655" w:type="dxa"/>
            <w:noWrap/>
            <w:vAlign w:val="center"/>
          </w:tcPr>
          <w:p>
            <w:pPr>
              <w:rPr>
                <w:color w:val="auto"/>
                <w:highlight w:val="none"/>
              </w:rPr>
            </w:pPr>
            <w:r>
              <w:rPr>
                <w:rFonts w:hint="eastAsia"/>
                <w:color w:val="auto"/>
                <w:highlight w:val="none"/>
              </w:rPr>
              <w:t>4</w:t>
            </w:r>
          </w:p>
        </w:tc>
        <w:tc>
          <w:tcPr>
            <w:tcW w:w="1909" w:type="dxa"/>
            <w:gridSpan w:val="2"/>
            <w:noWrap/>
            <w:vAlign w:val="center"/>
          </w:tcPr>
          <w:p>
            <w:pPr>
              <w:rPr>
                <w:color w:val="auto"/>
                <w:highlight w:val="none"/>
              </w:rPr>
            </w:pPr>
            <w:r>
              <w:rPr>
                <w:rFonts w:hint="eastAsia"/>
                <w:color w:val="auto"/>
                <w:highlight w:val="none"/>
              </w:rPr>
              <w:t>定价方式</w:t>
            </w:r>
          </w:p>
        </w:tc>
        <w:tc>
          <w:tcPr>
            <w:tcW w:w="6379" w:type="dxa"/>
            <w:noWrap/>
            <w:vAlign w:val="center"/>
          </w:tcPr>
          <w:p>
            <w:pPr>
              <w:rPr>
                <w:b/>
                <w:color w:val="auto"/>
                <w:highlight w:val="none"/>
              </w:rPr>
            </w:pPr>
            <w:r>
              <w:rPr>
                <w:rFonts w:hint="eastAsia"/>
                <w:color w:val="auto"/>
                <w:highlight w:val="none"/>
              </w:rPr>
              <w:t>固定总价</w:t>
            </w: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val="restart"/>
            <w:noWrap/>
            <w:vAlign w:val="center"/>
          </w:tcPr>
          <w:p>
            <w:pPr>
              <w:rPr>
                <w:color w:val="auto"/>
                <w:highlight w:val="none"/>
              </w:rPr>
            </w:pPr>
            <w:r>
              <w:rPr>
                <w:rFonts w:hint="eastAsia"/>
                <w:color w:val="auto"/>
                <w:highlight w:val="none"/>
              </w:rPr>
              <w:t>5</w:t>
            </w:r>
          </w:p>
        </w:tc>
        <w:tc>
          <w:tcPr>
            <w:tcW w:w="1909" w:type="dxa"/>
            <w:gridSpan w:val="2"/>
            <w:noWrap/>
            <w:vAlign w:val="center"/>
          </w:tcPr>
          <w:p>
            <w:pPr>
              <w:rPr>
                <w:color w:val="auto"/>
                <w:highlight w:val="none"/>
              </w:rPr>
            </w:pPr>
            <w:r>
              <w:rPr>
                <w:rFonts w:hint="eastAsia"/>
                <w:color w:val="auto"/>
                <w:highlight w:val="none"/>
              </w:rPr>
              <w:t>甲方名称</w:t>
            </w:r>
          </w:p>
        </w:tc>
        <w:tc>
          <w:tcPr>
            <w:tcW w:w="6379" w:type="dxa"/>
            <w:noWrap/>
            <w:vAlign w:val="center"/>
          </w:tcPr>
          <w:p>
            <w:pPr>
              <w:rPr>
                <w:color w:val="auto"/>
                <w:highlight w:val="none"/>
              </w:rPr>
            </w:pPr>
            <w:r>
              <w:rPr>
                <w:rFonts w:hint="eastAsia"/>
                <w:color w:val="auto"/>
                <w:highlight w:val="none"/>
              </w:rPr>
              <w:t>国家税务总局广西壮族自治区税务局</w:t>
            </w: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1909" w:type="dxa"/>
            <w:gridSpan w:val="2"/>
            <w:noWrap/>
            <w:vAlign w:val="center"/>
          </w:tcPr>
          <w:p>
            <w:pPr>
              <w:rPr>
                <w:color w:val="auto"/>
                <w:highlight w:val="none"/>
              </w:rPr>
            </w:pPr>
            <w:r>
              <w:rPr>
                <w:rFonts w:hint="eastAsia"/>
                <w:color w:val="auto"/>
                <w:highlight w:val="none"/>
              </w:rPr>
              <w:t>甲方地址</w:t>
            </w:r>
          </w:p>
        </w:tc>
        <w:tc>
          <w:tcPr>
            <w:tcW w:w="6379" w:type="dxa"/>
            <w:noWrap/>
            <w:vAlign w:val="center"/>
          </w:tcPr>
          <w:p>
            <w:pPr>
              <w:rPr>
                <w:color w:val="auto"/>
                <w:highlight w:val="none"/>
              </w:rPr>
            </w:pPr>
            <w:r>
              <w:rPr>
                <w:rFonts w:hint="eastAsia"/>
                <w:color w:val="auto"/>
                <w:highlight w:val="none"/>
              </w:rPr>
              <w:t>广西南宁市青秀区民族大道105号</w:t>
            </w: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409" w:type="dxa"/>
            <w:vMerge w:val="restart"/>
            <w:noWrap/>
            <w:vAlign w:val="center"/>
          </w:tcPr>
          <w:p>
            <w:pPr>
              <w:rPr>
                <w:color w:val="auto"/>
                <w:highlight w:val="none"/>
              </w:rPr>
            </w:pPr>
            <w:r>
              <w:rPr>
                <w:rFonts w:hint="eastAsia"/>
                <w:color w:val="auto"/>
                <w:highlight w:val="none"/>
              </w:rPr>
              <w:t>甲方相关部门</w:t>
            </w:r>
          </w:p>
        </w:tc>
        <w:tc>
          <w:tcPr>
            <w:tcW w:w="1500" w:type="dxa"/>
            <w:noWrap/>
            <w:vAlign w:val="center"/>
          </w:tcPr>
          <w:p>
            <w:pPr>
              <w:rPr>
                <w:color w:val="auto"/>
                <w:highlight w:val="none"/>
              </w:rPr>
            </w:pPr>
            <w:r>
              <w:rPr>
                <w:rFonts w:hint="eastAsia"/>
                <w:color w:val="auto"/>
                <w:highlight w:val="none"/>
              </w:rPr>
              <w:t>甲方采购部门</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409" w:type="dxa"/>
            <w:vMerge/>
            <w:noWrap/>
            <w:vAlign w:val="center"/>
          </w:tcPr>
          <w:p>
            <w:pPr>
              <w:rPr>
                <w:color w:val="auto"/>
                <w:highlight w:val="none"/>
              </w:rPr>
            </w:pPr>
          </w:p>
        </w:tc>
        <w:tc>
          <w:tcPr>
            <w:tcW w:w="1500" w:type="dxa"/>
            <w:noWrap/>
            <w:vAlign w:val="center"/>
          </w:tcPr>
          <w:p>
            <w:pPr>
              <w:rPr>
                <w:color w:val="auto"/>
                <w:highlight w:val="none"/>
              </w:rPr>
            </w:pPr>
            <w:r>
              <w:rPr>
                <w:rFonts w:hint="eastAsia"/>
                <w:color w:val="auto"/>
                <w:highlight w:val="none"/>
              </w:rPr>
              <w:t>联系人</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409" w:type="dxa"/>
            <w:vMerge/>
            <w:noWrap/>
            <w:vAlign w:val="center"/>
          </w:tcPr>
          <w:p>
            <w:pPr>
              <w:rPr>
                <w:color w:val="auto"/>
                <w:highlight w:val="none"/>
              </w:rPr>
            </w:pPr>
          </w:p>
        </w:tc>
        <w:tc>
          <w:tcPr>
            <w:tcW w:w="1500" w:type="dxa"/>
            <w:noWrap/>
            <w:vAlign w:val="center"/>
          </w:tcPr>
          <w:p>
            <w:pPr>
              <w:rPr>
                <w:color w:val="auto"/>
                <w:highlight w:val="none"/>
              </w:rPr>
            </w:pPr>
            <w:r>
              <w:rPr>
                <w:rFonts w:hint="eastAsia"/>
                <w:color w:val="auto"/>
                <w:highlight w:val="none"/>
              </w:rPr>
              <w:t>联系电话</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409" w:type="dxa"/>
            <w:vMerge/>
            <w:noWrap/>
            <w:vAlign w:val="center"/>
          </w:tcPr>
          <w:p>
            <w:pPr>
              <w:rPr>
                <w:color w:val="auto"/>
                <w:highlight w:val="none"/>
              </w:rPr>
            </w:pPr>
          </w:p>
        </w:tc>
        <w:tc>
          <w:tcPr>
            <w:tcW w:w="1500" w:type="dxa"/>
            <w:noWrap/>
            <w:vAlign w:val="center"/>
          </w:tcPr>
          <w:p>
            <w:pPr>
              <w:rPr>
                <w:color w:val="auto"/>
                <w:highlight w:val="none"/>
              </w:rPr>
            </w:pPr>
            <w:r>
              <w:rPr>
                <w:rFonts w:hint="eastAsia"/>
                <w:color w:val="auto"/>
                <w:highlight w:val="none"/>
              </w:rPr>
              <w:t>甲方需求部门</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409" w:type="dxa"/>
            <w:vMerge/>
            <w:noWrap/>
            <w:vAlign w:val="center"/>
          </w:tcPr>
          <w:p>
            <w:pPr>
              <w:rPr>
                <w:color w:val="auto"/>
                <w:highlight w:val="none"/>
              </w:rPr>
            </w:pPr>
          </w:p>
        </w:tc>
        <w:tc>
          <w:tcPr>
            <w:tcW w:w="1500" w:type="dxa"/>
            <w:noWrap/>
            <w:vAlign w:val="center"/>
          </w:tcPr>
          <w:p>
            <w:pPr>
              <w:rPr>
                <w:color w:val="auto"/>
                <w:highlight w:val="none"/>
              </w:rPr>
            </w:pPr>
            <w:r>
              <w:rPr>
                <w:rFonts w:hint="eastAsia"/>
                <w:color w:val="auto"/>
                <w:highlight w:val="none"/>
              </w:rPr>
              <w:t>联系人</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409" w:type="dxa"/>
            <w:vMerge/>
            <w:noWrap/>
            <w:vAlign w:val="center"/>
          </w:tcPr>
          <w:p>
            <w:pPr>
              <w:rPr>
                <w:color w:val="auto"/>
                <w:highlight w:val="none"/>
              </w:rPr>
            </w:pPr>
          </w:p>
        </w:tc>
        <w:tc>
          <w:tcPr>
            <w:tcW w:w="1500" w:type="dxa"/>
            <w:noWrap/>
            <w:vAlign w:val="center"/>
          </w:tcPr>
          <w:p>
            <w:pPr>
              <w:rPr>
                <w:color w:val="auto"/>
                <w:highlight w:val="none"/>
              </w:rPr>
            </w:pPr>
            <w:r>
              <w:rPr>
                <w:rFonts w:hint="eastAsia"/>
                <w:color w:val="auto"/>
                <w:highlight w:val="none"/>
              </w:rPr>
              <w:t>联系电话</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val="restart"/>
            <w:noWrap/>
            <w:vAlign w:val="center"/>
          </w:tcPr>
          <w:p>
            <w:pPr>
              <w:rPr>
                <w:color w:val="auto"/>
                <w:highlight w:val="none"/>
              </w:rPr>
            </w:pPr>
            <w:r>
              <w:rPr>
                <w:rFonts w:hint="eastAsia"/>
                <w:color w:val="auto"/>
                <w:highlight w:val="none"/>
              </w:rPr>
              <w:t>6</w:t>
            </w:r>
          </w:p>
        </w:tc>
        <w:tc>
          <w:tcPr>
            <w:tcW w:w="1909" w:type="dxa"/>
            <w:gridSpan w:val="2"/>
            <w:noWrap/>
            <w:vAlign w:val="center"/>
          </w:tcPr>
          <w:p>
            <w:pPr>
              <w:rPr>
                <w:color w:val="auto"/>
                <w:highlight w:val="none"/>
              </w:rPr>
            </w:pPr>
            <w:r>
              <w:rPr>
                <w:rFonts w:hint="eastAsia"/>
                <w:color w:val="auto"/>
                <w:highlight w:val="none"/>
              </w:rPr>
              <w:t>乙方名称</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1021"/>
        </w:trPr>
        <w:tc>
          <w:tcPr>
            <w:tcW w:w="655" w:type="dxa"/>
            <w:vMerge/>
            <w:noWrap/>
            <w:vAlign w:val="center"/>
          </w:tcPr>
          <w:p>
            <w:pPr>
              <w:rPr>
                <w:color w:val="auto"/>
                <w:highlight w:val="none"/>
              </w:rPr>
            </w:pPr>
          </w:p>
        </w:tc>
        <w:tc>
          <w:tcPr>
            <w:tcW w:w="1909" w:type="dxa"/>
            <w:gridSpan w:val="2"/>
            <w:noWrap/>
            <w:vAlign w:val="center"/>
          </w:tcPr>
          <w:p>
            <w:pPr>
              <w:rPr>
                <w:color w:val="auto"/>
                <w:highlight w:val="none"/>
              </w:rPr>
            </w:pPr>
            <w:r>
              <w:rPr>
                <w:rFonts w:hint="eastAsia"/>
                <w:color w:val="auto"/>
                <w:highlight w:val="none"/>
              </w:rPr>
              <w:t>乙方企业性质</w:t>
            </w:r>
          </w:p>
        </w:tc>
        <w:tc>
          <w:tcPr>
            <w:tcW w:w="6379" w:type="dxa"/>
            <w:noWrap/>
            <w:vAlign w:val="center"/>
          </w:tcPr>
          <w:p>
            <w:pPr>
              <w:rPr>
                <w:color w:val="auto"/>
                <w:highlight w:val="none"/>
              </w:rPr>
            </w:pPr>
            <w:r>
              <w:rPr>
                <w:rFonts w:ascii="Wingdings 2" w:hAnsi="Wingdings 2"/>
                <w:color w:val="auto"/>
                <w:highlight w:val="none"/>
              </w:rPr>
              <w:sym w:font="Wingdings 2" w:char="F0A3"/>
            </w:r>
            <w:r>
              <w:rPr>
                <w:rFonts w:hint="eastAsia"/>
                <w:color w:val="auto"/>
                <w:highlight w:val="none"/>
              </w:rPr>
              <w:t xml:space="preserve"> 中型企业   </w:t>
            </w:r>
            <w:r>
              <w:rPr>
                <w:rFonts w:ascii="Wingdings 2" w:hAnsi="Wingdings 2"/>
                <w:color w:val="auto"/>
                <w:highlight w:val="none"/>
              </w:rPr>
              <w:sym w:font="Wingdings 2" w:char="F0A3"/>
            </w:r>
            <w:r>
              <w:rPr>
                <w:rFonts w:hint="eastAsia"/>
                <w:color w:val="auto"/>
                <w:highlight w:val="none"/>
              </w:rPr>
              <w:t xml:space="preserve"> 小型企业       </w:t>
            </w:r>
            <w:r>
              <w:rPr>
                <w:rFonts w:ascii="Wingdings 2" w:hAnsi="Wingdings 2"/>
                <w:color w:val="auto"/>
                <w:highlight w:val="none"/>
              </w:rPr>
              <w:sym w:font="Wingdings 2" w:char="F0A3"/>
            </w:r>
            <w:r>
              <w:rPr>
                <w:rFonts w:hint="eastAsia"/>
                <w:color w:val="auto"/>
                <w:highlight w:val="none"/>
              </w:rPr>
              <w:t xml:space="preserve"> 微型企业    </w:t>
            </w:r>
          </w:p>
          <w:p>
            <w:pPr>
              <w:rPr>
                <w:color w:val="auto"/>
                <w:highlight w:val="none"/>
              </w:rPr>
            </w:pPr>
            <w:r>
              <w:rPr>
                <w:rFonts w:ascii="Wingdings 2" w:hAnsi="Wingdings 2"/>
                <w:color w:val="auto"/>
                <w:highlight w:val="none"/>
              </w:rPr>
              <w:sym w:font="Wingdings 2" w:char="F0A3"/>
            </w:r>
            <w:r>
              <w:rPr>
                <w:rFonts w:hint="eastAsia"/>
                <w:color w:val="auto"/>
                <w:highlight w:val="none"/>
              </w:rPr>
              <w:t xml:space="preserve"> 监狱企业   </w:t>
            </w:r>
            <w:r>
              <w:rPr>
                <w:rFonts w:ascii="Wingdings 2" w:hAnsi="Wingdings 2"/>
                <w:color w:val="auto"/>
                <w:highlight w:val="none"/>
              </w:rPr>
              <w:sym w:font="Wingdings 2" w:char="F0A3"/>
            </w:r>
            <w:r>
              <w:rPr>
                <w:rFonts w:hint="eastAsia"/>
                <w:color w:val="auto"/>
                <w:highlight w:val="none"/>
              </w:rPr>
              <w:t xml:space="preserve"> 残疾人福利性单位    </w:t>
            </w:r>
            <w:r>
              <w:rPr>
                <w:rFonts w:ascii="Wingdings 2" w:hAnsi="Wingdings 2"/>
                <w:color w:val="auto"/>
                <w:highlight w:val="none"/>
              </w:rPr>
              <w:sym w:font="Wingdings 2" w:char="F0A3"/>
            </w:r>
            <w:r>
              <w:rPr>
                <w:rFonts w:hint="eastAsia"/>
                <w:color w:val="auto"/>
                <w:highlight w:val="none"/>
              </w:rPr>
              <w:t xml:space="preserve"> 其他</w:t>
            </w: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1909" w:type="dxa"/>
            <w:gridSpan w:val="2"/>
            <w:noWrap/>
            <w:vAlign w:val="center"/>
          </w:tcPr>
          <w:p>
            <w:pPr>
              <w:rPr>
                <w:color w:val="auto"/>
                <w:highlight w:val="none"/>
              </w:rPr>
            </w:pPr>
            <w:r>
              <w:rPr>
                <w:rFonts w:hint="eastAsia"/>
                <w:color w:val="auto"/>
                <w:highlight w:val="none"/>
              </w:rPr>
              <w:t>乙方地址</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1909" w:type="dxa"/>
            <w:gridSpan w:val="2"/>
            <w:noWrap/>
            <w:vAlign w:val="center"/>
          </w:tcPr>
          <w:p>
            <w:pPr>
              <w:rPr>
                <w:color w:val="auto"/>
                <w:highlight w:val="none"/>
              </w:rPr>
            </w:pPr>
            <w:r>
              <w:rPr>
                <w:rFonts w:hint="eastAsia"/>
                <w:color w:val="auto"/>
                <w:highlight w:val="none"/>
              </w:rPr>
              <w:t>乙方联系人</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1909" w:type="dxa"/>
            <w:gridSpan w:val="2"/>
            <w:noWrap/>
            <w:vAlign w:val="center"/>
          </w:tcPr>
          <w:p>
            <w:pPr>
              <w:rPr>
                <w:color w:val="auto"/>
                <w:highlight w:val="none"/>
              </w:rPr>
            </w:pPr>
            <w:r>
              <w:rPr>
                <w:rFonts w:hint="eastAsia"/>
                <w:color w:val="auto"/>
                <w:highlight w:val="none"/>
              </w:rPr>
              <w:t>联系电话</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1909" w:type="dxa"/>
            <w:gridSpan w:val="2"/>
            <w:noWrap/>
            <w:vAlign w:val="center"/>
          </w:tcPr>
          <w:p>
            <w:pPr>
              <w:rPr>
                <w:color w:val="auto"/>
                <w:highlight w:val="none"/>
              </w:rPr>
            </w:pPr>
            <w:r>
              <w:rPr>
                <w:rFonts w:hint="eastAsia"/>
                <w:color w:val="auto"/>
                <w:highlight w:val="none"/>
              </w:rPr>
              <w:t>传真</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1909" w:type="dxa"/>
            <w:gridSpan w:val="2"/>
            <w:noWrap/>
            <w:vAlign w:val="center"/>
          </w:tcPr>
          <w:p>
            <w:pPr>
              <w:tabs>
                <w:tab w:val="left" w:pos="700"/>
              </w:tabs>
              <w:adjustRightInd w:val="0"/>
              <w:snapToGrid w:val="0"/>
              <w:spacing w:line="380" w:lineRule="exact"/>
              <w:jc w:val="center"/>
              <w:rPr>
                <w:rFonts w:eastAsiaTheme="minorEastAsia" w:hint="eastAsia"/>
                <w:color w:val="auto"/>
                <w:highlight w:val="none"/>
                <w:lang w:eastAsia="zh-CN"/>
              </w:rPr>
            </w:pPr>
            <w:r>
              <w:rPr>
                <w:rFonts w:ascii="宋体" w:eastAsia="宋体" w:hAnsi="宋体" w:cs="Times New Roman"/>
                <w:color w:val="auto"/>
                <w:szCs w:val="21"/>
                <w:highlight w:val="none"/>
              </w:rPr>
              <w:t>开户银行名称</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hRule="exact" w:val="454"/>
        </w:trPr>
        <w:tc>
          <w:tcPr>
            <w:tcW w:w="655" w:type="dxa"/>
            <w:vMerge/>
            <w:noWrap/>
            <w:vAlign w:val="center"/>
          </w:tcPr>
          <w:p>
            <w:pPr>
              <w:rPr>
                <w:color w:val="auto"/>
                <w:highlight w:val="none"/>
              </w:rPr>
            </w:pPr>
          </w:p>
        </w:tc>
        <w:tc>
          <w:tcPr>
            <w:tcW w:w="1909" w:type="dxa"/>
            <w:gridSpan w:val="2"/>
            <w:noWrap/>
            <w:vAlign w:val="center"/>
          </w:tcPr>
          <w:p>
            <w:pPr>
              <w:tabs>
                <w:tab w:val="left" w:pos="700"/>
              </w:tabs>
              <w:adjustRightInd w:val="0"/>
              <w:snapToGrid w:val="0"/>
              <w:spacing w:line="380" w:lineRule="exact"/>
              <w:jc w:val="center"/>
              <w:rPr>
                <w:rFonts w:hint="eastAsia"/>
                <w:color w:val="auto"/>
                <w:highlight w:val="none"/>
              </w:rPr>
            </w:pPr>
            <w:r>
              <w:rPr>
                <w:rFonts w:ascii="宋体" w:eastAsia="宋体" w:hAnsi="宋体" w:cs="Times New Roman"/>
                <w:color w:val="auto"/>
                <w:szCs w:val="21"/>
                <w:highlight w:val="none"/>
              </w:rPr>
              <w:t>银行账号</w:t>
            </w:r>
          </w:p>
        </w:tc>
        <w:tc>
          <w:tcPr>
            <w:tcW w:w="6379" w:type="dxa"/>
            <w:noWrap/>
            <w:vAlign w:val="center"/>
          </w:tcPr>
          <w:p>
            <w:pPr>
              <w:rPr>
                <w:color w:val="auto"/>
                <w:highlight w:val="none"/>
              </w:rPr>
            </w:pPr>
          </w:p>
        </w:tc>
      </w:tr>
      <w:tr>
        <w:tblPrEx>
          <w:tblW w:w="0" w:type="auto"/>
          <w:tblInd w:w="96" w:type="dxa"/>
          <w:tblLayout w:type="fixed"/>
          <w:tblCellMar>
            <w:top w:w="0" w:type="dxa"/>
            <w:left w:w="108" w:type="dxa"/>
            <w:bottom w:w="0" w:type="dxa"/>
            <w:right w:w="108" w:type="dxa"/>
          </w:tblCellMar>
        </w:tblPrEx>
        <w:trPr>
          <w:trHeight w:val="90"/>
        </w:trPr>
        <w:tc>
          <w:tcPr>
            <w:tcW w:w="655" w:type="dxa"/>
            <w:noWrap/>
            <w:vAlign w:val="center"/>
          </w:tcPr>
          <w:p>
            <w:pPr>
              <w:rPr>
                <w:color w:val="auto"/>
                <w:highlight w:val="none"/>
              </w:rPr>
            </w:pPr>
            <w:r>
              <w:rPr>
                <w:rFonts w:hint="eastAsia"/>
                <w:color w:val="auto"/>
                <w:highlight w:val="none"/>
              </w:rPr>
              <w:t>7</w:t>
            </w:r>
          </w:p>
        </w:tc>
        <w:tc>
          <w:tcPr>
            <w:tcW w:w="1909" w:type="dxa"/>
            <w:gridSpan w:val="2"/>
            <w:noWrap/>
            <w:vAlign w:val="center"/>
          </w:tcPr>
          <w:p>
            <w:pPr>
              <w:rPr>
                <w:color w:val="auto"/>
                <w:highlight w:val="none"/>
              </w:rPr>
            </w:pPr>
            <w:r>
              <w:rPr>
                <w:rFonts w:hint="eastAsia"/>
                <w:color w:val="auto"/>
                <w:highlight w:val="none"/>
              </w:rPr>
              <w:t>合同</w:t>
            </w:r>
            <w:r>
              <w:rPr>
                <w:rFonts w:hint="eastAsia"/>
                <w:color w:val="auto"/>
                <w:highlight w:val="none"/>
                <w:lang w:eastAsia="zh-CN"/>
              </w:rPr>
              <w:t>总</w:t>
            </w:r>
            <w:r>
              <w:rPr>
                <w:rFonts w:hint="eastAsia"/>
                <w:color w:val="auto"/>
                <w:highlight w:val="none"/>
              </w:rPr>
              <w:t>金额</w:t>
            </w:r>
          </w:p>
        </w:tc>
        <w:tc>
          <w:tcPr>
            <w:tcW w:w="6379" w:type="dxa"/>
            <w:noWrap/>
            <w:vAlign w:val="center"/>
          </w:tcPr>
          <w:p>
            <w:pPr>
              <w:jc w:val="left"/>
              <w:rPr>
                <w:color w:val="auto"/>
                <w:highlight w:val="none"/>
              </w:rPr>
            </w:pPr>
            <w:r>
              <w:rPr>
                <w:rFonts w:hint="eastAsia"/>
                <w:color w:val="auto"/>
                <w:highlight w:val="none"/>
              </w:rPr>
              <w:t>人民币</w:t>
            </w:r>
            <w:r>
              <w:rPr>
                <w:rFonts w:hint="eastAsia"/>
                <w:color w:val="auto"/>
                <w:highlight w:val="none"/>
                <w:lang w:eastAsia="zh-CN"/>
              </w:rPr>
              <w:t>（</w:t>
            </w:r>
            <w:r>
              <w:rPr>
                <w:rFonts w:hint="eastAsia"/>
                <w:color w:val="auto"/>
                <w:highlight w:val="none"/>
                <w:lang w:val="en-US" w:eastAsia="zh-CN"/>
              </w:rPr>
              <w:t xml:space="preserve">大写）           </w:t>
            </w:r>
            <w:r>
              <w:rPr>
                <w:rFonts w:hint="eastAsia"/>
                <w:color w:val="auto"/>
                <w:highlight w:val="none"/>
              </w:rPr>
              <w:t>元整（¥</w:t>
            </w:r>
            <w:r>
              <w:rPr>
                <w:rFonts w:hint="eastAsia"/>
                <w:color w:val="auto"/>
                <w:highlight w:val="none"/>
                <w:lang w:val="en-US" w:eastAsia="zh-CN"/>
              </w:rPr>
              <w:t xml:space="preserve">         </w:t>
            </w:r>
            <w:r>
              <w:rPr>
                <w:rFonts w:hint="eastAsia"/>
                <w:color w:val="auto"/>
                <w:highlight w:val="none"/>
              </w:rPr>
              <w:t>）。</w:t>
            </w:r>
          </w:p>
        </w:tc>
      </w:tr>
      <w:tr>
        <w:tblPrEx>
          <w:tblW w:w="0" w:type="auto"/>
          <w:tblInd w:w="96" w:type="dxa"/>
          <w:tblLayout w:type="fixed"/>
          <w:tblCellMar>
            <w:top w:w="0" w:type="dxa"/>
            <w:left w:w="108" w:type="dxa"/>
            <w:bottom w:w="0" w:type="dxa"/>
            <w:right w:w="108" w:type="dxa"/>
          </w:tblCellMar>
        </w:tblPrEx>
        <w:trPr>
          <w:trHeight w:val="3429"/>
        </w:trPr>
        <w:tc>
          <w:tcPr>
            <w:tcW w:w="655" w:type="dxa"/>
            <w:noWrap/>
            <w:vAlign w:val="center"/>
          </w:tcPr>
          <w:p>
            <w:pPr>
              <w:rPr>
                <w:rFonts w:eastAsiaTheme="minorEastAsia" w:hint="eastAsia"/>
                <w:color w:val="auto"/>
                <w:highlight w:val="none"/>
                <w:lang w:eastAsia="zh-CN"/>
              </w:rPr>
            </w:pPr>
            <w:r>
              <w:rPr>
                <w:rFonts w:hint="eastAsia"/>
                <w:color w:val="auto"/>
                <w:highlight w:val="none"/>
                <w:lang w:val="en-US" w:eastAsia="zh-CN"/>
              </w:rPr>
              <w:t>8</w:t>
            </w:r>
          </w:p>
        </w:tc>
        <w:tc>
          <w:tcPr>
            <w:tcW w:w="1909" w:type="dxa"/>
            <w:gridSpan w:val="2"/>
            <w:noWrap/>
            <w:vAlign w:val="center"/>
          </w:tcPr>
          <w:p>
            <w:pPr>
              <w:rPr>
                <w:color w:val="auto"/>
                <w:highlight w:val="none"/>
              </w:rPr>
            </w:pPr>
            <w:r>
              <w:rPr>
                <w:rFonts w:hint="eastAsia"/>
                <w:color w:val="auto"/>
                <w:highlight w:val="none"/>
              </w:rPr>
              <w:t>服务内容</w:t>
            </w:r>
          </w:p>
        </w:tc>
        <w:tc>
          <w:tcPr>
            <w:tcW w:w="6379" w:type="dxa"/>
            <w:noWrap/>
            <w:vAlign w:val="center"/>
          </w:tcPr>
          <w:p>
            <w:pPr>
              <w:ind w:firstLine="420" w:firstLineChars="200"/>
              <w:jc w:val="left"/>
              <w:rPr>
                <w:color w:val="auto"/>
                <w:highlight w:val="none"/>
                <w:u w:val="single"/>
              </w:rPr>
            </w:pPr>
            <w:r>
              <w:rPr>
                <w:rFonts w:hint="eastAsia"/>
                <w:color w:val="auto"/>
                <w:highlight w:val="none"/>
              </w:rPr>
              <w:t>采购国家税务总局广西壮族自治区税务局金税工程运维服务管理平台2024年运维服务，工作范围包括：日常巡检、运行环境设施巡检、运维平台运行状况巡检、业务支持及运维保障服务等。本项目采用远程服务的服务方式，对运维平台提供专项运维服务，对于远程服务无法解决的问题，按照</w:t>
            </w:r>
            <w:r>
              <w:rPr>
                <w:rFonts w:hint="eastAsia"/>
                <w:color w:val="auto"/>
                <w:highlight w:val="none"/>
                <w:lang w:val="en-US" w:eastAsia="zh-CN"/>
              </w:rPr>
              <w:t>甲</w:t>
            </w:r>
            <w:r>
              <w:rPr>
                <w:rFonts w:hint="eastAsia"/>
                <w:color w:val="auto"/>
                <w:highlight w:val="none"/>
              </w:rPr>
              <w:t>方需求，安排运维服务人员到现场解决运维问题。具体要求详见本项目招标文件。</w:t>
            </w:r>
          </w:p>
          <w:p>
            <w:pPr>
              <w:jc w:val="left"/>
              <w:rPr>
                <w:color w:val="auto"/>
                <w:highlight w:val="none"/>
              </w:rPr>
            </w:pPr>
          </w:p>
        </w:tc>
      </w:tr>
      <w:tr>
        <w:tblPrEx>
          <w:tblW w:w="0" w:type="auto"/>
          <w:tblInd w:w="96" w:type="dxa"/>
          <w:tblLayout w:type="fixed"/>
          <w:tblCellMar>
            <w:top w:w="0" w:type="dxa"/>
            <w:left w:w="108" w:type="dxa"/>
            <w:bottom w:w="0" w:type="dxa"/>
            <w:right w:w="108" w:type="dxa"/>
          </w:tblCellMar>
        </w:tblPrEx>
        <w:trPr>
          <w:trHeight w:val="2833"/>
        </w:trPr>
        <w:tc>
          <w:tcPr>
            <w:tcW w:w="655" w:type="dxa"/>
            <w:noWrap/>
            <w:vAlign w:val="center"/>
          </w:tcPr>
          <w:p>
            <w:pPr>
              <w:rPr>
                <w:rFonts w:eastAsiaTheme="minorEastAsia" w:hint="default"/>
                <w:color w:val="auto"/>
                <w:highlight w:val="none"/>
                <w:lang w:val="en-US" w:eastAsia="zh-CN"/>
              </w:rPr>
            </w:pPr>
            <w:r>
              <w:rPr>
                <w:rFonts w:hint="eastAsia"/>
                <w:color w:val="auto"/>
                <w:highlight w:val="none"/>
                <w:lang w:val="en-US" w:eastAsia="zh-CN"/>
              </w:rPr>
              <w:t>9</w:t>
            </w:r>
          </w:p>
        </w:tc>
        <w:tc>
          <w:tcPr>
            <w:tcW w:w="1909" w:type="dxa"/>
            <w:gridSpan w:val="2"/>
            <w:noWrap/>
            <w:vAlign w:val="center"/>
          </w:tcPr>
          <w:p>
            <w:pPr>
              <w:rPr>
                <w:color w:val="auto"/>
                <w:highlight w:val="none"/>
              </w:rPr>
            </w:pPr>
            <w:r>
              <w:rPr>
                <w:rFonts w:ascii="宋体" w:eastAsia="宋体" w:hAnsi="宋体" w:cs="Times New Roman"/>
                <w:color w:val="auto"/>
                <w:szCs w:val="21"/>
                <w:highlight w:val="none"/>
              </w:rPr>
              <w:t>合同付款</w:t>
            </w:r>
          </w:p>
        </w:tc>
        <w:tc>
          <w:tcPr>
            <w:tcW w:w="6379" w:type="dxa"/>
            <w:noWrap/>
            <w:vAlign w:val="center"/>
          </w:tcPr>
          <w:p>
            <w:pPr>
              <w:ind w:firstLine="420" w:firstLineChars="200"/>
              <w:jc w:val="left"/>
              <w:rPr>
                <w:rFonts w:hint="eastAsia"/>
                <w:color w:val="auto"/>
                <w:highlight w:val="none"/>
                <w:lang w:val="en-US" w:eastAsia="zh-CN"/>
              </w:rPr>
            </w:pPr>
            <w:r>
              <w:rPr>
                <w:rFonts w:hint="eastAsia"/>
                <w:color w:val="auto"/>
                <w:highlight w:val="none"/>
                <w:lang w:val="en-US" w:eastAsia="zh-CN"/>
              </w:rPr>
              <w:t>（1）第一次付款：在签订合同后且甲方收到发票10个工作日内，甲方向乙方支付合同总金额的50%。</w:t>
            </w:r>
          </w:p>
          <w:p>
            <w:pPr>
              <w:ind w:firstLine="420" w:firstLineChars="200"/>
              <w:jc w:val="left"/>
              <w:rPr>
                <w:rFonts w:hint="eastAsia"/>
                <w:color w:val="auto"/>
                <w:highlight w:val="none"/>
                <w:lang w:val="en-US" w:eastAsia="zh-CN"/>
              </w:rPr>
            </w:pPr>
            <w:r>
              <w:rPr>
                <w:rFonts w:hint="eastAsia"/>
                <w:color w:val="auto"/>
                <w:highlight w:val="none"/>
                <w:lang w:val="en-US" w:eastAsia="zh-CN"/>
              </w:rPr>
              <w:t xml:space="preserve">（2）在服务期满后，甲方对项目进行验收，并根据项目验收标准及合同罚责条款进行考核，按考核结果对合同服务费进行核算，在甲方收到发票后10个工作日内，甲方向乙方支付合同相应的剩余款项。 </w:t>
            </w:r>
          </w:p>
          <w:p>
            <w:pPr>
              <w:ind w:firstLine="420" w:firstLineChars="200"/>
              <w:jc w:val="left"/>
              <w:rPr>
                <w:rFonts w:hint="eastAsia"/>
                <w:color w:val="auto"/>
                <w:highlight w:val="none"/>
              </w:rPr>
            </w:pPr>
            <w:r>
              <w:rPr>
                <w:rFonts w:hint="eastAsia"/>
                <w:color w:val="auto"/>
                <w:highlight w:val="none"/>
                <w:lang w:val="en-US" w:eastAsia="zh-CN"/>
              </w:rPr>
              <w:t>甲方</w:t>
            </w:r>
            <w:r>
              <w:rPr>
                <w:rFonts w:hint="eastAsia"/>
                <w:color w:val="auto"/>
                <w:highlight w:val="none"/>
              </w:rPr>
              <w:t>付款前，</w:t>
            </w:r>
            <w:r>
              <w:rPr>
                <w:rFonts w:hint="eastAsia"/>
                <w:color w:val="auto"/>
                <w:highlight w:val="none"/>
                <w:lang w:val="en-US" w:eastAsia="zh-CN"/>
              </w:rPr>
              <w:t>乙方</w:t>
            </w:r>
            <w:r>
              <w:rPr>
                <w:rFonts w:hint="eastAsia"/>
                <w:color w:val="auto"/>
                <w:highlight w:val="none"/>
              </w:rPr>
              <w:t>应向</w:t>
            </w:r>
            <w:r>
              <w:rPr>
                <w:rFonts w:hint="eastAsia"/>
                <w:color w:val="auto"/>
                <w:highlight w:val="none"/>
                <w:lang w:val="en-US" w:eastAsia="zh-CN"/>
              </w:rPr>
              <w:t>甲方</w:t>
            </w:r>
            <w:r>
              <w:rPr>
                <w:rFonts w:hint="eastAsia"/>
                <w:color w:val="auto"/>
                <w:highlight w:val="none"/>
              </w:rPr>
              <w:t>开具等额有效的增值税发票，</w:t>
            </w:r>
            <w:r>
              <w:rPr>
                <w:rFonts w:hint="eastAsia"/>
                <w:color w:val="auto"/>
                <w:highlight w:val="none"/>
                <w:lang w:val="en-US" w:eastAsia="zh-CN"/>
              </w:rPr>
              <w:t>甲方</w:t>
            </w:r>
            <w:r>
              <w:rPr>
                <w:rFonts w:hint="eastAsia"/>
                <w:color w:val="auto"/>
                <w:highlight w:val="none"/>
              </w:rPr>
              <w:t>未收到发票的，有权不予支付相应款项直至</w:t>
            </w:r>
            <w:r>
              <w:rPr>
                <w:rFonts w:hint="eastAsia"/>
                <w:color w:val="auto"/>
                <w:highlight w:val="none"/>
                <w:lang w:val="en-US" w:eastAsia="zh-CN"/>
              </w:rPr>
              <w:t>乙方</w:t>
            </w:r>
            <w:r>
              <w:rPr>
                <w:rFonts w:hint="eastAsia"/>
                <w:color w:val="auto"/>
                <w:highlight w:val="none"/>
              </w:rPr>
              <w:t>提供合格发票，并不承担延迟付款责任。</w:t>
            </w:r>
          </w:p>
          <w:p>
            <w:pPr>
              <w:pStyle w:val="5"/>
              <w:rPr>
                <w:color w:val="auto"/>
                <w:highlight w:val="none"/>
              </w:rPr>
            </w:pPr>
          </w:p>
        </w:tc>
      </w:tr>
      <w:tr>
        <w:tblPrEx>
          <w:tblW w:w="0" w:type="auto"/>
          <w:tblInd w:w="96" w:type="dxa"/>
          <w:tblLayout w:type="fixed"/>
          <w:tblCellMar>
            <w:top w:w="0" w:type="dxa"/>
            <w:left w:w="108" w:type="dxa"/>
            <w:bottom w:w="0" w:type="dxa"/>
            <w:right w:w="108" w:type="dxa"/>
          </w:tblCellMar>
        </w:tblPrEx>
        <w:trPr>
          <w:trHeight w:val="796"/>
        </w:trPr>
        <w:tc>
          <w:tcPr>
            <w:tcW w:w="655" w:type="dxa"/>
            <w:noWrap/>
            <w:vAlign w:val="center"/>
          </w:tcPr>
          <w:p>
            <w:pPr>
              <w:rPr>
                <w:rFonts w:eastAsiaTheme="minorEastAsia" w:hint="eastAsia"/>
                <w:color w:val="auto"/>
                <w:highlight w:val="none"/>
                <w:lang w:eastAsia="zh-CN"/>
              </w:rPr>
            </w:pPr>
            <w:r>
              <w:rPr>
                <w:rFonts w:hint="eastAsia"/>
                <w:color w:val="auto"/>
                <w:highlight w:val="none"/>
              </w:rPr>
              <w:t>1</w:t>
            </w:r>
            <w:r>
              <w:rPr>
                <w:rFonts w:hint="eastAsia"/>
                <w:color w:val="auto"/>
                <w:highlight w:val="none"/>
                <w:lang w:val="en-US" w:eastAsia="zh-CN"/>
              </w:rPr>
              <w:t>0</w:t>
            </w:r>
          </w:p>
        </w:tc>
        <w:tc>
          <w:tcPr>
            <w:tcW w:w="1909" w:type="dxa"/>
            <w:gridSpan w:val="2"/>
            <w:noWrap/>
            <w:vAlign w:val="center"/>
          </w:tcPr>
          <w:p>
            <w:pPr>
              <w:rPr>
                <w:color w:val="auto"/>
                <w:highlight w:val="none"/>
              </w:rPr>
            </w:pPr>
            <w:r>
              <w:rPr>
                <w:rFonts w:hint="eastAsia"/>
                <w:color w:val="auto"/>
                <w:highlight w:val="none"/>
              </w:rPr>
              <w:t>履约保证金及返还</w:t>
            </w:r>
          </w:p>
        </w:tc>
        <w:tc>
          <w:tcPr>
            <w:tcW w:w="6379" w:type="dxa"/>
            <w:noWrap/>
            <w:vAlign w:val="center"/>
          </w:tcPr>
          <w:p>
            <w:pPr>
              <w:pStyle w:val="PlainText"/>
              <w:jc w:val="left"/>
              <w:rPr>
                <w:color w:val="auto"/>
                <w:highlight w:val="none"/>
              </w:rPr>
            </w:pPr>
            <w:r>
              <w:rPr>
                <w:rFonts w:ascii="宋体" w:eastAsia="宋体" w:hAnsi="宋体" w:cs="Times New Roman" w:hint="eastAsia"/>
                <w:color w:val="auto"/>
                <w:szCs w:val="21"/>
                <w:highlight w:val="none"/>
              </w:rPr>
              <w:t>本项目不要求提供。</w:t>
            </w:r>
          </w:p>
        </w:tc>
      </w:tr>
      <w:tr>
        <w:tblPrEx>
          <w:tblW w:w="0" w:type="auto"/>
          <w:tblInd w:w="96" w:type="dxa"/>
          <w:tblLayout w:type="fixed"/>
          <w:tblCellMar>
            <w:top w:w="0" w:type="dxa"/>
            <w:left w:w="108" w:type="dxa"/>
            <w:bottom w:w="0" w:type="dxa"/>
            <w:right w:w="108" w:type="dxa"/>
          </w:tblCellMar>
        </w:tblPrEx>
        <w:trPr>
          <w:trHeight w:val="471"/>
        </w:trPr>
        <w:tc>
          <w:tcPr>
            <w:tcW w:w="655" w:type="dxa"/>
            <w:noWrap/>
            <w:vAlign w:val="center"/>
          </w:tcPr>
          <w:p>
            <w:pPr>
              <w:rPr>
                <w:rFonts w:eastAsiaTheme="minorEastAsia" w:hint="eastAsia"/>
                <w:color w:val="auto"/>
                <w:highlight w:val="none"/>
                <w:lang w:eastAsia="zh-CN"/>
              </w:rPr>
            </w:pPr>
            <w:r>
              <w:rPr>
                <w:rFonts w:hint="eastAsia"/>
                <w:color w:val="auto"/>
                <w:highlight w:val="none"/>
              </w:rPr>
              <w:t>1</w:t>
            </w:r>
            <w:r>
              <w:rPr>
                <w:rFonts w:hint="eastAsia"/>
                <w:color w:val="auto"/>
                <w:highlight w:val="none"/>
                <w:lang w:val="en-US" w:eastAsia="zh-CN"/>
              </w:rPr>
              <w:t>1</w:t>
            </w:r>
          </w:p>
        </w:tc>
        <w:tc>
          <w:tcPr>
            <w:tcW w:w="1909" w:type="dxa"/>
            <w:gridSpan w:val="2"/>
            <w:noWrap/>
            <w:vAlign w:val="center"/>
          </w:tcPr>
          <w:p>
            <w:pPr>
              <w:rPr>
                <w:color w:val="auto"/>
                <w:highlight w:val="none"/>
              </w:rPr>
            </w:pPr>
            <w:r>
              <w:rPr>
                <w:rFonts w:hint="eastAsia"/>
                <w:color w:val="auto"/>
                <w:highlight w:val="none"/>
              </w:rPr>
              <w:t>合同履行期限</w:t>
            </w:r>
          </w:p>
        </w:tc>
        <w:tc>
          <w:tcPr>
            <w:tcW w:w="6379" w:type="dxa"/>
            <w:noWrap/>
            <w:vAlign w:val="center"/>
          </w:tcPr>
          <w:p>
            <w:pPr>
              <w:jc w:val="left"/>
              <w:rPr>
                <w:rFonts w:eastAsiaTheme="minorEastAsia" w:hint="default"/>
                <w:color w:val="auto"/>
                <w:highlight w:val="none"/>
                <w:lang w:val="en-US" w:eastAsia="zh-CN"/>
              </w:rPr>
            </w:pPr>
            <w:r>
              <w:rPr>
                <w:rFonts w:hint="eastAsia"/>
                <w:color w:val="auto"/>
                <w:highlight w:val="none"/>
                <w:lang w:val="en-US" w:eastAsia="zh-CN"/>
              </w:rPr>
              <w:t xml:space="preserve">    年  月  日至   年  月  日。</w:t>
            </w:r>
          </w:p>
        </w:tc>
      </w:tr>
      <w:tr>
        <w:tblPrEx>
          <w:tblW w:w="0" w:type="auto"/>
          <w:tblInd w:w="96" w:type="dxa"/>
          <w:tblLayout w:type="fixed"/>
          <w:tblCellMar>
            <w:top w:w="0" w:type="dxa"/>
            <w:left w:w="108" w:type="dxa"/>
            <w:bottom w:w="0" w:type="dxa"/>
            <w:right w:w="108" w:type="dxa"/>
          </w:tblCellMar>
        </w:tblPrEx>
        <w:trPr>
          <w:trHeight w:val="471"/>
        </w:trPr>
        <w:tc>
          <w:tcPr>
            <w:tcW w:w="655" w:type="dxa"/>
            <w:noWrap/>
            <w:vAlign w:val="center"/>
          </w:tcPr>
          <w:p>
            <w:pPr>
              <w:rPr>
                <w:rFonts w:eastAsiaTheme="minorEastAsia" w:hint="default"/>
                <w:color w:val="auto"/>
                <w:highlight w:val="none"/>
                <w:lang w:val="en-US" w:eastAsia="zh-CN"/>
              </w:rPr>
            </w:pPr>
            <w:r>
              <w:rPr>
                <w:rFonts w:hint="eastAsia"/>
                <w:color w:val="auto"/>
                <w:highlight w:val="none"/>
                <w:lang w:val="en-US" w:eastAsia="zh-CN"/>
              </w:rPr>
              <w:t>12</w:t>
            </w:r>
          </w:p>
        </w:tc>
        <w:tc>
          <w:tcPr>
            <w:tcW w:w="1909" w:type="dxa"/>
            <w:gridSpan w:val="2"/>
            <w:noWrap/>
            <w:vAlign w:val="center"/>
          </w:tcPr>
          <w:p>
            <w:pPr>
              <w:rPr>
                <w:rFonts w:eastAsiaTheme="minorEastAsia" w:hint="default"/>
                <w:color w:val="auto"/>
                <w:highlight w:val="none"/>
                <w:lang w:val="en-US" w:eastAsia="zh-CN"/>
              </w:rPr>
            </w:pPr>
            <w:r>
              <w:rPr>
                <w:rFonts w:hint="eastAsia"/>
                <w:color w:val="auto"/>
                <w:highlight w:val="none"/>
                <w:lang w:val="en-US" w:eastAsia="zh-CN"/>
              </w:rPr>
              <w:t>服务期</w:t>
            </w:r>
          </w:p>
        </w:tc>
        <w:tc>
          <w:tcPr>
            <w:tcW w:w="6379" w:type="dxa"/>
            <w:noWrap/>
            <w:vAlign w:val="center"/>
          </w:tcPr>
          <w:p>
            <w:pPr>
              <w:jc w:val="left"/>
              <w:rPr>
                <w:rFonts w:hint="eastAsia"/>
                <w:color w:val="auto"/>
                <w:highlight w:val="none"/>
                <w:lang w:val="en-US" w:eastAsia="zh-CN"/>
              </w:rPr>
            </w:pPr>
            <w:r>
              <w:rPr>
                <w:rFonts w:hint="eastAsia"/>
                <w:color w:val="auto"/>
                <w:highlight w:val="none"/>
                <w:lang w:val="en-US" w:eastAsia="zh-CN"/>
              </w:rPr>
              <w:t xml:space="preserve">    年  月  日至   年  月  日。</w:t>
            </w:r>
          </w:p>
        </w:tc>
      </w:tr>
      <w:tr>
        <w:tblPrEx>
          <w:tblW w:w="0" w:type="auto"/>
          <w:tblInd w:w="96" w:type="dxa"/>
          <w:tblLayout w:type="fixed"/>
          <w:tblCellMar>
            <w:top w:w="0" w:type="dxa"/>
            <w:left w:w="108" w:type="dxa"/>
            <w:bottom w:w="0" w:type="dxa"/>
            <w:right w:w="108" w:type="dxa"/>
          </w:tblCellMar>
        </w:tblPrEx>
        <w:trPr>
          <w:trHeight w:val="840"/>
        </w:trPr>
        <w:tc>
          <w:tcPr>
            <w:tcW w:w="655" w:type="dxa"/>
            <w:noWrap/>
            <w:vAlign w:val="center"/>
          </w:tcPr>
          <w:p>
            <w:pPr>
              <w:rPr>
                <w:rFonts w:eastAsiaTheme="minorEastAsia" w:hint="eastAsia"/>
                <w:color w:val="auto"/>
                <w:highlight w:val="none"/>
                <w:lang w:eastAsia="zh-CN"/>
              </w:rPr>
            </w:pPr>
            <w:r>
              <w:rPr>
                <w:rFonts w:hint="eastAsia"/>
                <w:color w:val="auto"/>
                <w:highlight w:val="none"/>
              </w:rPr>
              <w:t>1</w:t>
            </w:r>
            <w:r>
              <w:rPr>
                <w:rFonts w:hint="eastAsia"/>
                <w:color w:val="auto"/>
                <w:highlight w:val="none"/>
                <w:lang w:val="en-US" w:eastAsia="zh-CN"/>
              </w:rPr>
              <w:t>3</w:t>
            </w:r>
          </w:p>
        </w:tc>
        <w:tc>
          <w:tcPr>
            <w:tcW w:w="1909" w:type="dxa"/>
            <w:gridSpan w:val="2"/>
            <w:noWrap/>
            <w:vAlign w:val="center"/>
          </w:tcPr>
          <w:p>
            <w:pPr>
              <w:rPr>
                <w:color w:val="auto"/>
                <w:highlight w:val="none"/>
              </w:rPr>
            </w:pPr>
            <w:r>
              <w:rPr>
                <w:rFonts w:hint="eastAsia"/>
                <w:color w:val="auto"/>
                <w:highlight w:val="none"/>
              </w:rPr>
              <w:t>合同履约地点</w:t>
            </w:r>
          </w:p>
        </w:tc>
        <w:tc>
          <w:tcPr>
            <w:tcW w:w="6379" w:type="dxa"/>
            <w:noWrap/>
            <w:vAlign w:val="center"/>
          </w:tcPr>
          <w:p>
            <w:pPr>
              <w:jc w:val="left"/>
              <w:rPr>
                <w:rFonts w:eastAsiaTheme="minorEastAsia" w:hint="default"/>
                <w:color w:val="auto"/>
                <w:highlight w:val="none"/>
                <w:lang w:val="en-US" w:eastAsia="zh-CN"/>
              </w:rPr>
            </w:pPr>
            <w:r>
              <w:rPr>
                <w:rFonts w:hint="eastAsia"/>
                <w:snapToGrid w:val="0"/>
                <w:color w:val="auto"/>
                <w:highlight w:val="none"/>
                <w:lang w:val="en-US" w:eastAsia="zh-CN"/>
              </w:rPr>
              <w:t>远程运维</w:t>
            </w:r>
          </w:p>
        </w:tc>
      </w:tr>
      <w:tr>
        <w:tblPrEx>
          <w:tblW w:w="0" w:type="auto"/>
          <w:tblInd w:w="96" w:type="dxa"/>
          <w:tblLayout w:type="fixed"/>
          <w:tblCellMar>
            <w:top w:w="0" w:type="dxa"/>
            <w:left w:w="108" w:type="dxa"/>
            <w:bottom w:w="0" w:type="dxa"/>
            <w:right w:w="108" w:type="dxa"/>
          </w:tblCellMar>
        </w:tblPrEx>
        <w:trPr>
          <w:trHeight w:val="450"/>
        </w:trPr>
        <w:tc>
          <w:tcPr>
            <w:tcW w:w="655" w:type="dxa"/>
            <w:noWrap/>
            <w:vAlign w:val="center"/>
          </w:tcPr>
          <w:p>
            <w:pPr>
              <w:rPr>
                <w:rFonts w:eastAsiaTheme="minorEastAsia" w:hint="default"/>
                <w:color w:val="auto"/>
                <w:highlight w:val="none"/>
                <w:lang w:val="en-US" w:eastAsia="zh-CN"/>
              </w:rPr>
            </w:pPr>
            <w:r>
              <w:rPr>
                <w:rFonts w:hint="eastAsia"/>
                <w:color w:val="auto"/>
                <w:highlight w:val="none"/>
                <w:lang w:val="en-US" w:eastAsia="zh-CN"/>
              </w:rPr>
              <w:t>14</w:t>
            </w:r>
          </w:p>
        </w:tc>
        <w:tc>
          <w:tcPr>
            <w:tcW w:w="1909" w:type="dxa"/>
            <w:gridSpan w:val="2"/>
            <w:noWrap/>
            <w:vAlign w:val="center"/>
          </w:tcPr>
          <w:p>
            <w:pPr>
              <w:rPr>
                <w:color w:val="auto"/>
                <w:highlight w:val="none"/>
              </w:rPr>
            </w:pPr>
            <w:r>
              <w:rPr>
                <w:rFonts w:hint="eastAsia"/>
                <w:color w:val="auto"/>
                <w:highlight w:val="none"/>
              </w:rPr>
              <w:t>合同纠纷解决方式</w:t>
            </w:r>
          </w:p>
        </w:tc>
        <w:tc>
          <w:tcPr>
            <w:tcW w:w="6379" w:type="dxa"/>
            <w:noWrap/>
            <w:vAlign w:val="center"/>
          </w:tcPr>
          <w:p>
            <w:pPr>
              <w:jc w:val="left"/>
              <w:rPr>
                <w:color w:val="auto"/>
                <w:highlight w:val="none"/>
              </w:rPr>
            </w:pPr>
            <w:r>
              <w:rPr>
                <w:rFonts w:hint="eastAsia"/>
                <w:color w:val="auto"/>
                <w:highlight w:val="none"/>
              </w:rPr>
              <w:t>甲乙双方应首先通过友好协商解决在执行本合同中所发生的或与本合同有关的一切争端。如从协商开始</w:t>
            </w:r>
            <w:r>
              <w:rPr>
                <w:rFonts w:hint="eastAsia"/>
                <w:color w:val="auto"/>
                <w:highlight w:val="none"/>
                <w:u w:val="single"/>
              </w:rPr>
              <w:t>30</w:t>
            </w:r>
            <w:r>
              <w:rPr>
                <w:rFonts w:hint="eastAsia"/>
                <w:color w:val="auto"/>
                <w:highlight w:val="none"/>
              </w:rPr>
              <w:t>天内仍不能解决，可以选择以下途径之一解决纠纷：</w:t>
            </w:r>
          </w:p>
          <w:p>
            <w:pPr>
              <w:tabs>
                <w:tab w:val="left" w:pos="700"/>
              </w:tabs>
              <w:adjustRightInd w:val="0"/>
              <w:snapToGrid w:val="0"/>
              <w:spacing w:line="380" w:lineRule="exact"/>
              <w:jc w:val="both"/>
              <w:rPr>
                <w:color w:val="auto"/>
                <w:highlight w:val="none"/>
              </w:rPr>
            </w:pPr>
            <w:r>
              <w:rPr>
                <w:rFonts w:hint="eastAsia"/>
                <w:color w:val="auto"/>
                <w:highlight w:val="none"/>
              </w:rPr>
              <w:t>□</w:t>
            </w:r>
            <w:r>
              <w:rPr>
                <w:rFonts w:ascii="宋体" w:eastAsia="宋体" w:hAnsi="宋体" w:cs="Times New Roman"/>
                <w:color w:val="auto"/>
                <w:szCs w:val="21"/>
                <w:highlight w:val="none"/>
              </w:rPr>
              <w:t>向甲方所在地仲裁委员会申请仲裁</w:t>
            </w:r>
          </w:p>
          <w:p>
            <w:pPr>
              <w:jc w:val="left"/>
              <w:rPr>
                <w:color w:val="auto"/>
                <w:highlight w:val="none"/>
              </w:rPr>
            </w:pPr>
            <w:r>
              <w:rPr>
                <w:rFonts w:ascii="MS Mincho" w:eastAsia="MS Mincho" w:hAnsi="MS Mincho" w:cs="MS Mincho" w:hint="eastAsia"/>
                <w:color w:val="auto"/>
                <w:highlight w:val="none"/>
              </w:rPr>
              <w:t>☑</w:t>
            </w:r>
            <w:r>
              <w:rPr>
                <w:rFonts w:ascii="宋体" w:eastAsia="宋体" w:hAnsi="宋体" w:cs="宋体" w:hint="eastAsia"/>
                <w:color w:val="auto"/>
                <w:highlight w:val="none"/>
              </w:rPr>
              <w:t>向甲方所在地人民法院</w:t>
            </w:r>
            <w:r>
              <w:rPr>
                <w:rFonts w:hint="eastAsia"/>
                <w:color w:val="auto"/>
                <w:highlight w:val="none"/>
              </w:rPr>
              <w:t>提起诉讼</w:t>
            </w:r>
          </w:p>
        </w:tc>
      </w:tr>
    </w:tbl>
    <w:p>
      <w:pPr>
        <w:rPr>
          <w:color w:val="auto"/>
          <w:sz w:val="24"/>
          <w:highlight w:val="none"/>
        </w:rPr>
      </w:pPr>
      <w:r>
        <w:rPr>
          <w:rFonts w:hint="eastAsia"/>
          <w:color w:val="auto"/>
          <w:highlight w:val="none"/>
        </w:rPr>
        <w:br w:type="page"/>
      </w:r>
    </w:p>
    <w:p>
      <w:pPr>
        <w:rPr>
          <w:b/>
          <w:bCs w:val="0"/>
          <w:color w:val="auto"/>
          <w:sz w:val="28"/>
          <w:szCs w:val="28"/>
          <w:highlight w:val="none"/>
        </w:rPr>
      </w:pPr>
      <w:r>
        <w:rPr>
          <w:rFonts w:hint="eastAsia"/>
          <w:b/>
          <w:bCs w:val="0"/>
          <w:color w:val="auto"/>
          <w:sz w:val="28"/>
          <w:szCs w:val="28"/>
          <w:highlight w:val="none"/>
        </w:rPr>
        <w:t>一   合  同</w:t>
      </w:r>
    </w:p>
    <w:p>
      <w:pPr>
        <w:ind w:firstLine="420" w:firstLineChars="200"/>
        <w:jc w:val="left"/>
        <w:rPr>
          <w:color w:val="auto"/>
          <w:sz w:val="21"/>
          <w:szCs w:val="21"/>
          <w:highlight w:val="none"/>
        </w:rPr>
      </w:pPr>
      <w:r>
        <w:rPr>
          <w:rFonts w:hint="eastAsia"/>
          <w:color w:val="auto"/>
          <w:sz w:val="21"/>
          <w:szCs w:val="21"/>
          <w:highlight w:val="none"/>
        </w:rPr>
        <w:t>国家税务总局广西壮族自治区税务局（以下简称“甲方”）通过</w:t>
      </w:r>
      <w:r>
        <w:rPr>
          <w:rFonts w:hint="eastAsia"/>
          <w:color w:val="auto"/>
          <w:sz w:val="21"/>
          <w:szCs w:val="21"/>
          <w:highlight w:val="none"/>
          <w:u w:val="single"/>
        </w:rPr>
        <w:t xml:space="preserve"> 公开招标 方</w:t>
      </w:r>
      <w:r>
        <w:rPr>
          <w:rFonts w:hint="eastAsia"/>
          <w:color w:val="auto"/>
          <w:sz w:val="21"/>
          <w:szCs w:val="21"/>
          <w:highlight w:val="none"/>
        </w:rPr>
        <w:t>式采购，确定_____公司（以下简称“乙方”）为《</w:t>
      </w:r>
      <w:r>
        <w:rPr>
          <w:rFonts w:hint="eastAsia"/>
          <w:color w:val="auto"/>
          <w:sz w:val="21"/>
          <w:szCs w:val="21"/>
          <w:highlight w:val="none"/>
          <w:lang w:eastAsia="zh-CN"/>
        </w:rPr>
        <w:t>国家税务总局广西壮族自治区税务局金税工程运维服务管理平台2024年运维服务项目</w:t>
      </w:r>
      <w:r>
        <w:rPr>
          <w:rFonts w:hint="eastAsia"/>
          <w:color w:val="auto"/>
          <w:sz w:val="21"/>
          <w:szCs w:val="21"/>
          <w:highlight w:val="none"/>
        </w:rPr>
        <w:t>项目》中标（成交）供应商。甲乙双方同意按照该项目招标（采购）文件约定的内容，签署《</w:t>
      </w:r>
      <w:r>
        <w:rPr>
          <w:rFonts w:hint="eastAsia"/>
          <w:color w:val="auto"/>
          <w:sz w:val="21"/>
          <w:szCs w:val="21"/>
          <w:highlight w:val="none"/>
          <w:lang w:eastAsia="zh-CN"/>
        </w:rPr>
        <w:t>国家税务总局广西壮族自治区税务局金税工程运维服务管理平台2024年运维服务项目</w:t>
      </w:r>
      <w:r>
        <w:rPr>
          <w:rFonts w:hint="eastAsia"/>
          <w:color w:val="auto"/>
          <w:sz w:val="21"/>
          <w:szCs w:val="21"/>
          <w:highlight w:val="none"/>
        </w:rPr>
        <w:t>合同书》（合同编号：</w:t>
      </w:r>
      <w:r>
        <w:rPr>
          <w:rFonts w:hint="eastAsia"/>
          <w:color w:val="auto"/>
          <w:sz w:val="21"/>
          <w:szCs w:val="21"/>
          <w:highlight w:val="none"/>
          <w:u w:val="single"/>
        </w:rPr>
        <w:t xml:space="preserve">     </w:t>
      </w:r>
      <w:r>
        <w:rPr>
          <w:rFonts w:hint="eastAsia"/>
          <w:color w:val="auto"/>
          <w:sz w:val="21"/>
          <w:szCs w:val="21"/>
          <w:highlight w:val="none"/>
        </w:rPr>
        <w:t xml:space="preserve"> ，以下简称“合同”)。</w:t>
      </w:r>
    </w:p>
    <w:p>
      <w:pPr>
        <w:ind w:firstLine="420" w:firstLineChars="200"/>
        <w:jc w:val="left"/>
        <w:rPr>
          <w:color w:val="auto"/>
          <w:sz w:val="21"/>
          <w:szCs w:val="21"/>
          <w:highlight w:val="none"/>
        </w:rPr>
      </w:pPr>
      <w:r>
        <w:rPr>
          <w:rFonts w:hint="eastAsia"/>
          <w:color w:val="auto"/>
          <w:sz w:val="21"/>
          <w:szCs w:val="21"/>
          <w:highlight w:val="none"/>
        </w:rPr>
        <w:t>1.合同文件</w:t>
      </w:r>
    </w:p>
    <w:p>
      <w:pPr>
        <w:ind w:firstLine="420" w:firstLineChars="200"/>
        <w:jc w:val="left"/>
        <w:rPr>
          <w:color w:val="auto"/>
          <w:sz w:val="21"/>
          <w:szCs w:val="21"/>
          <w:highlight w:val="none"/>
        </w:rPr>
      </w:pPr>
      <w:r>
        <w:rPr>
          <w:rFonts w:hint="eastAsia"/>
          <w:color w:val="auto"/>
          <w:sz w:val="21"/>
          <w:szCs w:val="21"/>
          <w:highlight w:val="none"/>
        </w:rPr>
        <w:t>本合同所附下列文件是构成本合同不可分割的部分：</w:t>
      </w:r>
    </w:p>
    <w:p>
      <w:pPr>
        <w:ind w:firstLine="420" w:firstLineChars="200"/>
        <w:jc w:val="left"/>
        <w:rPr>
          <w:rFonts w:hint="eastAsia"/>
          <w:color w:val="auto"/>
          <w:sz w:val="21"/>
          <w:szCs w:val="21"/>
          <w:highlight w:val="none"/>
        </w:rPr>
      </w:pPr>
      <w:r>
        <w:rPr>
          <w:rFonts w:hint="eastAsia"/>
          <w:color w:val="auto"/>
          <w:sz w:val="21"/>
          <w:szCs w:val="21"/>
          <w:highlight w:val="none"/>
        </w:rPr>
        <w:t>（1）采购（项目）需求、招标（采购）文件规定的合同条款；</w:t>
      </w:r>
    </w:p>
    <w:p>
      <w:pPr>
        <w:ind w:firstLine="420" w:firstLineChars="200"/>
        <w:jc w:val="left"/>
        <w:rPr>
          <w:rFonts w:hint="eastAsia"/>
          <w:color w:val="auto"/>
          <w:sz w:val="21"/>
          <w:szCs w:val="21"/>
          <w:highlight w:val="none"/>
        </w:rPr>
      </w:pPr>
      <w:r>
        <w:rPr>
          <w:rFonts w:hint="eastAsia"/>
          <w:color w:val="auto"/>
          <w:sz w:val="21"/>
          <w:szCs w:val="21"/>
          <w:highlight w:val="none"/>
        </w:rPr>
        <w:t>（2）报价表（总报价表和分项报价表）；</w:t>
      </w:r>
    </w:p>
    <w:p>
      <w:pPr>
        <w:ind w:firstLine="420" w:firstLineChars="200"/>
        <w:jc w:val="left"/>
        <w:rPr>
          <w:rFonts w:hint="eastAsia"/>
          <w:color w:val="auto"/>
          <w:sz w:val="21"/>
          <w:szCs w:val="21"/>
          <w:highlight w:val="none"/>
        </w:rPr>
      </w:pPr>
      <w:r>
        <w:rPr>
          <w:rFonts w:hint="eastAsia"/>
          <w:color w:val="auto"/>
          <w:sz w:val="21"/>
          <w:szCs w:val="21"/>
          <w:highlight w:val="none"/>
        </w:rPr>
        <w:t>（3）投标文件技术部分和商务部分；</w:t>
      </w:r>
    </w:p>
    <w:p>
      <w:pPr>
        <w:ind w:firstLine="420" w:firstLineChars="200"/>
        <w:jc w:val="left"/>
        <w:rPr>
          <w:rFonts w:hint="eastAsia"/>
          <w:color w:val="auto"/>
          <w:sz w:val="21"/>
          <w:szCs w:val="21"/>
          <w:highlight w:val="none"/>
        </w:rPr>
      </w:pPr>
      <w:r>
        <w:rPr>
          <w:rFonts w:hint="eastAsia"/>
          <w:color w:val="auto"/>
          <w:sz w:val="21"/>
          <w:szCs w:val="21"/>
          <w:highlight w:val="none"/>
        </w:rPr>
        <w:t>（4）投标文件技术力量一览表</w:t>
      </w:r>
    </w:p>
    <w:p>
      <w:pPr>
        <w:ind w:firstLine="420" w:firstLineChars="200"/>
        <w:jc w:val="left"/>
        <w:rPr>
          <w:rFonts w:hint="eastAsia"/>
          <w:color w:val="auto"/>
          <w:sz w:val="21"/>
          <w:szCs w:val="21"/>
          <w:highlight w:val="none"/>
        </w:rPr>
      </w:pPr>
      <w:r>
        <w:rPr>
          <w:rFonts w:hint="eastAsia"/>
          <w:color w:val="auto"/>
          <w:sz w:val="21"/>
          <w:szCs w:val="21"/>
          <w:highlight w:val="none"/>
        </w:rPr>
        <w:t>（5）招标（采购）文件（另附）；</w:t>
      </w:r>
    </w:p>
    <w:p>
      <w:pPr>
        <w:ind w:firstLine="420" w:firstLineChars="200"/>
        <w:jc w:val="left"/>
        <w:rPr>
          <w:rFonts w:hint="eastAsia"/>
          <w:color w:val="auto"/>
          <w:sz w:val="21"/>
          <w:szCs w:val="21"/>
          <w:highlight w:val="none"/>
        </w:rPr>
      </w:pPr>
      <w:r>
        <w:rPr>
          <w:rFonts w:hint="eastAsia"/>
          <w:color w:val="auto"/>
          <w:sz w:val="21"/>
          <w:szCs w:val="21"/>
          <w:highlight w:val="none"/>
        </w:rPr>
        <w:t>（6）投标（响应）文件（另附）；</w:t>
      </w:r>
    </w:p>
    <w:p>
      <w:pPr>
        <w:ind w:firstLine="420" w:firstLineChars="200"/>
        <w:jc w:val="left"/>
        <w:rPr>
          <w:rFonts w:hint="eastAsia"/>
          <w:color w:val="auto"/>
          <w:sz w:val="21"/>
          <w:szCs w:val="21"/>
          <w:highlight w:val="none"/>
        </w:rPr>
      </w:pPr>
      <w:r>
        <w:rPr>
          <w:rFonts w:hint="eastAsia"/>
          <w:color w:val="auto"/>
          <w:sz w:val="21"/>
          <w:szCs w:val="21"/>
          <w:highlight w:val="none"/>
        </w:rPr>
        <w:t>（7）甲、乙双方商定确认后的补充协议；</w:t>
      </w:r>
    </w:p>
    <w:p>
      <w:pPr>
        <w:ind w:firstLine="420" w:firstLineChars="200"/>
        <w:jc w:val="left"/>
        <w:rPr>
          <w:rFonts w:hint="eastAsia"/>
          <w:color w:val="auto"/>
          <w:sz w:val="21"/>
          <w:szCs w:val="21"/>
          <w:highlight w:val="none"/>
        </w:rPr>
      </w:pPr>
      <w:r>
        <w:rPr>
          <w:rFonts w:hint="eastAsia"/>
          <w:color w:val="auto"/>
          <w:sz w:val="21"/>
          <w:szCs w:val="21"/>
          <w:highlight w:val="none"/>
        </w:rPr>
        <w:t>（8）其他(根据实际情况需要增加的内容)。</w:t>
      </w:r>
    </w:p>
    <w:p>
      <w:pPr>
        <w:ind w:firstLine="420" w:firstLineChars="200"/>
        <w:jc w:val="left"/>
        <w:rPr>
          <w:color w:val="auto"/>
          <w:sz w:val="21"/>
          <w:szCs w:val="21"/>
          <w:highlight w:val="none"/>
        </w:rPr>
      </w:pPr>
      <w:r>
        <w:rPr>
          <w:rFonts w:hint="eastAsia"/>
          <w:color w:val="auto"/>
          <w:sz w:val="21"/>
          <w:szCs w:val="21"/>
          <w:highlight w:val="none"/>
        </w:rPr>
        <w:t>2.合同范围和条件</w:t>
      </w:r>
    </w:p>
    <w:p>
      <w:pPr>
        <w:ind w:firstLine="420" w:firstLineChars="200"/>
        <w:jc w:val="left"/>
        <w:rPr>
          <w:color w:val="auto"/>
          <w:sz w:val="21"/>
          <w:szCs w:val="21"/>
          <w:highlight w:val="none"/>
        </w:rPr>
      </w:pPr>
      <w:r>
        <w:rPr>
          <w:rFonts w:hint="eastAsia"/>
          <w:color w:val="auto"/>
          <w:sz w:val="21"/>
          <w:szCs w:val="21"/>
          <w:highlight w:val="none"/>
        </w:rPr>
        <w:t>本合同的范围和条件应与上述合同文件的规定相一致。</w:t>
      </w:r>
    </w:p>
    <w:p>
      <w:pPr>
        <w:ind w:firstLine="420" w:firstLineChars="200"/>
        <w:jc w:val="left"/>
        <w:rPr>
          <w:color w:val="auto"/>
          <w:sz w:val="21"/>
          <w:szCs w:val="21"/>
          <w:highlight w:val="none"/>
        </w:rPr>
      </w:pPr>
      <w:r>
        <w:rPr>
          <w:rFonts w:hint="eastAsia"/>
          <w:color w:val="auto"/>
          <w:sz w:val="21"/>
          <w:szCs w:val="21"/>
          <w:highlight w:val="none"/>
        </w:rPr>
        <w:t>3.合同总金额</w:t>
      </w:r>
    </w:p>
    <w:p>
      <w:pPr>
        <w:ind w:firstLine="420" w:firstLineChars="200"/>
        <w:jc w:val="left"/>
        <w:rPr>
          <w:rFonts w:hint="eastAsia"/>
          <w:color w:val="auto"/>
          <w:sz w:val="21"/>
          <w:szCs w:val="21"/>
          <w:highlight w:val="none"/>
        </w:rPr>
      </w:pPr>
      <w:r>
        <w:rPr>
          <w:rFonts w:hint="eastAsia"/>
          <w:color w:val="auto"/>
          <w:sz w:val="21"/>
          <w:szCs w:val="21"/>
          <w:highlight w:val="none"/>
        </w:rPr>
        <w:t>本合同总金额为人民币</w:t>
      </w:r>
      <w:r>
        <w:rPr>
          <w:rFonts w:hint="eastAsia"/>
          <w:color w:val="auto"/>
          <w:highlight w:val="none"/>
          <w:lang w:eastAsia="zh-CN"/>
        </w:rPr>
        <w:t>（</w:t>
      </w:r>
      <w:r>
        <w:rPr>
          <w:rFonts w:hint="eastAsia"/>
          <w:color w:val="auto"/>
          <w:highlight w:val="none"/>
          <w:lang w:val="en-US" w:eastAsia="zh-CN"/>
        </w:rPr>
        <w:t>大写）</w:t>
      </w:r>
      <w:r>
        <w:rPr>
          <w:rFonts w:hint="eastAsia"/>
          <w:color w:val="auto"/>
          <w:sz w:val="21"/>
          <w:szCs w:val="21"/>
          <w:highlight w:val="none"/>
          <w:u w:val="single"/>
        </w:rPr>
        <w:t xml:space="preserve">          </w:t>
      </w:r>
      <w:r>
        <w:rPr>
          <w:rFonts w:hint="eastAsia"/>
          <w:color w:val="auto"/>
          <w:sz w:val="21"/>
          <w:szCs w:val="21"/>
          <w:highlight w:val="none"/>
        </w:rPr>
        <w:t>元整（¥</w:t>
      </w:r>
      <w:r>
        <w:rPr>
          <w:rFonts w:hint="eastAsia"/>
          <w:color w:val="auto"/>
          <w:sz w:val="21"/>
          <w:szCs w:val="21"/>
          <w:highlight w:val="none"/>
          <w:u w:val="single"/>
        </w:rPr>
        <w:t xml:space="preserve">       </w:t>
      </w:r>
      <w:r>
        <w:rPr>
          <w:rFonts w:hint="eastAsia"/>
          <w:color w:val="auto"/>
          <w:sz w:val="21"/>
          <w:szCs w:val="21"/>
          <w:highlight w:val="none"/>
        </w:rPr>
        <w:t>）。</w:t>
      </w:r>
    </w:p>
    <w:p>
      <w:pPr>
        <w:ind w:firstLine="420" w:firstLineChars="200"/>
        <w:jc w:val="left"/>
        <w:rPr>
          <w:color w:val="auto"/>
          <w:sz w:val="21"/>
          <w:szCs w:val="21"/>
          <w:highlight w:val="none"/>
        </w:rPr>
      </w:pPr>
      <w:r>
        <w:rPr>
          <w:rFonts w:hint="eastAsia"/>
          <w:color w:val="auto"/>
          <w:sz w:val="21"/>
          <w:szCs w:val="21"/>
          <w:highlight w:val="none"/>
        </w:rPr>
        <w:t>4.付款条件</w:t>
      </w:r>
    </w:p>
    <w:p>
      <w:pPr>
        <w:ind w:firstLine="420" w:firstLineChars="200"/>
        <w:jc w:val="left"/>
        <w:rPr>
          <w:rFonts w:hint="eastAsia"/>
          <w:color w:val="auto"/>
          <w:highlight w:val="none"/>
          <w:lang w:val="en-US" w:eastAsia="zh-CN"/>
        </w:rPr>
      </w:pPr>
      <w:r>
        <w:rPr>
          <w:rFonts w:hint="eastAsia"/>
          <w:color w:val="auto"/>
          <w:highlight w:val="none"/>
          <w:lang w:val="en-US" w:eastAsia="zh-CN"/>
        </w:rPr>
        <w:t>（1）第一次付款：在签订合同后且甲方收到发票10个工作日内，甲方向乙方支付合同总金额的50%。</w:t>
      </w:r>
    </w:p>
    <w:p>
      <w:pPr>
        <w:ind w:firstLine="420" w:firstLineChars="200"/>
        <w:jc w:val="left"/>
        <w:rPr>
          <w:rFonts w:hint="eastAsia"/>
          <w:color w:val="auto"/>
          <w:sz w:val="21"/>
          <w:szCs w:val="21"/>
          <w:highlight w:val="none"/>
        </w:rPr>
      </w:pPr>
      <w:r>
        <w:rPr>
          <w:rFonts w:hint="eastAsia"/>
          <w:color w:val="auto"/>
          <w:highlight w:val="none"/>
          <w:lang w:val="en-US" w:eastAsia="zh-CN"/>
        </w:rPr>
        <w:t>（2）在服务期满后，甲方对项目进行验收，并根据项目验收标准及合同罚责条款进行考核，按考核结果对合同服务费进行核算，在甲方收到发票后10个工作日内，甲方向乙方支付合同相应的剩余款项。</w:t>
      </w:r>
      <w:r>
        <w:rPr>
          <w:rFonts w:hint="eastAsia"/>
          <w:color w:val="auto"/>
          <w:sz w:val="21"/>
          <w:szCs w:val="21"/>
          <w:highlight w:val="none"/>
        </w:rPr>
        <w:t xml:space="preserve"> </w:t>
      </w:r>
    </w:p>
    <w:p>
      <w:pPr>
        <w:ind w:firstLine="420" w:firstLineChars="200"/>
        <w:jc w:val="left"/>
        <w:rPr>
          <w:color w:val="auto"/>
          <w:sz w:val="21"/>
          <w:szCs w:val="21"/>
          <w:highlight w:val="none"/>
        </w:rPr>
      </w:pPr>
      <w:r>
        <w:rPr>
          <w:rFonts w:hint="eastAsia"/>
          <w:color w:val="auto"/>
          <w:sz w:val="21"/>
          <w:szCs w:val="21"/>
          <w:highlight w:val="none"/>
          <w:lang w:val="en-US" w:eastAsia="zh-CN"/>
        </w:rPr>
        <w:t>甲方</w:t>
      </w:r>
      <w:r>
        <w:rPr>
          <w:rFonts w:hint="eastAsia"/>
          <w:color w:val="auto"/>
          <w:sz w:val="21"/>
          <w:szCs w:val="21"/>
          <w:highlight w:val="none"/>
        </w:rPr>
        <w:t>付款前，</w:t>
      </w:r>
      <w:r>
        <w:rPr>
          <w:rFonts w:hint="eastAsia"/>
          <w:color w:val="auto"/>
          <w:sz w:val="21"/>
          <w:szCs w:val="21"/>
          <w:highlight w:val="none"/>
          <w:lang w:val="en-US" w:eastAsia="zh-CN"/>
        </w:rPr>
        <w:t>乙方</w:t>
      </w:r>
      <w:r>
        <w:rPr>
          <w:rFonts w:hint="eastAsia"/>
          <w:color w:val="auto"/>
          <w:sz w:val="21"/>
          <w:szCs w:val="21"/>
          <w:highlight w:val="none"/>
        </w:rPr>
        <w:t>应向</w:t>
      </w:r>
      <w:r>
        <w:rPr>
          <w:rFonts w:hint="eastAsia"/>
          <w:color w:val="auto"/>
          <w:sz w:val="21"/>
          <w:szCs w:val="21"/>
          <w:highlight w:val="none"/>
          <w:lang w:val="en-US" w:eastAsia="zh-CN"/>
        </w:rPr>
        <w:t>甲方</w:t>
      </w:r>
      <w:r>
        <w:rPr>
          <w:rFonts w:hint="eastAsia"/>
          <w:color w:val="auto"/>
          <w:sz w:val="21"/>
          <w:szCs w:val="21"/>
          <w:highlight w:val="none"/>
        </w:rPr>
        <w:t>开具等额有效的增值税发票，</w:t>
      </w:r>
      <w:r>
        <w:rPr>
          <w:rFonts w:hint="eastAsia"/>
          <w:color w:val="auto"/>
          <w:sz w:val="21"/>
          <w:szCs w:val="21"/>
          <w:highlight w:val="none"/>
          <w:lang w:val="en-US" w:eastAsia="zh-CN"/>
        </w:rPr>
        <w:t>甲方</w:t>
      </w:r>
      <w:r>
        <w:rPr>
          <w:rFonts w:hint="eastAsia"/>
          <w:color w:val="auto"/>
          <w:sz w:val="21"/>
          <w:szCs w:val="21"/>
          <w:highlight w:val="none"/>
        </w:rPr>
        <w:t>未收到发票的，有权不予支付相应款项直至</w:t>
      </w:r>
      <w:r>
        <w:rPr>
          <w:rFonts w:hint="eastAsia"/>
          <w:color w:val="auto"/>
          <w:sz w:val="21"/>
          <w:szCs w:val="21"/>
          <w:highlight w:val="none"/>
          <w:lang w:val="en-US" w:eastAsia="zh-CN"/>
        </w:rPr>
        <w:t>乙方</w:t>
      </w:r>
      <w:r>
        <w:rPr>
          <w:rFonts w:hint="eastAsia"/>
          <w:color w:val="auto"/>
          <w:sz w:val="21"/>
          <w:szCs w:val="21"/>
          <w:highlight w:val="none"/>
        </w:rPr>
        <w:t xml:space="preserve">提供合格发票，并不承担延迟付款责任。 </w:t>
      </w:r>
    </w:p>
    <w:p>
      <w:pPr>
        <w:ind w:firstLine="420" w:firstLineChars="200"/>
        <w:jc w:val="left"/>
        <w:rPr>
          <w:color w:val="auto"/>
          <w:sz w:val="21"/>
          <w:szCs w:val="21"/>
          <w:highlight w:val="none"/>
        </w:rPr>
      </w:pPr>
      <w:r>
        <w:rPr>
          <w:rFonts w:hint="eastAsia"/>
          <w:color w:val="auto"/>
          <w:sz w:val="21"/>
          <w:szCs w:val="21"/>
          <w:highlight w:val="none"/>
        </w:rPr>
        <w:t>5.合同签订及生效</w:t>
      </w:r>
    </w:p>
    <w:p>
      <w:pPr>
        <w:pStyle w:val="1"/>
        <w:ind w:firstLine="420" w:firstLineChars="200"/>
        <w:jc w:val="left"/>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本合同一式</w:t>
      </w:r>
      <w:r>
        <w:rPr>
          <w:rFonts w:ascii="宋体" w:eastAsia="宋体" w:hAnsi="宋体" w:cs="宋体" w:hint="eastAsia"/>
          <w:color w:val="auto"/>
          <w:sz w:val="21"/>
          <w:szCs w:val="21"/>
          <w:highlight w:val="none"/>
          <w:u w:val="single"/>
        </w:rPr>
        <w:t>七</w:t>
      </w:r>
      <w:r>
        <w:rPr>
          <w:rFonts w:ascii="宋体" w:eastAsia="宋体" w:hAnsi="宋体" w:cs="宋体" w:hint="eastAsia"/>
          <w:color w:val="auto"/>
          <w:sz w:val="21"/>
          <w:szCs w:val="21"/>
          <w:highlight w:val="none"/>
        </w:rPr>
        <w:t>份，由甲乙双方法定代表人或被授权人签字并盖章后生效。</w:t>
      </w:r>
    </w:p>
    <w:p>
      <w:pPr>
        <w:pStyle w:val="1"/>
        <w:ind w:firstLine="420" w:firstLineChars="200"/>
        <w:jc w:val="left"/>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乙方由法定代表人签订合同的，应提供法定代表人身份证复印件；乙方由被授权人签订合同的，应提供授权委托书和法定代表人及被授权人身份证复印件。</w:t>
      </w:r>
    </w:p>
    <w:p>
      <w:pPr>
        <w:pStyle w:val="1"/>
        <w:jc w:val="left"/>
        <w:rPr>
          <w:rFonts w:ascii="宋体" w:eastAsia="宋体" w:hAnsi="宋体" w:cs="宋体" w:hint="eastAsia"/>
          <w:color w:val="auto"/>
          <w:sz w:val="21"/>
          <w:szCs w:val="21"/>
          <w:highlight w:val="none"/>
        </w:rPr>
      </w:pPr>
    </w:p>
    <w:p>
      <w:pPr>
        <w:ind w:firstLine="420" w:firstLineChars="200"/>
        <w:jc w:val="left"/>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甲方：国家税务总局广西壮族自治区税务局         乙方：</w:t>
      </w:r>
    </w:p>
    <w:p>
      <w:pPr>
        <w:ind w:firstLine="420" w:firstLineChars="200"/>
        <w:jc w:val="left"/>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签字：                                         签字：</w:t>
      </w:r>
    </w:p>
    <w:p>
      <w:pPr>
        <w:ind w:firstLine="420" w:firstLineChars="200"/>
        <w:jc w:val="left"/>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 xml:space="preserve">盖章：                                         盖章： </w:t>
      </w:r>
    </w:p>
    <w:p>
      <w:pPr>
        <w:ind w:firstLine="420" w:firstLineChars="200"/>
        <w:jc w:val="left"/>
        <w:rPr>
          <w:rFonts w:ascii="宋体" w:eastAsia="宋体" w:hAnsi="宋体" w:cs="宋体" w:hint="eastAsia"/>
          <w:color w:val="auto"/>
          <w:sz w:val="21"/>
          <w:szCs w:val="21"/>
          <w:highlight w:val="none"/>
        </w:rPr>
      </w:pPr>
      <w:r>
        <w:rPr>
          <w:rFonts w:ascii="宋体" w:eastAsia="宋体" w:hAnsi="宋体" w:cs="宋体" w:hint="eastAsia"/>
          <w:color w:val="auto"/>
          <w:sz w:val="21"/>
          <w:szCs w:val="21"/>
          <w:highlight w:val="none"/>
        </w:rPr>
        <w:t xml:space="preserve">日期：    年    月    日        </w:t>
      </w:r>
      <w:r>
        <w:rPr>
          <w:rFonts w:ascii="宋体" w:eastAsia="宋体" w:hAnsi="宋体" w:cs="宋体" w:hint="eastAsia"/>
          <w:color w:val="auto"/>
          <w:sz w:val="21"/>
          <w:szCs w:val="21"/>
          <w:highlight w:val="none"/>
          <w:lang w:val="en-US" w:eastAsia="zh-CN"/>
        </w:rPr>
        <w:t xml:space="preserve">        </w:t>
      </w:r>
      <w:r>
        <w:rPr>
          <w:rFonts w:ascii="宋体" w:eastAsia="宋体" w:hAnsi="宋体" w:cs="宋体" w:hint="eastAsia"/>
          <w:color w:val="auto"/>
          <w:sz w:val="21"/>
          <w:szCs w:val="21"/>
          <w:highlight w:val="none"/>
        </w:rPr>
        <w:t xml:space="preserve">       日期：     年   月   日</w:t>
      </w:r>
    </w:p>
    <w:p>
      <w:pPr>
        <w:jc w:val="center"/>
        <w:rPr>
          <w:b/>
          <w:bCs w:val="0"/>
          <w:color w:val="auto"/>
          <w:sz w:val="28"/>
          <w:szCs w:val="28"/>
          <w:highlight w:val="none"/>
        </w:rPr>
      </w:pPr>
      <w:r>
        <w:rPr>
          <w:rFonts w:ascii="宋体" w:eastAsia="宋体" w:hAnsi="宋体" w:cs="宋体" w:hint="eastAsia"/>
          <w:color w:val="auto"/>
          <w:sz w:val="21"/>
          <w:szCs w:val="21"/>
          <w:highlight w:val="none"/>
        </w:rPr>
        <w:br w:type="page"/>
      </w:r>
      <w:r>
        <w:rPr>
          <w:rFonts w:hint="eastAsia"/>
          <w:b/>
          <w:bCs w:val="0"/>
          <w:color w:val="auto"/>
          <w:sz w:val="28"/>
          <w:szCs w:val="28"/>
          <w:highlight w:val="none"/>
        </w:rPr>
        <w:t>二   合 同 通 用 条 款</w:t>
      </w:r>
    </w:p>
    <w:p>
      <w:pPr>
        <w:ind w:firstLine="420" w:firstLineChars="200"/>
        <w:jc w:val="left"/>
        <w:rPr>
          <w:b/>
          <w:bCs w:val="0"/>
          <w:color w:val="auto"/>
          <w:sz w:val="21"/>
          <w:szCs w:val="21"/>
          <w:highlight w:val="none"/>
        </w:rPr>
      </w:pPr>
      <w:r>
        <w:rPr>
          <w:rFonts w:hint="eastAsia"/>
          <w:b/>
          <w:bCs w:val="0"/>
          <w:color w:val="auto"/>
          <w:sz w:val="21"/>
          <w:szCs w:val="21"/>
          <w:highlight w:val="none"/>
        </w:rPr>
        <w:t>1. 定义</w:t>
      </w:r>
    </w:p>
    <w:p>
      <w:pPr>
        <w:ind w:firstLine="420" w:firstLineChars="200"/>
        <w:jc w:val="left"/>
        <w:rPr>
          <w:color w:val="auto"/>
          <w:sz w:val="21"/>
          <w:szCs w:val="21"/>
          <w:highlight w:val="none"/>
        </w:rPr>
      </w:pPr>
      <w:r>
        <w:rPr>
          <w:rFonts w:hint="eastAsia"/>
          <w:color w:val="auto"/>
          <w:sz w:val="21"/>
          <w:szCs w:val="21"/>
          <w:highlight w:val="none"/>
        </w:rPr>
        <w:t>本合同下列术语应解释为：</w:t>
      </w:r>
    </w:p>
    <w:p>
      <w:pPr>
        <w:ind w:firstLine="420" w:firstLineChars="200"/>
        <w:jc w:val="left"/>
        <w:rPr>
          <w:color w:val="auto"/>
          <w:sz w:val="21"/>
          <w:szCs w:val="21"/>
          <w:highlight w:val="none"/>
        </w:rPr>
      </w:pPr>
      <w:r>
        <w:rPr>
          <w:rFonts w:hint="eastAsia"/>
          <w:color w:val="auto"/>
          <w:sz w:val="21"/>
          <w:szCs w:val="21"/>
          <w:highlight w:val="none"/>
        </w:rPr>
        <w:t>1.1“甲方”是指国家税务总局广西壮族自治区税务局。</w:t>
      </w:r>
    </w:p>
    <w:p>
      <w:pPr>
        <w:ind w:firstLine="420" w:firstLineChars="200"/>
        <w:jc w:val="left"/>
        <w:rPr>
          <w:color w:val="auto"/>
          <w:sz w:val="21"/>
          <w:szCs w:val="21"/>
          <w:highlight w:val="none"/>
        </w:rPr>
      </w:pPr>
      <w:r>
        <w:rPr>
          <w:rFonts w:hint="eastAsia"/>
          <w:color w:val="auto"/>
          <w:sz w:val="21"/>
          <w:szCs w:val="21"/>
          <w:highlight w:val="none"/>
        </w:rPr>
        <w:t>1.1.1“甲方采购部门”见“合同条款前附表”第5项“甲方采购部门”。</w:t>
      </w:r>
    </w:p>
    <w:p>
      <w:pPr>
        <w:ind w:firstLine="420" w:firstLineChars="200"/>
        <w:jc w:val="left"/>
        <w:rPr>
          <w:color w:val="auto"/>
          <w:sz w:val="21"/>
          <w:szCs w:val="21"/>
          <w:highlight w:val="none"/>
        </w:rPr>
      </w:pPr>
      <w:r>
        <w:rPr>
          <w:rFonts w:hint="eastAsia"/>
          <w:color w:val="auto"/>
          <w:sz w:val="21"/>
          <w:szCs w:val="21"/>
          <w:highlight w:val="none"/>
        </w:rPr>
        <w:t>1.1.2“甲方需求部门”见“合同条款前附表”第5项“甲方需求部门”。</w:t>
      </w:r>
    </w:p>
    <w:p>
      <w:pPr>
        <w:ind w:firstLine="420" w:firstLineChars="200"/>
        <w:jc w:val="left"/>
        <w:rPr>
          <w:color w:val="auto"/>
          <w:sz w:val="21"/>
          <w:szCs w:val="21"/>
          <w:highlight w:val="none"/>
        </w:rPr>
      </w:pPr>
      <w:r>
        <w:rPr>
          <w:rFonts w:hint="eastAsia"/>
          <w:color w:val="auto"/>
          <w:sz w:val="21"/>
          <w:szCs w:val="21"/>
          <w:highlight w:val="none"/>
        </w:rPr>
        <w:t>1.2“乙方”见“合同条款前附表”第6项“乙方名称”。</w:t>
      </w:r>
    </w:p>
    <w:p>
      <w:pPr>
        <w:ind w:firstLine="420" w:firstLineChars="200"/>
        <w:jc w:val="left"/>
        <w:rPr>
          <w:color w:val="auto"/>
          <w:sz w:val="21"/>
          <w:szCs w:val="21"/>
          <w:highlight w:val="none"/>
        </w:rPr>
      </w:pPr>
      <w:r>
        <w:rPr>
          <w:rFonts w:hint="eastAsia"/>
          <w:color w:val="auto"/>
          <w:sz w:val="21"/>
          <w:szCs w:val="21"/>
          <w:highlight w:val="none"/>
        </w:rPr>
        <w:t>1.3 “合同”系指甲乙双方签订的、合同格式中载明的甲乙双方所达成的协议，包括所有的附件、附录和上述文件所提到的构成合同的所有文件。</w:t>
      </w:r>
    </w:p>
    <w:p>
      <w:pPr>
        <w:ind w:firstLine="420" w:firstLineChars="200"/>
        <w:jc w:val="left"/>
        <w:rPr>
          <w:rFonts w:hint="eastAsia"/>
          <w:color w:val="auto"/>
          <w:sz w:val="21"/>
          <w:szCs w:val="21"/>
          <w:highlight w:val="none"/>
        </w:rPr>
      </w:pPr>
      <w:r>
        <w:rPr>
          <w:rFonts w:hint="eastAsia"/>
          <w:color w:val="auto"/>
          <w:sz w:val="21"/>
          <w:szCs w:val="21"/>
          <w:highlight w:val="none"/>
        </w:rPr>
        <w:t>1.4　“服务”是指乙方按照招标(采购)、投标(响应)文件要求，向采购人提供的技术支持服务。</w:t>
      </w:r>
    </w:p>
    <w:p>
      <w:pPr>
        <w:ind w:firstLine="420" w:firstLineChars="200"/>
        <w:jc w:val="left"/>
        <w:rPr>
          <w:rFonts w:hint="eastAsia"/>
          <w:color w:val="auto"/>
          <w:sz w:val="21"/>
          <w:szCs w:val="21"/>
          <w:highlight w:val="none"/>
        </w:rPr>
      </w:pPr>
      <w:r>
        <w:rPr>
          <w:rFonts w:hint="eastAsia"/>
          <w:color w:val="auto"/>
          <w:sz w:val="21"/>
          <w:szCs w:val="21"/>
          <w:highlight w:val="none"/>
        </w:rPr>
        <w:t>1.5　“项目现场”是指甲方指定的最终服务地点。</w:t>
      </w:r>
    </w:p>
    <w:p>
      <w:pPr>
        <w:ind w:firstLine="420" w:firstLineChars="200"/>
        <w:jc w:val="left"/>
        <w:rPr>
          <w:color w:val="auto"/>
          <w:sz w:val="21"/>
          <w:szCs w:val="21"/>
          <w:highlight w:val="none"/>
        </w:rPr>
      </w:pPr>
      <w:r>
        <w:rPr>
          <w:rFonts w:hint="eastAsia"/>
          <w:color w:val="auto"/>
          <w:sz w:val="21"/>
          <w:szCs w:val="21"/>
          <w:highlight w:val="none"/>
        </w:rPr>
        <w:t>1.6“天”除非特别指出，“天”均为自然天。</w:t>
      </w:r>
    </w:p>
    <w:p>
      <w:pPr>
        <w:ind w:firstLine="420" w:firstLineChars="200"/>
        <w:jc w:val="left"/>
        <w:rPr>
          <w:color w:val="auto"/>
          <w:sz w:val="21"/>
          <w:szCs w:val="21"/>
          <w:highlight w:val="none"/>
        </w:rPr>
      </w:pPr>
      <w:r>
        <w:rPr>
          <w:rFonts w:hint="eastAsia"/>
          <w:b/>
          <w:bCs w:val="0"/>
          <w:color w:val="auto"/>
          <w:sz w:val="21"/>
          <w:szCs w:val="21"/>
          <w:highlight w:val="none"/>
        </w:rPr>
        <w:t xml:space="preserve">2. </w:t>
      </w:r>
      <w:r>
        <w:rPr>
          <w:rFonts w:ascii="Times New Roman" w:eastAsia="宋体" w:hAnsi="Times New Roman" w:cs="宋体" w:hint="eastAsia"/>
          <w:b/>
          <w:color w:val="auto"/>
          <w:szCs w:val="21"/>
          <w:highlight w:val="none"/>
        </w:rPr>
        <w:t>服务内容和服务标准</w:t>
      </w:r>
    </w:p>
    <w:p>
      <w:pPr>
        <w:ind w:firstLine="420" w:firstLineChars="200"/>
        <w:jc w:val="left"/>
        <w:rPr>
          <w:color w:val="auto"/>
          <w:sz w:val="21"/>
          <w:szCs w:val="21"/>
          <w:highlight w:val="none"/>
        </w:rPr>
      </w:pPr>
      <w:r>
        <w:rPr>
          <w:rFonts w:hint="eastAsia"/>
          <w:color w:val="auto"/>
          <w:sz w:val="21"/>
          <w:szCs w:val="21"/>
          <w:highlight w:val="none"/>
        </w:rPr>
        <w:t xml:space="preserve">2.1 </w:t>
      </w:r>
      <w:r>
        <w:rPr>
          <w:rFonts w:ascii="Calibri" w:eastAsia="宋体" w:hAnsi="Calibri" w:cs="宋体" w:hint="eastAsia"/>
          <w:color w:val="auto"/>
          <w:highlight w:val="none"/>
          <w:lang w:bidi="ar"/>
        </w:rPr>
        <w:t>服务标准：</w:t>
      </w:r>
      <w:r>
        <w:rPr>
          <w:rFonts w:ascii="Times New Roman" w:eastAsia="宋体" w:hAnsi="Times New Roman" w:cs="宋体" w:hint="eastAsia"/>
          <w:color w:val="auto"/>
          <w:szCs w:val="21"/>
          <w:highlight w:val="none"/>
          <w:lang w:bidi="ar"/>
        </w:rPr>
        <w:t>乙方为甲方交付或提供的服务应符合招标（采购）文件所述的标准，如果没有提及适用标准，则应符合相应的国家标准。这些标准必须是有关机构发布的最新版本的标准。</w:t>
      </w:r>
    </w:p>
    <w:p>
      <w:pPr>
        <w:ind w:firstLine="420" w:firstLineChars="200"/>
        <w:jc w:val="left"/>
        <w:rPr>
          <w:color w:val="auto"/>
          <w:sz w:val="21"/>
          <w:szCs w:val="21"/>
          <w:highlight w:val="none"/>
        </w:rPr>
      </w:pPr>
      <w:r>
        <w:rPr>
          <w:rFonts w:hint="eastAsia"/>
          <w:color w:val="auto"/>
          <w:sz w:val="21"/>
          <w:szCs w:val="21"/>
          <w:highlight w:val="none"/>
        </w:rPr>
        <w:t>2.2 除非技术要求中另有规定，计量单位均采用中华人民共和国法定计量单位。</w:t>
      </w:r>
    </w:p>
    <w:p>
      <w:pPr>
        <w:ind w:firstLine="420" w:firstLineChars="200"/>
        <w:jc w:val="left"/>
        <w:rPr>
          <w:b/>
          <w:bCs w:val="0"/>
          <w:color w:val="auto"/>
          <w:sz w:val="21"/>
          <w:szCs w:val="21"/>
          <w:highlight w:val="none"/>
        </w:rPr>
      </w:pPr>
      <w:r>
        <w:rPr>
          <w:rFonts w:hint="eastAsia"/>
          <w:b/>
          <w:bCs w:val="0"/>
          <w:color w:val="auto"/>
          <w:sz w:val="21"/>
          <w:szCs w:val="21"/>
          <w:highlight w:val="none"/>
        </w:rPr>
        <w:t>3. 服务</w:t>
      </w:r>
    </w:p>
    <w:p>
      <w:pPr>
        <w:ind w:firstLine="420" w:firstLineChars="200"/>
        <w:jc w:val="left"/>
        <w:rPr>
          <w:color w:val="auto"/>
          <w:sz w:val="21"/>
          <w:szCs w:val="21"/>
          <w:highlight w:val="none"/>
        </w:rPr>
      </w:pPr>
      <w:r>
        <w:rPr>
          <w:rFonts w:hint="eastAsia"/>
          <w:color w:val="auto"/>
          <w:sz w:val="21"/>
          <w:szCs w:val="21"/>
          <w:highlight w:val="none"/>
        </w:rPr>
        <w:t>3.1 本项目的“服务</w:t>
      </w:r>
      <w:r>
        <w:rPr>
          <w:rFonts w:ascii="Times New Roman" w:eastAsia="宋体" w:hAnsi="Times New Roman" w:cs="宋体" w:hint="eastAsia"/>
          <w:bCs/>
          <w:color w:val="auto"/>
          <w:szCs w:val="21"/>
          <w:highlight w:val="none"/>
          <w:lang w:bidi="ar"/>
        </w:rPr>
        <w:t>内容</w:t>
      </w:r>
      <w:r>
        <w:rPr>
          <w:rFonts w:hint="eastAsia"/>
          <w:color w:val="auto"/>
          <w:sz w:val="21"/>
          <w:szCs w:val="21"/>
          <w:highlight w:val="none"/>
        </w:rPr>
        <w:t>”见“合同条款前附表”第8项“服务内容”。</w:t>
      </w:r>
    </w:p>
    <w:p>
      <w:pPr>
        <w:pStyle w:val="a"/>
        <w:spacing w:line="440" w:lineRule="exact"/>
        <w:ind w:firstLine="407" w:firstLineChars="194"/>
        <w:jc w:val="left"/>
        <w:rPr>
          <w:rFonts w:cstheme="minorEastAsia"/>
          <w:color w:val="auto"/>
          <w:kern w:val="2"/>
          <w:sz w:val="21"/>
          <w:szCs w:val="21"/>
          <w:highlight w:val="none"/>
        </w:rPr>
      </w:pPr>
      <w:r>
        <w:rPr>
          <w:rFonts w:ascii="Times New Roman" w:eastAsia="宋体" w:hAnsi="Times New Roman" w:cs="宋体" w:hint="eastAsia"/>
          <w:bCs/>
          <w:color w:val="auto"/>
          <w:szCs w:val="21"/>
          <w:highlight w:val="none"/>
          <w:lang w:val="en-US" w:eastAsia="zh-CN" w:bidi="ar"/>
        </w:rPr>
        <w:t xml:space="preserve">3.2 </w:t>
      </w:r>
      <w:r>
        <w:rPr>
          <w:rFonts w:ascii="Times New Roman" w:eastAsia="宋体" w:hAnsi="Times New Roman" w:cs="宋体" w:hint="eastAsia"/>
          <w:bCs/>
          <w:color w:val="auto"/>
          <w:szCs w:val="21"/>
          <w:highlight w:val="none"/>
          <w:lang w:bidi="ar"/>
        </w:rPr>
        <w:t>拟投入本项目的人员</w:t>
      </w:r>
      <w:r>
        <w:rPr>
          <w:rFonts w:ascii="Times New Roman" w:eastAsia="宋体" w:hAnsi="Times New Roman" w:cs="宋体" w:hint="eastAsia"/>
          <w:bCs/>
          <w:color w:val="auto"/>
          <w:szCs w:val="21"/>
          <w:highlight w:val="none"/>
          <w:lang w:eastAsia="zh-CN" w:bidi="ar"/>
        </w:rPr>
        <w:t>应当是乙方正式人员，</w:t>
      </w:r>
      <w:r>
        <w:rPr>
          <w:rFonts w:ascii="Times New Roman" w:eastAsia="宋体" w:hAnsi="Times New Roman" w:cs="Calibri"/>
          <w:color w:val="auto"/>
          <w:szCs w:val="21"/>
          <w:highlight w:val="none"/>
        </w:rPr>
        <w:t>或者是与</w:t>
      </w:r>
      <w:r>
        <w:rPr>
          <w:rFonts w:ascii="Times New Roman" w:eastAsia="宋体" w:hAnsi="Times New Roman" w:cs="Calibri" w:hint="eastAsia"/>
          <w:color w:val="auto"/>
          <w:szCs w:val="21"/>
          <w:highlight w:val="none"/>
          <w:lang w:eastAsia="zh-CN"/>
        </w:rPr>
        <w:t>乙方</w:t>
      </w:r>
      <w:r>
        <w:rPr>
          <w:rFonts w:ascii="Times New Roman" w:eastAsia="宋体" w:hAnsi="Times New Roman" w:cs="Calibri"/>
          <w:color w:val="auto"/>
          <w:szCs w:val="21"/>
          <w:highlight w:val="none"/>
        </w:rPr>
        <w:t>签订1年以上劳动合同且实际工作满1年的人员</w:t>
      </w:r>
      <w:r>
        <w:rPr>
          <w:rFonts w:ascii="Times New Roman" w:eastAsia="宋体" w:hAnsi="Times New Roman" w:cs="Calibri" w:hint="eastAsia"/>
          <w:color w:val="auto"/>
          <w:szCs w:val="21"/>
          <w:highlight w:val="none"/>
          <w:lang w:eastAsia="zh-CN"/>
        </w:rPr>
        <w:t>，常驻外包运维人员应当为技术骨干</w:t>
      </w:r>
      <w:r>
        <w:rPr>
          <w:rFonts w:ascii="Times New Roman" w:eastAsia="宋体" w:hAnsi="Times New Roman" w:cs="宋体" w:hint="eastAsia"/>
          <w:bCs/>
          <w:color w:val="auto"/>
          <w:szCs w:val="21"/>
          <w:highlight w:val="none"/>
          <w:lang w:bidi="ar"/>
        </w:rPr>
        <w:t>。</w:t>
      </w:r>
    </w:p>
    <w:p>
      <w:pPr>
        <w:ind w:firstLine="420" w:firstLineChars="200"/>
        <w:jc w:val="left"/>
        <w:rPr>
          <w:rFonts w:hint="eastAsia"/>
          <w:color w:val="auto"/>
          <w:sz w:val="21"/>
          <w:szCs w:val="21"/>
          <w:highlight w:val="none"/>
        </w:rPr>
      </w:pPr>
      <w:r>
        <w:rPr>
          <w:rFonts w:hint="eastAsia"/>
          <w:color w:val="auto"/>
          <w:sz w:val="21"/>
          <w:szCs w:val="21"/>
          <w:highlight w:val="none"/>
        </w:rPr>
        <w:t>3.3  拟投入本项目的人员已进驻其他项目致使无法参与本项目实施的，乙方应当征得甲方同意后，派遣等于或优于拟投入人员水平和资质的其他人员参与本项目。</w:t>
      </w:r>
    </w:p>
    <w:p>
      <w:pPr>
        <w:ind w:firstLine="420" w:firstLineChars="200"/>
        <w:jc w:val="left"/>
        <w:rPr>
          <w:rFonts w:hint="eastAsia"/>
          <w:color w:val="auto"/>
          <w:sz w:val="21"/>
          <w:szCs w:val="21"/>
          <w:highlight w:val="none"/>
        </w:rPr>
      </w:pPr>
      <w:r>
        <w:rPr>
          <w:rFonts w:hint="eastAsia"/>
          <w:color w:val="auto"/>
          <w:sz w:val="21"/>
          <w:szCs w:val="21"/>
          <w:highlight w:val="none"/>
        </w:rPr>
        <w:t>3.4乙方应保证所提供的服务符合合同规定的技术要求。如不符时，乙方应负全责并尽快处理解决，由此造成的损失和相关费用由乙方负责，甲方保留终止合同及索赔的权利。</w:t>
      </w:r>
    </w:p>
    <w:p>
      <w:pPr>
        <w:ind w:firstLine="420" w:firstLineChars="200"/>
        <w:jc w:val="left"/>
        <w:rPr>
          <w:rFonts w:hint="eastAsia"/>
          <w:color w:val="auto"/>
          <w:sz w:val="21"/>
          <w:szCs w:val="21"/>
          <w:highlight w:val="none"/>
        </w:rPr>
      </w:pPr>
      <w:r>
        <w:rPr>
          <w:rFonts w:hint="eastAsia"/>
          <w:color w:val="auto"/>
          <w:sz w:val="21"/>
          <w:szCs w:val="21"/>
          <w:highlight w:val="none"/>
        </w:rPr>
        <w:t>3.5乙方应保证通过执行合同中全部方案后，可以取得本合同约定的结果，达到本合同约定的预期目标。对任何情况下出现的问题，应尽快提出解决方案。</w:t>
      </w:r>
    </w:p>
    <w:p>
      <w:pPr>
        <w:ind w:firstLine="420" w:firstLineChars="200"/>
        <w:jc w:val="left"/>
        <w:rPr>
          <w:rFonts w:hint="eastAsia"/>
          <w:color w:val="auto"/>
          <w:sz w:val="21"/>
          <w:szCs w:val="21"/>
          <w:highlight w:val="none"/>
        </w:rPr>
      </w:pPr>
      <w:r>
        <w:rPr>
          <w:rFonts w:hint="eastAsia"/>
          <w:color w:val="auto"/>
          <w:sz w:val="21"/>
          <w:szCs w:val="21"/>
          <w:highlight w:val="none"/>
        </w:rPr>
        <w:t>3.6如果乙方提供的服务和解决方案不符合甲方要求，或在规定的时间内没有弥补缺陷，甲方有权采取一切必要的补救措施，由此产生的费用全部由乙方负责。</w:t>
      </w:r>
    </w:p>
    <w:p>
      <w:pPr>
        <w:ind w:firstLine="420" w:firstLineChars="200"/>
        <w:jc w:val="left"/>
        <w:rPr>
          <w:color w:val="auto"/>
          <w:sz w:val="21"/>
          <w:szCs w:val="21"/>
          <w:highlight w:val="none"/>
        </w:rPr>
      </w:pPr>
      <w:r>
        <w:rPr>
          <w:rFonts w:hint="eastAsia"/>
          <w:color w:val="auto"/>
          <w:sz w:val="21"/>
          <w:szCs w:val="21"/>
          <w:highlight w:val="none"/>
        </w:rPr>
        <w:t>3.7除合同条款另行规定外，伴随服务的费用应含在合同价中，不单独进行支付。</w:t>
      </w:r>
    </w:p>
    <w:p>
      <w:pPr>
        <w:ind w:firstLine="420" w:firstLineChars="200"/>
        <w:jc w:val="left"/>
        <w:rPr>
          <w:b/>
          <w:bCs w:val="0"/>
          <w:color w:val="auto"/>
          <w:sz w:val="21"/>
          <w:szCs w:val="21"/>
          <w:highlight w:val="none"/>
        </w:rPr>
      </w:pPr>
      <w:r>
        <w:rPr>
          <w:rFonts w:hint="eastAsia"/>
          <w:b/>
          <w:bCs w:val="0"/>
          <w:color w:val="auto"/>
          <w:sz w:val="21"/>
          <w:szCs w:val="21"/>
          <w:highlight w:val="none"/>
        </w:rPr>
        <w:t>4. 知识产权</w:t>
      </w:r>
    </w:p>
    <w:p>
      <w:pPr>
        <w:ind w:firstLine="420" w:firstLineChars="200"/>
        <w:jc w:val="left"/>
        <w:rPr>
          <w:color w:val="auto"/>
          <w:sz w:val="21"/>
          <w:szCs w:val="21"/>
          <w:highlight w:val="none"/>
        </w:rPr>
      </w:pPr>
      <w:r>
        <w:rPr>
          <w:rFonts w:hint="eastAsia"/>
          <w:color w:val="auto"/>
          <w:sz w:val="21"/>
          <w:szCs w:val="21"/>
          <w:highlight w:val="none"/>
        </w:rPr>
        <w:t xml:space="preserve">4.1 </w:t>
      </w:r>
      <w:r>
        <w:rPr>
          <w:rFonts w:ascii="Times New Roman" w:eastAsia="宋体" w:hAnsi="Times New Roman" w:cs="宋体" w:hint="eastAsia"/>
          <w:color w:val="auto"/>
          <w:szCs w:val="21"/>
          <w:highlight w:val="none"/>
          <w:lang w:bidi="ar"/>
        </w:rPr>
        <w:t>乙方应保证所提供的服务免受第三方提出侵犯其知识产权（专利权、商标权、软件著作权、版权等）的起诉。</w:t>
      </w:r>
      <w:r>
        <w:rPr>
          <w:rFonts w:ascii="Times New Roman" w:eastAsia="宋体" w:hAnsi="Times New Roman" w:cs="宋体" w:hint="eastAsia"/>
          <w:color w:val="auto"/>
          <w:highlight w:val="none"/>
          <w:lang w:bidi="ar"/>
        </w:rPr>
        <w:t>因侵害他人知识产权而产生的法律责任</w:t>
      </w:r>
      <w:r>
        <w:rPr>
          <w:rFonts w:ascii="宋体" w:eastAsia="宋体" w:hAnsi="宋体" w:cs="宋体" w:hint="eastAsia"/>
          <w:color w:val="auto"/>
          <w:highlight w:val="none"/>
          <w:lang w:bidi="ar"/>
        </w:rPr>
        <w:t>，</w:t>
      </w:r>
      <w:r>
        <w:rPr>
          <w:rFonts w:ascii="Times New Roman" w:eastAsia="宋体" w:hAnsi="Times New Roman" w:cs="宋体" w:hint="eastAsia"/>
          <w:color w:val="auto"/>
          <w:highlight w:val="none"/>
          <w:lang w:bidi="ar"/>
        </w:rPr>
        <w:t>全部由乙方承担。</w:t>
      </w:r>
    </w:p>
    <w:p>
      <w:pPr>
        <w:ind w:firstLine="420" w:firstLineChars="200"/>
        <w:jc w:val="left"/>
        <w:rPr>
          <w:rFonts w:hint="eastAsia"/>
          <w:color w:val="auto"/>
          <w:sz w:val="21"/>
          <w:szCs w:val="21"/>
          <w:highlight w:val="none"/>
        </w:rPr>
      </w:pPr>
      <w:r>
        <w:rPr>
          <w:rFonts w:hint="eastAsia"/>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ind w:firstLine="420" w:firstLineChars="200"/>
        <w:jc w:val="left"/>
        <w:rPr>
          <w:rFonts w:hint="eastAsia"/>
          <w:color w:val="auto"/>
          <w:sz w:val="21"/>
          <w:szCs w:val="21"/>
          <w:highlight w:val="none"/>
        </w:rPr>
      </w:pPr>
      <w:r>
        <w:rPr>
          <w:rFonts w:hint="eastAsia"/>
          <w:color w:val="auto"/>
          <w:sz w:val="21"/>
          <w:szCs w:val="21"/>
          <w:highlight w:val="none"/>
        </w:rPr>
        <w:t>4.3 乙方不得利用本项目实施过程中所产生的成果（包括发明、发现、可运行系统、源代码及相关技术资料、文档等），另行自行开发本合同业务范围内供纳税人缴费人使用的软件或产品，不得利用开发便利变相收费或搭车收费。</w:t>
      </w:r>
    </w:p>
    <w:p>
      <w:pPr>
        <w:ind w:firstLine="420" w:firstLineChars="200"/>
        <w:jc w:val="left"/>
        <w:rPr>
          <w:rFonts w:hint="eastAsia"/>
          <w:color w:val="auto"/>
          <w:sz w:val="21"/>
          <w:szCs w:val="21"/>
          <w:highlight w:val="none"/>
        </w:rPr>
      </w:pPr>
      <w:r>
        <w:rPr>
          <w:rFonts w:hint="eastAsia"/>
          <w:color w:val="auto"/>
          <w:sz w:val="21"/>
          <w:szCs w:val="21"/>
          <w:highlight w:val="none"/>
        </w:rPr>
        <w:t>4.4　甲方委托乙方开发的产品，甲方享有知识产权，未经甲方许可不得转让任何第三人。</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5. 保密条款</w:t>
      </w:r>
    </w:p>
    <w:p>
      <w:pPr>
        <w:ind w:firstLine="420" w:firstLineChars="200"/>
        <w:jc w:val="left"/>
        <w:rPr>
          <w:rFonts w:hint="eastAsia"/>
          <w:color w:val="auto"/>
          <w:sz w:val="21"/>
          <w:szCs w:val="21"/>
          <w:highlight w:val="none"/>
        </w:rPr>
      </w:pPr>
      <w:r>
        <w:rPr>
          <w:rFonts w:hint="eastAsia"/>
          <w:color w:val="auto"/>
          <w:sz w:val="21"/>
          <w:szCs w:val="21"/>
          <w:highlight w:val="none"/>
        </w:rPr>
        <w:t>5.1 甲乙双方应对在本合同签订或履行过程中所接触的对方信息，包括但不限于知识产权、技术资料、技术诀窍、内部管理及其他相关信息，负有保密义务。</w:t>
      </w:r>
    </w:p>
    <w:p>
      <w:pPr>
        <w:ind w:firstLine="420" w:firstLineChars="200"/>
        <w:jc w:val="left"/>
        <w:rPr>
          <w:rFonts w:hint="eastAsia"/>
          <w:color w:val="auto"/>
          <w:sz w:val="21"/>
          <w:szCs w:val="21"/>
          <w:highlight w:val="none"/>
        </w:rPr>
      </w:pPr>
      <w:r>
        <w:rPr>
          <w:rFonts w:hint="eastAsia"/>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ind w:firstLine="210" w:firstLineChars="100"/>
        <w:jc w:val="left"/>
        <w:rPr>
          <w:rFonts w:hint="eastAsia"/>
          <w:color w:val="auto"/>
          <w:sz w:val="21"/>
          <w:szCs w:val="21"/>
          <w:highlight w:val="none"/>
        </w:rPr>
      </w:pPr>
      <w:r>
        <w:rPr>
          <w:rFonts w:hint="eastAsia"/>
          <w:color w:val="auto"/>
          <w:sz w:val="21"/>
          <w:szCs w:val="21"/>
          <w:highlight w:val="none"/>
        </w:rPr>
        <w:t>（1）应以审慎态度避免泄漏、公开或传播甲方的信息；</w:t>
      </w:r>
    </w:p>
    <w:p>
      <w:pPr>
        <w:ind w:firstLine="210" w:firstLineChars="100"/>
        <w:jc w:val="left"/>
        <w:rPr>
          <w:rFonts w:hint="eastAsia"/>
          <w:color w:val="auto"/>
          <w:sz w:val="21"/>
          <w:szCs w:val="21"/>
          <w:highlight w:val="none"/>
        </w:rPr>
      </w:pPr>
      <w:r>
        <w:rPr>
          <w:rFonts w:hint="eastAsia"/>
          <w:color w:val="auto"/>
          <w:sz w:val="21"/>
          <w:szCs w:val="21"/>
          <w:highlight w:val="none"/>
        </w:rPr>
        <w:t>（2）在开发过程中对数据的处理方式应事先得到甲方的许可；</w:t>
      </w:r>
    </w:p>
    <w:p>
      <w:pPr>
        <w:ind w:firstLine="210" w:firstLineChars="100"/>
        <w:jc w:val="left"/>
        <w:rPr>
          <w:rFonts w:hint="eastAsia"/>
          <w:color w:val="auto"/>
          <w:sz w:val="21"/>
          <w:szCs w:val="21"/>
          <w:highlight w:val="none"/>
        </w:rPr>
      </w:pPr>
      <w:r>
        <w:rPr>
          <w:rFonts w:hint="eastAsia"/>
          <w:color w:val="auto"/>
          <w:sz w:val="21"/>
          <w:szCs w:val="21"/>
          <w:highlight w:val="none"/>
        </w:rPr>
        <w:t>（3）未经甲方书面许可，不得对有关信息进行修改、补充、复制；</w:t>
      </w:r>
    </w:p>
    <w:p>
      <w:pPr>
        <w:ind w:firstLine="210" w:firstLineChars="100"/>
        <w:jc w:val="left"/>
        <w:rPr>
          <w:rFonts w:hint="eastAsia"/>
          <w:color w:val="auto"/>
          <w:sz w:val="21"/>
          <w:szCs w:val="21"/>
          <w:highlight w:val="none"/>
        </w:rPr>
      </w:pPr>
      <w:r>
        <w:rPr>
          <w:rFonts w:hint="eastAsia"/>
          <w:color w:val="auto"/>
          <w:sz w:val="21"/>
          <w:szCs w:val="21"/>
          <w:highlight w:val="none"/>
        </w:rPr>
        <w:t>（4）未经甲方书面许可，不得将信息以任何方式（如E-mail）携带出甲方场所；</w:t>
      </w:r>
    </w:p>
    <w:p>
      <w:pPr>
        <w:ind w:firstLine="210" w:firstLineChars="100"/>
        <w:jc w:val="left"/>
        <w:rPr>
          <w:rFonts w:hint="eastAsia"/>
          <w:color w:val="auto"/>
          <w:sz w:val="21"/>
          <w:szCs w:val="21"/>
          <w:highlight w:val="none"/>
        </w:rPr>
      </w:pPr>
      <w:r>
        <w:rPr>
          <w:rFonts w:hint="eastAsia"/>
          <w:color w:val="auto"/>
          <w:sz w:val="21"/>
          <w:szCs w:val="21"/>
          <w:highlight w:val="none"/>
        </w:rPr>
        <w:t>（5）未经甲方书面许可，不得将信息透露给任何其他人；</w:t>
      </w:r>
    </w:p>
    <w:p>
      <w:pPr>
        <w:ind w:firstLine="210" w:firstLineChars="100"/>
        <w:jc w:val="left"/>
        <w:rPr>
          <w:rFonts w:hint="eastAsia"/>
          <w:color w:val="auto"/>
          <w:sz w:val="21"/>
          <w:szCs w:val="21"/>
          <w:highlight w:val="none"/>
        </w:rPr>
      </w:pPr>
      <w:r>
        <w:rPr>
          <w:rFonts w:hint="eastAsia"/>
          <w:color w:val="auto"/>
          <w:sz w:val="21"/>
          <w:szCs w:val="21"/>
          <w:highlight w:val="none"/>
        </w:rPr>
        <w:t>（6）严禁在提交的软件产品中设置远程维护接口和后门程序；</w:t>
      </w:r>
    </w:p>
    <w:p>
      <w:pPr>
        <w:ind w:firstLine="210" w:firstLineChars="100"/>
        <w:jc w:val="left"/>
        <w:rPr>
          <w:rFonts w:hint="eastAsia"/>
          <w:color w:val="auto"/>
          <w:sz w:val="21"/>
          <w:szCs w:val="21"/>
          <w:highlight w:val="none"/>
        </w:rPr>
      </w:pPr>
      <w:r>
        <w:rPr>
          <w:rFonts w:hint="eastAsia"/>
          <w:color w:val="auto"/>
          <w:sz w:val="21"/>
          <w:szCs w:val="21"/>
          <w:highlight w:val="none"/>
        </w:rPr>
        <w:t>（7）不得进行系统软硬件设备的远程维护；</w:t>
      </w:r>
    </w:p>
    <w:p>
      <w:pPr>
        <w:ind w:firstLine="210" w:firstLineChars="100"/>
        <w:jc w:val="left"/>
        <w:rPr>
          <w:rFonts w:hint="eastAsia"/>
          <w:color w:val="auto"/>
          <w:sz w:val="21"/>
          <w:szCs w:val="21"/>
          <w:highlight w:val="none"/>
        </w:rPr>
      </w:pPr>
      <w:r>
        <w:rPr>
          <w:rFonts w:hint="eastAsia"/>
          <w:color w:val="auto"/>
          <w:sz w:val="21"/>
          <w:szCs w:val="21"/>
          <w:highlight w:val="none"/>
        </w:rPr>
        <w:t>（8）甲方以书面形式提出的其他保密措施。</w:t>
      </w:r>
    </w:p>
    <w:p>
      <w:pPr>
        <w:ind w:firstLine="420" w:firstLineChars="200"/>
        <w:jc w:val="left"/>
        <w:rPr>
          <w:rFonts w:hint="eastAsia"/>
          <w:color w:val="auto"/>
          <w:sz w:val="21"/>
          <w:szCs w:val="21"/>
          <w:highlight w:val="none"/>
        </w:rPr>
      </w:pPr>
      <w:r>
        <w:rPr>
          <w:rFonts w:hint="eastAsia"/>
          <w:color w:val="auto"/>
          <w:sz w:val="21"/>
          <w:szCs w:val="21"/>
          <w:highlight w:val="none"/>
        </w:rPr>
        <w:t>5.3 保密期限不受合同有效期的限制，在合同有效期结束后，信息接受方仍应承担保密义务，直至该等信息成为公开信息。</w:t>
      </w:r>
    </w:p>
    <w:p>
      <w:pPr>
        <w:ind w:firstLine="420" w:firstLineChars="200"/>
        <w:jc w:val="left"/>
        <w:rPr>
          <w:rFonts w:hint="eastAsia"/>
          <w:color w:val="auto"/>
          <w:sz w:val="21"/>
          <w:szCs w:val="21"/>
          <w:highlight w:val="none"/>
        </w:rPr>
      </w:pPr>
      <w:r>
        <w:rPr>
          <w:rFonts w:hint="eastAsia"/>
          <w:color w:val="auto"/>
          <w:sz w:val="21"/>
          <w:szCs w:val="21"/>
          <w:highlight w:val="none"/>
        </w:rPr>
        <w:t>5.4 甲乙双方如出现泄密行为，泄密方应承担相关的法律责任，包括但是不限于对由此给对方造成的经济损失进行赔偿。</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6.服务质效保证</w:t>
      </w:r>
    </w:p>
    <w:p>
      <w:pPr>
        <w:ind w:firstLine="420" w:firstLineChars="200"/>
        <w:jc w:val="left"/>
        <w:rPr>
          <w:rFonts w:hint="eastAsia"/>
          <w:color w:val="auto"/>
          <w:sz w:val="21"/>
          <w:szCs w:val="21"/>
          <w:highlight w:val="none"/>
        </w:rPr>
      </w:pPr>
      <w:r>
        <w:rPr>
          <w:rFonts w:hint="eastAsia"/>
          <w:color w:val="auto"/>
          <w:sz w:val="21"/>
          <w:szCs w:val="21"/>
          <w:highlight w:val="none"/>
        </w:rPr>
        <w:t>6.1　乙方应保证所提供的服务，符合合同规定的技术要求。如不符时，乙方应负全责并尽快处理解决，由此造成的损失和相关费用由乙方负责，甲方保留解除合同及索赔的权利。</w:t>
      </w:r>
    </w:p>
    <w:p>
      <w:pPr>
        <w:ind w:firstLine="420" w:firstLineChars="200"/>
        <w:jc w:val="left"/>
        <w:rPr>
          <w:rFonts w:hint="eastAsia"/>
          <w:color w:val="auto"/>
          <w:sz w:val="21"/>
          <w:szCs w:val="21"/>
          <w:highlight w:val="none"/>
        </w:rPr>
      </w:pPr>
      <w:r>
        <w:rPr>
          <w:rFonts w:hint="eastAsia"/>
          <w:color w:val="auto"/>
          <w:sz w:val="21"/>
          <w:szCs w:val="21"/>
          <w:highlight w:val="none"/>
        </w:rPr>
        <w:t>6.2　乙方应保证通过执行合同中全部方案后，可以取得本合同规定的结果，达到本合同规定的预期目标。对任何情况下出现问题的，应尽快提出解决方案。</w:t>
      </w:r>
    </w:p>
    <w:p>
      <w:pPr>
        <w:ind w:firstLine="420" w:firstLineChars="200"/>
        <w:jc w:val="left"/>
        <w:rPr>
          <w:rFonts w:hint="eastAsia"/>
          <w:color w:val="auto"/>
          <w:sz w:val="21"/>
          <w:szCs w:val="21"/>
          <w:highlight w:val="none"/>
        </w:rPr>
      </w:pPr>
      <w:r>
        <w:rPr>
          <w:rFonts w:hint="eastAsia"/>
          <w:color w:val="auto"/>
          <w:sz w:val="21"/>
          <w:szCs w:val="21"/>
          <w:highlight w:val="none"/>
        </w:rPr>
        <w:t>6.3　如果乙方提供的服务和解决方案不符合甲方要求，或在规定的时间内没有弥补缺陷，甲方有权采取一切必要的补救措施，由此产生的费用全部由乙方负责。</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7.税务系统信息化项目失信管理</w:t>
      </w:r>
    </w:p>
    <w:p>
      <w:pPr>
        <w:ind w:firstLine="420" w:firstLineChars="200"/>
        <w:jc w:val="left"/>
        <w:rPr>
          <w:rFonts w:hint="eastAsia"/>
          <w:color w:val="auto"/>
          <w:sz w:val="21"/>
          <w:szCs w:val="21"/>
          <w:highlight w:val="none"/>
        </w:rPr>
      </w:pPr>
      <w:r>
        <w:rPr>
          <w:rFonts w:hint="eastAsia"/>
          <w:color w:val="auto"/>
          <w:sz w:val="21"/>
          <w:szCs w:val="21"/>
          <w:highlight w:val="none"/>
        </w:rPr>
        <w:t>7.1  禁止乙方另行开发本项目业务需求范围内、供纳税人缴费人使用的软件，对违反合约条款的，纳入税务系统信息化服务商失信行为记录名单。</w:t>
      </w:r>
    </w:p>
    <w:p>
      <w:pPr>
        <w:ind w:firstLine="420" w:firstLineChars="200"/>
        <w:jc w:val="left"/>
        <w:rPr>
          <w:rFonts w:hint="eastAsia"/>
          <w:color w:val="auto"/>
          <w:sz w:val="21"/>
          <w:szCs w:val="21"/>
          <w:highlight w:val="none"/>
        </w:rPr>
      </w:pPr>
      <w:r>
        <w:rPr>
          <w:rFonts w:hint="eastAsia"/>
          <w:color w:val="auto"/>
          <w:sz w:val="21"/>
          <w:szCs w:val="21"/>
          <w:highlight w:val="none"/>
        </w:rPr>
        <w:t>7.2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ind w:firstLine="420" w:firstLineChars="200"/>
        <w:jc w:val="left"/>
        <w:rPr>
          <w:rFonts w:hint="eastAsia"/>
          <w:color w:val="auto"/>
          <w:sz w:val="21"/>
          <w:szCs w:val="21"/>
          <w:highlight w:val="none"/>
        </w:rPr>
      </w:pPr>
      <w:r>
        <w:rPr>
          <w:rFonts w:hint="eastAsia"/>
          <w:color w:val="auto"/>
          <w:sz w:val="21"/>
          <w:szCs w:val="21"/>
          <w:highlight w:val="none"/>
        </w:rPr>
        <w:t>7.3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ind w:firstLine="420" w:firstLineChars="200"/>
        <w:jc w:val="left"/>
        <w:rPr>
          <w:rFonts w:hint="eastAsia"/>
          <w:color w:val="auto"/>
          <w:sz w:val="21"/>
          <w:szCs w:val="21"/>
          <w:highlight w:val="none"/>
        </w:rPr>
      </w:pPr>
      <w:r>
        <w:rPr>
          <w:rFonts w:hint="eastAsia"/>
          <w:color w:val="auto"/>
          <w:sz w:val="21"/>
          <w:szCs w:val="21"/>
          <w:highlight w:val="none"/>
        </w:rPr>
        <w:t>7.4 失信行为的认定、结果应用、信用修复等，按照公开文件《国家税务总局办公厅关于修订&lt;税务系统信息化服务商失信行为记录名单制度（试行）&gt;的通知》（税总办征科发〔2022〕1号）执行。税务总局认定存在失信行为的服务商，3年内限制参加税收信息化项目政府采购活动。</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8. 履约验收要求</w:t>
      </w:r>
    </w:p>
    <w:p>
      <w:pPr>
        <w:ind w:firstLine="420" w:firstLineChars="200"/>
        <w:jc w:val="left"/>
        <w:rPr>
          <w:rFonts w:hint="eastAsia"/>
          <w:color w:val="auto"/>
          <w:sz w:val="21"/>
          <w:szCs w:val="21"/>
          <w:highlight w:val="none"/>
        </w:rPr>
      </w:pPr>
      <w:r>
        <w:rPr>
          <w:rFonts w:hint="eastAsia"/>
          <w:color w:val="auto"/>
          <w:sz w:val="21"/>
          <w:szCs w:val="21"/>
          <w:highlight w:val="none"/>
        </w:rPr>
        <w:t>8.1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ind w:firstLine="420" w:firstLineChars="200"/>
        <w:jc w:val="left"/>
        <w:rPr>
          <w:rFonts w:hint="eastAsia"/>
          <w:color w:val="auto"/>
          <w:sz w:val="21"/>
          <w:szCs w:val="21"/>
          <w:highlight w:val="none"/>
        </w:rPr>
      </w:pPr>
      <w:r>
        <w:rPr>
          <w:rFonts w:hint="eastAsia"/>
          <w:color w:val="auto"/>
          <w:sz w:val="21"/>
          <w:szCs w:val="21"/>
          <w:highlight w:val="none"/>
        </w:rPr>
        <w:t>8.2具体履约验收要求详见招标（采购）文件。</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9. 履约保证金</w:t>
      </w:r>
    </w:p>
    <w:p>
      <w:pPr>
        <w:ind w:firstLine="420" w:firstLineChars="200"/>
        <w:jc w:val="left"/>
        <w:rPr>
          <w:rFonts w:hint="eastAsia"/>
          <w:color w:val="auto"/>
          <w:sz w:val="21"/>
          <w:szCs w:val="21"/>
          <w:highlight w:val="none"/>
        </w:rPr>
      </w:pPr>
      <w:r>
        <w:rPr>
          <w:rFonts w:hint="eastAsia"/>
          <w:color w:val="auto"/>
          <w:sz w:val="21"/>
          <w:szCs w:val="21"/>
          <w:highlight w:val="none"/>
        </w:rPr>
        <w:t>9.1 需提交履约保证金的项目，乙方应按照“合同条款前附表”第 10 项“履约保证金及返还”提交履约保证金。</w:t>
      </w:r>
    </w:p>
    <w:p>
      <w:pPr>
        <w:ind w:firstLine="420" w:firstLineChars="200"/>
        <w:jc w:val="left"/>
        <w:rPr>
          <w:rFonts w:hint="eastAsia"/>
          <w:color w:val="auto"/>
          <w:sz w:val="21"/>
          <w:szCs w:val="21"/>
          <w:highlight w:val="none"/>
        </w:rPr>
      </w:pPr>
      <w:r>
        <w:rPr>
          <w:rFonts w:hint="eastAsia"/>
          <w:color w:val="auto"/>
          <w:sz w:val="21"/>
          <w:szCs w:val="21"/>
          <w:highlight w:val="none"/>
        </w:rPr>
        <w:t>9.2 履约保证金的金额可用于补偿甲方因乙方不能完成其合同义务而蒙受的损失。</w:t>
      </w:r>
    </w:p>
    <w:p>
      <w:pPr>
        <w:ind w:firstLine="420" w:firstLineChars="200"/>
        <w:jc w:val="left"/>
        <w:rPr>
          <w:rFonts w:hint="eastAsia"/>
          <w:color w:val="auto"/>
          <w:sz w:val="21"/>
          <w:szCs w:val="21"/>
          <w:highlight w:val="none"/>
        </w:rPr>
      </w:pPr>
      <w:r>
        <w:rPr>
          <w:rFonts w:hint="eastAsia"/>
          <w:color w:val="auto"/>
          <w:sz w:val="21"/>
          <w:szCs w:val="21"/>
          <w:highlight w:val="none"/>
        </w:rPr>
        <w:t>9.3如乙方未能按时支付合同约定的违约金、赔偿金、其他应付款项等的，甲方有权按照本合同的约定从履约保证金中扣除上述款项。乙方应在甲方扣除履约保证金后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ind w:firstLine="420" w:firstLineChars="200"/>
        <w:jc w:val="left"/>
        <w:rPr>
          <w:rFonts w:hint="eastAsia"/>
          <w:color w:val="auto"/>
          <w:sz w:val="21"/>
          <w:szCs w:val="21"/>
          <w:highlight w:val="none"/>
        </w:rPr>
      </w:pPr>
      <w:r>
        <w:rPr>
          <w:rFonts w:hint="eastAsia"/>
          <w:color w:val="auto"/>
          <w:sz w:val="21"/>
          <w:szCs w:val="21"/>
          <w:highlight w:val="none"/>
        </w:rPr>
        <w:t>9.4 乙方不履行合同、或者履行合同义务不符合约定使得合同目的不能实现，履约保证金不予退还，给甲方造成的损失超过履约保证金数额的，还应当对超过部分予以赔偿。</w:t>
      </w:r>
    </w:p>
    <w:p>
      <w:pPr>
        <w:ind w:firstLine="420" w:firstLineChars="200"/>
        <w:jc w:val="left"/>
        <w:rPr>
          <w:rFonts w:hint="eastAsia"/>
          <w:color w:val="auto"/>
          <w:sz w:val="21"/>
          <w:szCs w:val="21"/>
          <w:highlight w:val="none"/>
        </w:rPr>
      </w:pPr>
      <w:r>
        <w:rPr>
          <w:rFonts w:hint="eastAsia"/>
          <w:color w:val="auto"/>
          <w:sz w:val="21"/>
          <w:szCs w:val="21"/>
          <w:highlight w:val="none"/>
        </w:rPr>
        <w:t>9.5 履约保证金在合同履行期满后，扣除相应款项（如有）且双方无争议后，凭返还申请等资料一次性无息返还，详见“合同条款前附表”第10项“履约保证金及返还”。</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10．履约延误</w:t>
      </w:r>
    </w:p>
    <w:p>
      <w:pPr>
        <w:ind w:firstLine="420" w:firstLineChars="200"/>
        <w:jc w:val="left"/>
        <w:rPr>
          <w:rFonts w:hint="eastAsia"/>
          <w:color w:val="auto"/>
          <w:sz w:val="21"/>
          <w:szCs w:val="21"/>
          <w:highlight w:val="none"/>
        </w:rPr>
      </w:pPr>
      <w:r>
        <w:rPr>
          <w:rFonts w:hint="eastAsia"/>
          <w:color w:val="auto"/>
          <w:sz w:val="21"/>
          <w:szCs w:val="21"/>
          <w:highlight w:val="none"/>
        </w:rPr>
        <w:t>10.1 乙方应按照本合同的规定提供服务。</w:t>
      </w:r>
    </w:p>
    <w:p>
      <w:pPr>
        <w:ind w:firstLine="420" w:firstLineChars="200"/>
        <w:jc w:val="left"/>
        <w:rPr>
          <w:rFonts w:hint="eastAsia"/>
          <w:color w:val="auto"/>
          <w:sz w:val="21"/>
          <w:szCs w:val="21"/>
          <w:highlight w:val="none"/>
        </w:rPr>
      </w:pPr>
      <w:r>
        <w:rPr>
          <w:rFonts w:hint="eastAsia"/>
          <w:color w:val="auto"/>
          <w:sz w:val="21"/>
          <w:szCs w:val="21"/>
          <w:highlight w:val="none"/>
        </w:rPr>
        <w:t>10.2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ind w:firstLine="420" w:firstLineChars="200"/>
        <w:jc w:val="left"/>
        <w:rPr>
          <w:rFonts w:hint="eastAsia"/>
          <w:color w:val="auto"/>
          <w:sz w:val="21"/>
          <w:szCs w:val="21"/>
          <w:highlight w:val="none"/>
        </w:rPr>
      </w:pPr>
      <w:r>
        <w:rPr>
          <w:rFonts w:hint="eastAsia"/>
          <w:color w:val="auto"/>
          <w:sz w:val="21"/>
          <w:szCs w:val="21"/>
          <w:highlight w:val="none"/>
        </w:rPr>
        <w:t>10.3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ind w:firstLine="420" w:firstLineChars="200"/>
        <w:jc w:val="left"/>
        <w:rPr>
          <w:rFonts w:hint="eastAsia"/>
          <w:color w:val="auto"/>
          <w:sz w:val="21"/>
          <w:szCs w:val="21"/>
          <w:highlight w:val="none"/>
        </w:rPr>
      </w:pPr>
      <w:r>
        <w:rPr>
          <w:rFonts w:hint="eastAsia"/>
          <w:color w:val="auto"/>
          <w:sz w:val="21"/>
          <w:szCs w:val="21"/>
          <w:highlight w:val="none"/>
        </w:rPr>
        <w:t>10.4 除不可抗力和根据合同规定延期取得甲方同意而不收取误期赔偿费之外，乙方延误工期，将按合同规定被收取误期赔偿费。</w:t>
      </w:r>
    </w:p>
    <w:p>
      <w:pPr>
        <w:ind w:firstLine="420" w:firstLineChars="200"/>
        <w:jc w:val="left"/>
        <w:rPr>
          <w:rFonts w:hint="eastAsia"/>
          <w:color w:val="auto"/>
          <w:sz w:val="21"/>
          <w:szCs w:val="21"/>
          <w:highlight w:val="none"/>
        </w:rPr>
      </w:pPr>
      <w:r>
        <w:rPr>
          <w:rFonts w:hint="eastAsia"/>
          <w:color w:val="auto"/>
          <w:sz w:val="21"/>
          <w:szCs w:val="21"/>
          <w:highlight w:val="none"/>
        </w:rPr>
        <w:t>10.5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11</w:t>
      </w:r>
      <w:r>
        <w:rPr>
          <w:rFonts w:hint="eastAsia"/>
          <w:b/>
          <w:bCs w:val="0"/>
          <w:color w:val="auto"/>
          <w:sz w:val="21"/>
          <w:szCs w:val="21"/>
          <w:highlight w:val="none"/>
          <w:lang w:eastAsia="zh-CN"/>
        </w:rPr>
        <w:t>.</w:t>
      </w:r>
      <w:r>
        <w:rPr>
          <w:rFonts w:hint="eastAsia"/>
          <w:b/>
          <w:bCs w:val="0"/>
          <w:color w:val="auto"/>
          <w:sz w:val="21"/>
          <w:szCs w:val="21"/>
          <w:highlight w:val="none"/>
        </w:rPr>
        <w:t>违约责任</w:t>
      </w:r>
    </w:p>
    <w:p>
      <w:pPr>
        <w:ind w:firstLine="420" w:firstLineChars="200"/>
        <w:jc w:val="left"/>
        <w:rPr>
          <w:rFonts w:hint="eastAsia"/>
          <w:color w:val="auto"/>
          <w:sz w:val="21"/>
          <w:szCs w:val="21"/>
          <w:highlight w:val="none"/>
        </w:rPr>
      </w:pPr>
      <w:r>
        <w:rPr>
          <w:rFonts w:hint="eastAsia"/>
          <w:color w:val="auto"/>
          <w:sz w:val="21"/>
          <w:szCs w:val="21"/>
          <w:highlight w:val="none"/>
        </w:rPr>
        <w:t>11.1　服务缺陷的补救措施和索赔</w:t>
      </w:r>
    </w:p>
    <w:p>
      <w:pPr>
        <w:ind w:firstLine="420" w:firstLineChars="200"/>
        <w:jc w:val="left"/>
        <w:rPr>
          <w:rFonts w:hint="eastAsia"/>
          <w:color w:val="auto"/>
          <w:sz w:val="21"/>
          <w:szCs w:val="21"/>
          <w:highlight w:val="none"/>
        </w:rPr>
      </w:pPr>
      <w:r>
        <w:rPr>
          <w:rFonts w:hint="eastAsia"/>
          <w:color w:val="auto"/>
          <w:sz w:val="21"/>
          <w:szCs w:val="21"/>
          <w:highlight w:val="none"/>
        </w:rPr>
        <w:t>11.1.1  如果乙方提供的服务不符合本合同约定以及招标文件、投标文件关于服务的要求和承诺，乙方应按照甲方同意的下列一种或几种方式结合起来解决索赔事宜：</w:t>
      </w:r>
    </w:p>
    <w:p>
      <w:pPr>
        <w:ind w:firstLine="420" w:firstLineChars="200"/>
        <w:jc w:val="left"/>
        <w:rPr>
          <w:rFonts w:hint="eastAsia"/>
          <w:color w:val="auto"/>
          <w:sz w:val="21"/>
          <w:szCs w:val="21"/>
          <w:highlight w:val="none"/>
        </w:rPr>
      </w:pPr>
      <w:r>
        <w:rPr>
          <w:rFonts w:hint="eastAsia"/>
          <w:color w:val="auto"/>
          <w:sz w:val="21"/>
          <w:szCs w:val="21"/>
          <w:highlight w:val="none"/>
        </w:rPr>
        <w:t>11.1.1.1  乙方同意将服务款项目退还给甲方，由此发生的一切费用和损失由乙方承担。如甲方以适当的条件和方法购买与未履约标的相类似的服务，乙方应负担新购买类似服务所超出的费用。</w:t>
      </w:r>
    </w:p>
    <w:p>
      <w:pPr>
        <w:ind w:firstLine="420" w:firstLineChars="200"/>
        <w:jc w:val="left"/>
        <w:rPr>
          <w:rFonts w:hint="eastAsia"/>
          <w:color w:val="auto"/>
          <w:sz w:val="21"/>
          <w:szCs w:val="21"/>
          <w:highlight w:val="none"/>
        </w:rPr>
      </w:pPr>
      <w:r>
        <w:rPr>
          <w:rFonts w:hint="eastAsia"/>
          <w:color w:val="auto"/>
          <w:sz w:val="21"/>
          <w:szCs w:val="21"/>
          <w:highlight w:val="none"/>
        </w:rPr>
        <w:t>11.1.1.2  根据服务的质量状况以及甲方所遭受的损失，经过甲乙双方商定降低服务的价格。</w:t>
      </w:r>
    </w:p>
    <w:p>
      <w:pPr>
        <w:ind w:firstLine="420" w:firstLineChars="200"/>
        <w:jc w:val="left"/>
        <w:rPr>
          <w:rFonts w:hint="eastAsia"/>
          <w:color w:val="auto"/>
          <w:sz w:val="21"/>
          <w:szCs w:val="21"/>
          <w:highlight w:val="none"/>
        </w:rPr>
      </w:pPr>
      <w:r>
        <w:rPr>
          <w:rFonts w:hint="eastAsia"/>
          <w:color w:val="auto"/>
          <w:sz w:val="21"/>
          <w:szCs w:val="21"/>
          <w:highlight w:val="none"/>
        </w:rPr>
        <w:t>11.1.1.3  依照《合同前附表》第10条的约定收取乙方违约金、要求乙方赔偿损失。</w:t>
      </w:r>
    </w:p>
    <w:p>
      <w:pPr>
        <w:ind w:firstLine="420" w:firstLineChars="200"/>
        <w:jc w:val="left"/>
        <w:rPr>
          <w:rFonts w:hint="eastAsia"/>
          <w:color w:val="auto"/>
          <w:sz w:val="21"/>
          <w:szCs w:val="21"/>
          <w:highlight w:val="none"/>
        </w:rPr>
      </w:pPr>
      <w:r>
        <w:rPr>
          <w:rFonts w:hint="eastAsia"/>
          <w:color w:val="auto"/>
          <w:sz w:val="21"/>
          <w:szCs w:val="21"/>
          <w:highlight w:val="none"/>
        </w:rPr>
        <w:t>11.2</w:t>
      </w:r>
      <w:r>
        <w:rPr>
          <w:rFonts w:hint="eastAsia"/>
          <w:color w:val="auto"/>
          <w:sz w:val="21"/>
          <w:szCs w:val="21"/>
          <w:highlight w:val="none"/>
          <w:lang w:val="en-US" w:eastAsia="zh-CN"/>
        </w:rPr>
        <w:t xml:space="preserve"> </w:t>
      </w:r>
      <w:r>
        <w:rPr>
          <w:rFonts w:hint="eastAsia"/>
          <w:color w:val="auto"/>
          <w:sz w:val="21"/>
          <w:szCs w:val="21"/>
          <w:highlight w:val="none"/>
        </w:rPr>
        <w:t>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ind w:firstLine="420" w:firstLineChars="200"/>
        <w:jc w:val="left"/>
        <w:rPr>
          <w:rFonts w:hint="eastAsia"/>
          <w:color w:val="auto"/>
          <w:sz w:val="21"/>
          <w:szCs w:val="21"/>
          <w:highlight w:val="none"/>
        </w:rPr>
      </w:pPr>
      <w:r>
        <w:rPr>
          <w:rFonts w:hint="eastAsia"/>
          <w:color w:val="auto"/>
          <w:sz w:val="21"/>
          <w:szCs w:val="21"/>
          <w:highlight w:val="none"/>
        </w:rPr>
        <w:t>11.3</w:t>
      </w:r>
      <w:r>
        <w:rPr>
          <w:rFonts w:hint="eastAsia"/>
          <w:color w:val="auto"/>
          <w:sz w:val="21"/>
          <w:szCs w:val="21"/>
          <w:highlight w:val="none"/>
          <w:lang w:val="en-US" w:eastAsia="zh-CN"/>
        </w:rPr>
        <w:t xml:space="preserve"> </w:t>
      </w:r>
      <w:r>
        <w:rPr>
          <w:rFonts w:hint="eastAsia"/>
          <w:color w:val="auto"/>
          <w:sz w:val="21"/>
          <w:szCs w:val="21"/>
          <w:highlight w:val="none"/>
        </w:rPr>
        <w:t>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ind w:firstLine="420" w:firstLineChars="200"/>
        <w:jc w:val="left"/>
        <w:rPr>
          <w:rFonts w:hint="eastAsia"/>
          <w:color w:val="auto"/>
          <w:sz w:val="21"/>
          <w:szCs w:val="21"/>
          <w:highlight w:val="none"/>
        </w:rPr>
      </w:pPr>
      <w:r>
        <w:rPr>
          <w:rFonts w:hint="eastAsia"/>
          <w:color w:val="auto"/>
          <w:sz w:val="21"/>
          <w:szCs w:val="21"/>
          <w:highlight w:val="none"/>
        </w:rPr>
        <w:t>11.3 除应支付甲方违约金等外，甲方有权根据合同或有关部门出具的检验证书向乙方提出索赔。</w:t>
      </w:r>
    </w:p>
    <w:p>
      <w:pPr>
        <w:ind w:firstLine="420" w:firstLineChars="200"/>
        <w:jc w:val="left"/>
        <w:rPr>
          <w:rFonts w:hint="eastAsia"/>
          <w:color w:val="auto"/>
          <w:sz w:val="21"/>
          <w:szCs w:val="21"/>
          <w:highlight w:val="none"/>
        </w:rPr>
      </w:pPr>
      <w:r>
        <w:rPr>
          <w:rFonts w:hint="eastAsia"/>
          <w:color w:val="auto"/>
          <w:sz w:val="21"/>
          <w:szCs w:val="21"/>
          <w:highlight w:val="none"/>
        </w:rPr>
        <w:t>11.4 如果乙方对差异负有责任而甲方提出索赔，乙方同意按照下列方式解决索赔事宜：</w:t>
      </w:r>
    </w:p>
    <w:p>
      <w:pPr>
        <w:jc w:val="left"/>
        <w:rPr>
          <w:rFonts w:hint="eastAsia"/>
          <w:color w:val="auto"/>
          <w:sz w:val="21"/>
          <w:szCs w:val="21"/>
          <w:highlight w:val="none"/>
        </w:rPr>
      </w:pPr>
      <w:r>
        <w:rPr>
          <w:rFonts w:hint="eastAsia"/>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ind w:firstLine="420" w:firstLineChars="200"/>
        <w:jc w:val="left"/>
        <w:rPr>
          <w:rFonts w:hint="eastAsia"/>
          <w:color w:val="auto"/>
          <w:sz w:val="21"/>
          <w:szCs w:val="21"/>
          <w:highlight w:val="none"/>
        </w:rPr>
      </w:pPr>
      <w:r>
        <w:rPr>
          <w:rFonts w:hint="eastAsia"/>
          <w:color w:val="auto"/>
          <w:sz w:val="21"/>
          <w:szCs w:val="21"/>
          <w:highlight w:val="none"/>
        </w:rPr>
        <w:t>11.5 乙方利用本项目实施过程中所产生的成果（包括发明、发现、可运行系统、源代码及相关技术资料、文档等），另行自行开发本合同业务范围内供纳税人缴费人使用的软件或产品，或利用为税务机关提供信息化服务的便利，向纳税人缴费人搭车收费或变相收费的，或有其他失信行为的，纳入国家税务总局失信名单。</w:t>
      </w:r>
    </w:p>
    <w:p>
      <w:pPr>
        <w:ind w:firstLine="420" w:firstLineChars="200"/>
        <w:jc w:val="left"/>
        <w:rPr>
          <w:rFonts w:hint="eastAsia"/>
          <w:color w:val="auto"/>
          <w:sz w:val="21"/>
          <w:szCs w:val="21"/>
          <w:highlight w:val="none"/>
        </w:rPr>
      </w:pPr>
      <w:r>
        <w:rPr>
          <w:rFonts w:hint="eastAsia"/>
          <w:color w:val="auto"/>
          <w:sz w:val="21"/>
          <w:szCs w:val="21"/>
          <w:highlight w:val="none"/>
        </w:rPr>
        <w:t>对于影响恶劣的严重违法失信行为，推送财政部纳入政府采购严重违法失信行为记录名单。</w:t>
      </w:r>
    </w:p>
    <w:p>
      <w:pPr>
        <w:ind w:firstLine="420" w:firstLineChars="200"/>
        <w:jc w:val="left"/>
        <w:rPr>
          <w:rFonts w:hint="eastAsia"/>
          <w:color w:val="auto"/>
          <w:sz w:val="21"/>
          <w:szCs w:val="21"/>
          <w:highlight w:val="none"/>
        </w:rPr>
      </w:pPr>
      <w:r>
        <w:rPr>
          <w:rFonts w:hint="eastAsia"/>
          <w:color w:val="auto"/>
          <w:sz w:val="21"/>
          <w:szCs w:val="21"/>
          <w:highlight w:val="none"/>
        </w:rPr>
        <w:t>11.6 如果乙方在本项目实施过程中发生违反网络安全规定行为造成不良后果的，自甲方做出认定之日起三年内，税务系统各单位可以拒绝乙方参与税务系统政府采购活动。</w:t>
      </w:r>
    </w:p>
    <w:p>
      <w:pPr>
        <w:jc w:val="left"/>
        <w:rPr>
          <w:rFonts w:hint="eastAsia"/>
          <w:color w:val="auto"/>
          <w:sz w:val="21"/>
          <w:szCs w:val="21"/>
          <w:highlight w:val="none"/>
        </w:rPr>
      </w:pPr>
      <w:r>
        <w:rPr>
          <w:rFonts w:hint="eastAsia"/>
          <w:color w:val="auto"/>
          <w:sz w:val="21"/>
          <w:szCs w:val="21"/>
          <w:highlight w:val="none"/>
        </w:rPr>
        <w:t>不良后果指造成数据失窃或丢失、敏感信息泄露、主要业务系统瘫痪等网络安全事件。</w:t>
      </w:r>
    </w:p>
    <w:p>
      <w:pPr>
        <w:ind w:firstLine="420" w:firstLineChars="200"/>
        <w:jc w:val="left"/>
        <w:rPr>
          <w:rFonts w:hint="eastAsia"/>
          <w:color w:val="auto"/>
          <w:sz w:val="21"/>
          <w:szCs w:val="21"/>
          <w:highlight w:val="none"/>
        </w:rPr>
      </w:pPr>
      <w:r>
        <w:rPr>
          <w:rFonts w:hint="eastAsia"/>
          <w:color w:val="auto"/>
          <w:sz w:val="21"/>
          <w:szCs w:val="21"/>
          <w:highlight w:val="none"/>
        </w:rPr>
        <w:t>11.7 对于本协议未约定的、招标（采购）文件（技术部分）中约定的违约处理条款，按招标（采购）文件（技术部分）相关约定执行；对本协议与招标（采购）文件（技术部分）约定不同的违约处理条款，以本协议约定为准。</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12. 不可抗力</w:t>
      </w:r>
    </w:p>
    <w:p>
      <w:pPr>
        <w:ind w:firstLine="420" w:firstLineChars="200"/>
        <w:jc w:val="left"/>
        <w:rPr>
          <w:rFonts w:hint="eastAsia"/>
          <w:color w:val="auto"/>
          <w:sz w:val="21"/>
          <w:szCs w:val="21"/>
          <w:highlight w:val="none"/>
        </w:rPr>
      </w:pPr>
      <w:r>
        <w:rPr>
          <w:rFonts w:hint="eastAsia"/>
          <w:color w:val="auto"/>
          <w:sz w:val="21"/>
          <w:szCs w:val="21"/>
          <w:highlight w:val="none"/>
        </w:rPr>
        <w:t>12.1 本条所述的“不可抗力”系指双方不可预见、不可避免、不可克服的客观情况，但不包括双方的违约或疏忽。这些事件包括但不限于：战争、严重火灾、洪水、台风、地震等。</w:t>
      </w:r>
    </w:p>
    <w:p>
      <w:pPr>
        <w:ind w:firstLine="420" w:firstLineChars="200"/>
        <w:jc w:val="left"/>
        <w:rPr>
          <w:rFonts w:hint="eastAsia"/>
          <w:color w:val="auto"/>
          <w:sz w:val="21"/>
          <w:szCs w:val="21"/>
          <w:highlight w:val="none"/>
        </w:rPr>
      </w:pPr>
      <w:r>
        <w:rPr>
          <w:rFonts w:hint="eastAsia"/>
          <w:color w:val="auto"/>
          <w:sz w:val="21"/>
          <w:szCs w:val="21"/>
          <w:highlight w:val="none"/>
        </w:rPr>
        <w:t>12.2</w:t>
      </w:r>
      <w:r>
        <w:rPr>
          <w:rFonts w:hint="eastAsia"/>
          <w:color w:val="auto"/>
          <w:sz w:val="21"/>
          <w:szCs w:val="21"/>
          <w:highlight w:val="none"/>
          <w:lang w:val="en-US" w:eastAsia="zh-CN"/>
        </w:rPr>
        <w:t xml:space="preserve"> </w:t>
      </w:r>
      <w:r>
        <w:rPr>
          <w:rFonts w:hint="eastAsia"/>
          <w:color w:val="auto"/>
          <w:sz w:val="21"/>
          <w:szCs w:val="21"/>
          <w:highlight w:val="none"/>
        </w:rPr>
        <w:t>如果合同双方因不可抗力而导致合同实施延误或合同无法实施，不应承担误期赔偿或终止合同的责任。</w:t>
      </w:r>
    </w:p>
    <w:p>
      <w:pPr>
        <w:ind w:firstLine="420" w:firstLineChars="200"/>
        <w:jc w:val="left"/>
        <w:rPr>
          <w:rFonts w:hint="eastAsia"/>
          <w:color w:val="auto"/>
          <w:sz w:val="21"/>
          <w:szCs w:val="21"/>
          <w:highlight w:val="none"/>
        </w:rPr>
      </w:pPr>
      <w:r>
        <w:rPr>
          <w:rFonts w:hint="eastAsia"/>
          <w:color w:val="auto"/>
          <w:sz w:val="21"/>
          <w:szCs w:val="21"/>
          <w:highlight w:val="none"/>
        </w:rPr>
        <w:t>12.3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ind w:firstLine="420" w:firstLineChars="200"/>
        <w:jc w:val="left"/>
        <w:rPr>
          <w:rFonts w:hint="eastAsia"/>
          <w:color w:val="auto"/>
          <w:sz w:val="21"/>
          <w:szCs w:val="21"/>
          <w:highlight w:val="none"/>
        </w:rPr>
      </w:pPr>
      <w:r>
        <w:rPr>
          <w:rFonts w:hint="eastAsia"/>
          <w:color w:val="auto"/>
          <w:sz w:val="21"/>
          <w:szCs w:val="21"/>
          <w:highlight w:val="none"/>
        </w:rPr>
        <w:t>12.4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13. 争端的解决</w:t>
      </w:r>
    </w:p>
    <w:p>
      <w:pPr>
        <w:ind w:firstLine="420" w:firstLineChars="200"/>
        <w:jc w:val="left"/>
        <w:rPr>
          <w:rFonts w:hint="eastAsia"/>
          <w:color w:val="auto"/>
          <w:sz w:val="21"/>
          <w:szCs w:val="21"/>
          <w:highlight w:val="none"/>
        </w:rPr>
      </w:pPr>
      <w:r>
        <w:rPr>
          <w:rFonts w:hint="eastAsia"/>
          <w:color w:val="auto"/>
          <w:sz w:val="21"/>
          <w:szCs w:val="21"/>
          <w:highlight w:val="none"/>
        </w:rPr>
        <w:t>13.1 甲乙双方应首先通过友好协商解决在执行本合同中所发生的或与本合同有关的一切争端。如协商开始30天内仍不能解决，可以按《合同前附表》规定的方式提起仲裁或诉讼。</w:t>
      </w:r>
    </w:p>
    <w:p>
      <w:pPr>
        <w:ind w:firstLine="420" w:firstLineChars="200"/>
        <w:jc w:val="left"/>
        <w:rPr>
          <w:rFonts w:hint="eastAsia"/>
          <w:color w:val="auto"/>
          <w:sz w:val="21"/>
          <w:szCs w:val="21"/>
          <w:highlight w:val="none"/>
        </w:rPr>
      </w:pPr>
      <w:r>
        <w:rPr>
          <w:rFonts w:hint="eastAsia"/>
          <w:color w:val="auto"/>
          <w:sz w:val="21"/>
          <w:szCs w:val="21"/>
          <w:highlight w:val="none"/>
        </w:rPr>
        <w:t>13.2.1诉讼应向甲方所在地人民法院提起诉讼。</w:t>
      </w:r>
    </w:p>
    <w:p>
      <w:pPr>
        <w:ind w:firstLine="420" w:firstLineChars="200"/>
        <w:jc w:val="left"/>
        <w:rPr>
          <w:rFonts w:hint="eastAsia"/>
          <w:color w:val="auto"/>
          <w:sz w:val="21"/>
          <w:szCs w:val="21"/>
          <w:highlight w:val="none"/>
        </w:rPr>
      </w:pPr>
      <w:r>
        <w:rPr>
          <w:rFonts w:hint="eastAsia"/>
          <w:color w:val="auto"/>
          <w:sz w:val="21"/>
          <w:szCs w:val="21"/>
          <w:highlight w:val="none"/>
        </w:rPr>
        <w:t>13.2.2诉讼费除人民法院另有判决外，应由败诉方负担。</w:t>
      </w:r>
    </w:p>
    <w:p>
      <w:pPr>
        <w:ind w:firstLine="420" w:firstLineChars="200"/>
        <w:jc w:val="left"/>
        <w:rPr>
          <w:rFonts w:hint="eastAsia"/>
          <w:color w:val="auto"/>
          <w:sz w:val="21"/>
          <w:szCs w:val="21"/>
          <w:highlight w:val="none"/>
        </w:rPr>
      </w:pPr>
      <w:r>
        <w:rPr>
          <w:rFonts w:hint="eastAsia"/>
          <w:color w:val="auto"/>
          <w:sz w:val="21"/>
          <w:szCs w:val="21"/>
          <w:highlight w:val="none"/>
        </w:rPr>
        <w:t>13.2.3在诉讼期间，除正在进行诉讼部分外，本合同的其它部分应继续执行。</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14. 违约终止合同</w:t>
      </w:r>
    </w:p>
    <w:p>
      <w:pPr>
        <w:ind w:firstLine="420" w:firstLineChars="200"/>
        <w:jc w:val="left"/>
        <w:rPr>
          <w:rFonts w:hint="eastAsia"/>
          <w:color w:val="auto"/>
          <w:sz w:val="21"/>
          <w:szCs w:val="21"/>
          <w:highlight w:val="none"/>
        </w:rPr>
      </w:pPr>
      <w:r>
        <w:rPr>
          <w:rFonts w:hint="eastAsia"/>
          <w:color w:val="auto"/>
          <w:sz w:val="21"/>
          <w:szCs w:val="21"/>
          <w:highlight w:val="none"/>
        </w:rPr>
        <w:t>14.1</w:t>
      </w:r>
      <w:r>
        <w:rPr>
          <w:rFonts w:hint="eastAsia"/>
          <w:color w:val="auto"/>
          <w:sz w:val="21"/>
          <w:szCs w:val="21"/>
          <w:highlight w:val="none"/>
          <w:lang w:val="en-US" w:eastAsia="zh-CN"/>
        </w:rPr>
        <w:t xml:space="preserve"> </w:t>
      </w:r>
      <w:r>
        <w:rPr>
          <w:rFonts w:hint="eastAsia"/>
          <w:color w:val="auto"/>
          <w:sz w:val="21"/>
          <w:szCs w:val="21"/>
          <w:highlight w:val="none"/>
        </w:rPr>
        <w:t>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ind w:firstLine="420" w:firstLineChars="200"/>
        <w:jc w:val="left"/>
        <w:rPr>
          <w:rFonts w:hint="eastAsia"/>
          <w:color w:val="auto"/>
          <w:sz w:val="21"/>
          <w:szCs w:val="21"/>
          <w:highlight w:val="none"/>
        </w:rPr>
      </w:pPr>
      <w:r>
        <w:rPr>
          <w:rFonts w:hint="eastAsia"/>
          <w:color w:val="auto"/>
          <w:sz w:val="21"/>
          <w:szCs w:val="21"/>
          <w:highlight w:val="none"/>
        </w:rPr>
        <w:t>14.2</w:t>
      </w:r>
      <w:r>
        <w:rPr>
          <w:rFonts w:hint="eastAsia"/>
          <w:color w:val="auto"/>
          <w:sz w:val="21"/>
          <w:szCs w:val="21"/>
          <w:highlight w:val="none"/>
          <w:lang w:val="en-US" w:eastAsia="zh-CN"/>
        </w:rPr>
        <w:t xml:space="preserve"> </w:t>
      </w:r>
      <w:r>
        <w:rPr>
          <w:rFonts w:hint="eastAsia"/>
          <w:color w:val="auto"/>
          <w:sz w:val="21"/>
          <w:szCs w:val="21"/>
          <w:highlight w:val="none"/>
        </w:rPr>
        <w:t>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ind w:firstLine="420" w:firstLineChars="200"/>
        <w:jc w:val="left"/>
        <w:rPr>
          <w:rFonts w:hint="eastAsia"/>
          <w:color w:val="auto"/>
          <w:sz w:val="21"/>
          <w:szCs w:val="21"/>
          <w:highlight w:val="none"/>
        </w:rPr>
      </w:pPr>
      <w:r>
        <w:rPr>
          <w:rFonts w:hint="eastAsia"/>
          <w:color w:val="auto"/>
          <w:sz w:val="21"/>
          <w:szCs w:val="21"/>
          <w:highlight w:val="none"/>
        </w:rPr>
        <w:t>14.2.1 乙方不履行合同业务或者履行合同义务不符合合同约定；</w:t>
      </w:r>
    </w:p>
    <w:p>
      <w:pPr>
        <w:ind w:firstLine="420" w:firstLineChars="200"/>
        <w:jc w:val="left"/>
        <w:rPr>
          <w:rFonts w:hint="eastAsia"/>
          <w:color w:val="auto"/>
          <w:sz w:val="21"/>
          <w:szCs w:val="21"/>
          <w:highlight w:val="none"/>
        </w:rPr>
      </w:pPr>
      <w:r>
        <w:rPr>
          <w:rFonts w:hint="eastAsia"/>
          <w:color w:val="auto"/>
          <w:sz w:val="21"/>
          <w:szCs w:val="21"/>
          <w:highlight w:val="none"/>
        </w:rPr>
        <w:t>14.2.2 如果乙方未能在合同规定的期限或甲方同意延长的期限内提供服务；</w:t>
      </w:r>
    </w:p>
    <w:p>
      <w:pPr>
        <w:ind w:firstLine="420" w:firstLineChars="200"/>
        <w:jc w:val="left"/>
        <w:rPr>
          <w:rFonts w:hint="eastAsia"/>
          <w:color w:val="auto"/>
          <w:sz w:val="21"/>
          <w:szCs w:val="21"/>
          <w:highlight w:val="none"/>
        </w:rPr>
      </w:pPr>
      <w:r>
        <w:rPr>
          <w:rFonts w:hint="eastAsia"/>
          <w:color w:val="auto"/>
          <w:sz w:val="21"/>
          <w:szCs w:val="21"/>
          <w:highlight w:val="none"/>
        </w:rPr>
        <w:t>14.2.3 因乙方人员自身技术能力、经验不足等问题造成甲方发生重大紧急故障，带来重大影响和损失的；</w:t>
      </w:r>
    </w:p>
    <w:p>
      <w:pPr>
        <w:ind w:firstLine="420" w:firstLineChars="200"/>
        <w:jc w:val="left"/>
        <w:rPr>
          <w:rFonts w:hint="eastAsia"/>
          <w:color w:val="auto"/>
          <w:sz w:val="21"/>
          <w:szCs w:val="21"/>
          <w:highlight w:val="none"/>
        </w:rPr>
      </w:pPr>
      <w:r>
        <w:rPr>
          <w:rFonts w:hint="eastAsia"/>
          <w:color w:val="auto"/>
          <w:sz w:val="21"/>
          <w:szCs w:val="21"/>
          <w:highlight w:val="none"/>
        </w:rPr>
        <w:t>14.2.4 乙方对重大紧急故障没有及时响应，或不能在规定时间内解决处理故障、恢复正常运行的；</w:t>
      </w:r>
    </w:p>
    <w:p>
      <w:pPr>
        <w:ind w:firstLine="420" w:firstLineChars="200"/>
        <w:jc w:val="left"/>
        <w:rPr>
          <w:rFonts w:hint="eastAsia"/>
          <w:color w:val="auto"/>
          <w:sz w:val="21"/>
          <w:szCs w:val="21"/>
          <w:highlight w:val="none"/>
        </w:rPr>
      </w:pPr>
      <w:r>
        <w:rPr>
          <w:rFonts w:hint="eastAsia"/>
          <w:color w:val="auto"/>
          <w:sz w:val="21"/>
          <w:szCs w:val="21"/>
          <w:highlight w:val="none"/>
        </w:rPr>
        <w:t>14.2.5 不能满足本项目技术需求的管理要求和规范，且经多次整改无明显改进的；</w:t>
      </w:r>
    </w:p>
    <w:p>
      <w:pPr>
        <w:ind w:firstLine="420" w:firstLineChars="200"/>
        <w:jc w:val="left"/>
        <w:rPr>
          <w:rFonts w:hint="eastAsia"/>
          <w:color w:val="auto"/>
          <w:sz w:val="21"/>
          <w:szCs w:val="21"/>
          <w:highlight w:val="none"/>
        </w:rPr>
      </w:pPr>
      <w:r>
        <w:rPr>
          <w:rFonts w:hint="eastAsia"/>
          <w:color w:val="auto"/>
          <w:sz w:val="21"/>
          <w:szCs w:val="21"/>
          <w:highlight w:val="none"/>
        </w:rPr>
        <w:t>14.2.6 在合同服务期内，同一个应用系统在升级完善、运行维护支持服务过程中，出现5次经甲乙双方确认的用户投诉的；</w:t>
      </w:r>
    </w:p>
    <w:p>
      <w:pPr>
        <w:ind w:firstLine="420" w:firstLineChars="200"/>
        <w:jc w:val="left"/>
        <w:rPr>
          <w:rFonts w:hint="eastAsia"/>
          <w:color w:val="auto"/>
          <w:sz w:val="21"/>
          <w:szCs w:val="21"/>
          <w:highlight w:val="none"/>
        </w:rPr>
      </w:pPr>
      <w:r>
        <w:rPr>
          <w:rFonts w:hint="eastAsia"/>
          <w:color w:val="auto"/>
          <w:sz w:val="21"/>
          <w:szCs w:val="21"/>
          <w:highlight w:val="none"/>
        </w:rPr>
        <w:t>14.2.7 乙方利用本项目实施过程中所产生的成果（包括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ind w:firstLine="420" w:firstLineChars="200"/>
        <w:jc w:val="left"/>
        <w:rPr>
          <w:rFonts w:hint="eastAsia"/>
          <w:color w:val="auto"/>
          <w:sz w:val="21"/>
          <w:szCs w:val="21"/>
          <w:highlight w:val="none"/>
        </w:rPr>
      </w:pPr>
      <w:r>
        <w:rPr>
          <w:rFonts w:hint="eastAsia"/>
          <w:color w:val="auto"/>
          <w:sz w:val="21"/>
          <w:szCs w:val="21"/>
          <w:highlight w:val="none"/>
        </w:rPr>
        <w:t>14.2.8 乙方在本项目实施过程中发生违反网络安全规定行为造成不良后果的。</w:t>
      </w:r>
    </w:p>
    <w:p>
      <w:pPr>
        <w:ind w:firstLine="420" w:firstLineChars="200"/>
        <w:jc w:val="left"/>
        <w:rPr>
          <w:rFonts w:hint="eastAsia"/>
          <w:color w:val="auto"/>
          <w:sz w:val="21"/>
          <w:szCs w:val="21"/>
          <w:highlight w:val="none"/>
        </w:rPr>
      </w:pPr>
      <w:r>
        <w:rPr>
          <w:rFonts w:hint="eastAsia"/>
          <w:color w:val="auto"/>
          <w:sz w:val="21"/>
          <w:szCs w:val="21"/>
          <w:highlight w:val="none"/>
        </w:rPr>
        <w:t>14.2.9 乙方提供的服务侵犯甲方、第三方知识产权等合法权益的；</w:t>
      </w:r>
    </w:p>
    <w:p>
      <w:pPr>
        <w:ind w:firstLine="420" w:firstLineChars="200"/>
        <w:jc w:val="left"/>
        <w:rPr>
          <w:rFonts w:hint="eastAsia"/>
          <w:color w:val="auto"/>
          <w:sz w:val="21"/>
          <w:szCs w:val="21"/>
          <w:highlight w:val="none"/>
        </w:rPr>
      </w:pPr>
      <w:r>
        <w:rPr>
          <w:rFonts w:hint="eastAsia"/>
          <w:color w:val="auto"/>
          <w:sz w:val="21"/>
          <w:szCs w:val="21"/>
          <w:highlight w:val="none"/>
        </w:rPr>
        <w:t>14.2.10 乙方或乙方人员造成甲方或第三方经济损失而拒不赔偿的；</w:t>
      </w:r>
    </w:p>
    <w:p>
      <w:pPr>
        <w:ind w:firstLine="420" w:firstLineChars="200"/>
        <w:jc w:val="left"/>
        <w:rPr>
          <w:rFonts w:hint="eastAsia"/>
          <w:color w:val="auto"/>
          <w:sz w:val="21"/>
          <w:szCs w:val="21"/>
          <w:highlight w:val="none"/>
        </w:rPr>
      </w:pPr>
      <w:r>
        <w:rPr>
          <w:rFonts w:hint="eastAsia"/>
          <w:color w:val="auto"/>
          <w:sz w:val="21"/>
          <w:szCs w:val="21"/>
          <w:highlight w:val="none"/>
        </w:rPr>
        <w:t>14.2.11 乙方转让其应履行的合同义务，或未经甲方同意采取分包方式履行合同的；</w:t>
      </w:r>
    </w:p>
    <w:p>
      <w:pPr>
        <w:ind w:firstLine="420" w:firstLineChars="200"/>
        <w:jc w:val="left"/>
        <w:rPr>
          <w:rFonts w:hint="eastAsia"/>
          <w:color w:val="auto"/>
          <w:sz w:val="21"/>
          <w:szCs w:val="21"/>
          <w:highlight w:val="none"/>
        </w:rPr>
      </w:pPr>
      <w:r>
        <w:rPr>
          <w:rFonts w:hint="eastAsia"/>
          <w:color w:val="auto"/>
          <w:sz w:val="21"/>
          <w:szCs w:val="21"/>
          <w:highlight w:val="none"/>
        </w:rPr>
        <w:t>14.2.12 乙方有其他严重违约行为的。</w:t>
      </w:r>
    </w:p>
    <w:p>
      <w:pPr>
        <w:ind w:firstLine="420" w:firstLineChars="200"/>
        <w:jc w:val="left"/>
        <w:rPr>
          <w:rFonts w:hint="eastAsia"/>
          <w:color w:val="auto"/>
          <w:sz w:val="21"/>
          <w:szCs w:val="21"/>
          <w:highlight w:val="none"/>
        </w:rPr>
      </w:pPr>
      <w:r>
        <w:rPr>
          <w:rFonts w:hint="eastAsia"/>
          <w:color w:val="auto"/>
          <w:sz w:val="21"/>
          <w:szCs w:val="21"/>
          <w:highlight w:val="none"/>
        </w:rPr>
        <w:t>14.3</w:t>
      </w:r>
      <w:r>
        <w:rPr>
          <w:rFonts w:hint="eastAsia"/>
          <w:color w:val="auto"/>
          <w:sz w:val="21"/>
          <w:szCs w:val="21"/>
          <w:highlight w:val="none"/>
          <w:lang w:val="en-US" w:eastAsia="zh-CN"/>
        </w:rPr>
        <w:t xml:space="preserve"> </w:t>
      </w:r>
      <w:r>
        <w:rPr>
          <w:rFonts w:hint="eastAsia"/>
          <w:color w:val="auto"/>
          <w:sz w:val="21"/>
          <w:szCs w:val="21"/>
          <w:highlight w:val="none"/>
        </w:rPr>
        <w:t>如果甲方根据上述第12.2条的规定，终止了全部或部分合同，甲方可以适当的条件和方法购买乙方未能提供的服务，乙方应对甲方购买类似服务所超出的费用负责。同时，乙方应继续执行合同中未终止的部分。</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15. 破产终止合同</w:t>
      </w:r>
    </w:p>
    <w:p>
      <w:pPr>
        <w:ind w:firstLine="420" w:firstLineChars="200"/>
        <w:jc w:val="left"/>
        <w:rPr>
          <w:rFonts w:hint="eastAsia"/>
          <w:color w:val="auto"/>
          <w:sz w:val="21"/>
          <w:szCs w:val="21"/>
          <w:highlight w:val="none"/>
        </w:rPr>
      </w:pPr>
      <w:r>
        <w:rPr>
          <w:rFonts w:hint="eastAsia"/>
          <w:color w:val="auto"/>
          <w:sz w:val="21"/>
          <w:szCs w:val="21"/>
          <w:highlight w:val="none"/>
        </w:rPr>
        <w:t>15.1 如果乙方破产或无清偿能力，甲方可在任何时候以书面形式通知乙方终止合同而不给乙方补偿。</w:t>
      </w:r>
    </w:p>
    <w:p>
      <w:pPr>
        <w:ind w:firstLine="420" w:firstLineChars="200"/>
        <w:jc w:val="left"/>
        <w:rPr>
          <w:rFonts w:hint="eastAsia"/>
          <w:color w:val="auto"/>
          <w:sz w:val="21"/>
          <w:szCs w:val="21"/>
          <w:highlight w:val="none"/>
        </w:rPr>
      </w:pPr>
      <w:r>
        <w:rPr>
          <w:rFonts w:hint="eastAsia"/>
          <w:color w:val="auto"/>
          <w:sz w:val="21"/>
          <w:szCs w:val="21"/>
          <w:highlight w:val="none"/>
        </w:rPr>
        <w:t>15.2</w:t>
      </w:r>
      <w:r>
        <w:rPr>
          <w:rFonts w:hint="eastAsia"/>
          <w:color w:val="auto"/>
          <w:sz w:val="21"/>
          <w:szCs w:val="21"/>
          <w:highlight w:val="none"/>
          <w:lang w:val="en-US" w:eastAsia="zh-CN"/>
        </w:rPr>
        <w:t xml:space="preserve"> </w:t>
      </w:r>
      <w:r>
        <w:rPr>
          <w:rFonts w:hint="eastAsia"/>
          <w:color w:val="auto"/>
          <w:sz w:val="21"/>
          <w:szCs w:val="21"/>
          <w:highlight w:val="none"/>
        </w:rPr>
        <w:t>该终止合同将不损害或影响甲方已经采取或将要采取的任何行动或补救措施的权力。</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16. 其他情况的终止合同</w:t>
      </w:r>
    </w:p>
    <w:p>
      <w:pPr>
        <w:ind w:firstLine="420" w:firstLineChars="200"/>
        <w:jc w:val="left"/>
        <w:rPr>
          <w:rFonts w:hint="eastAsia"/>
          <w:color w:val="auto"/>
          <w:sz w:val="21"/>
          <w:szCs w:val="21"/>
          <w:highlight w:val="none"/>
        </w:rPr>
      </w:pPr>
      <w:r>
        <w:rPr>
          <w:rFonts w:hint="eastAsia"/>
          <w:color w:val="auto"/>
          <w:sz w:val="21"/>
          <w:szCs w:val="21"/>
          <w:highlight w:val="none"/>
        </w:rPr>
        <w:t>16.1</w:t>
      </w:r>
      <w:r>
        <w:rPr>
          <w:rFonts w:hint="eastAsia"/>
          <w:color w:val="auto"/>
          <w:sz w:val="21"/>
          <w:szCs w:val="21"/>
          <w:highlight w:val="none"/>
          <w:lang w:val="en-US" w:eastAsia="zh-CN"/>
        </w:rPr>
        <w:t xml:space="preserve"> </w:t>
      </w:r>
      <w:r>
        <w:rPr>
          <w:rFonts w:hint="eastAsia"/>
          <w:color w:val="auto"/>
          <w:sz w:val="21"/>
          <w:szCs w:val="21"/>
          <w:highlight w:val="none"/>
        </w:rPr>
        <w:t>若合同继续履行将给甲方造成重大损失的，甲方可以终止合同而不给予乙方任何补偿。</w:t>
      </w:r>
    </w:p>
    <w:p>
      <w:pPr>
        <w:ind w:firstLine="420" w:firstLineChars="200"/>
        <w:jc w:val="left"/>
        <w:rPr>
          <w:rFonts w:hint="eastAsia"/>
          <w:color w:val="auto"/>
          <w:sz w:val="21"/>
          <w:szCs w:val="21"/>
          <w:highlight w:val="none"/>
        </w:rPr>
      </w:pPr>
      <w:r>
        <w:rPr>
          <w:rFonts w:hint="eastAsia"/>
          <w:color w:val="auto"/>
          <w:sz w:val="21"/>
          <w:szCs w:val="21"/>
          <w:highlight w:val="none"/>
        </w:rPr>
        <w:t>16.2</w:t>
      </w:r>
      <w:r>
        <w:rPr>
          <w:rFonts w:hint="eastAsia"/>
          <w:color w:val="auto"/>
          <w:sz w:val="21"/>
          <w:szCs w:val="21"/>
          <w:highlight w:val="none"/>
          <w:lang w:val="en-US" w:eastAsia="zh-CN"/>
        </w:rPr>
        <w:t xml:space="preserve"> </w:t>
      </w:r>
      <w:r>
        <w:rPr>
          <w:rFonts w:hint="eastAsia"/>
          <w:color w:val="auto"/>
          <w:sz w:val="21"/>
          <w:szCs w:val="21"/>
          <w:highlight w:val="none"/>
        </w:rPr>
        <w:t>乙方在执行合同的过程中发生重大事故或变故，对履行合同有直接影响的，甲方可以提出终止合同而不给予乙方任何补偿。</w:t>
      </w:r>
    </w:p>
    <w:p>
      <w:pPr>
        <w:ind w:firstLine="420" w:firstLineChars="200"/>
        <w:jc w:val="left"/>
        <w:rPr>
          <w:rFonts w:hint="eastAsia"/>
          <w:color w:val="auto"/>
          <w:sz w:val="21"/>
          <w:szCs w:val="21"/>
          <w:highlight w:val="none"/>
        </w:rPr>
      </w:pPr>
      <w:r>
        <w:rPr>
          <w:rFonts w:hint="eastAsia"/>
          <w:color w:val="auto"/>
          <w:sz w:val="21"/>
          <w:szCs w:val="21"/>
          <w:highlight w:val="none"/>
        </w:rPr>
        <w:t>16.3</w:t>
      </w:r>
      <w:r>
        <w:rPr>
          <w:rFonts w:hint="eastAsia"/>
          <w:color w:val="auto"/>
          <w:sz w:val="21"/>
          <w:szCs w:val="21"/>
          <w:highlight w:val="none"/>
          <w:lang w:val="en-US" w:eastAsia="zh-CN"/>
        </w:rPr>
        <w:t xml:space="preserve"> </w:t>
      </w:r>
      <w:r>
        <w:rPr>
          <w:rFonts w:hint="eastAsia"/>
          <w:color w:val="auto"/>
          <w:sz w:val="21"/>
          <w:szCs w:val="21"/>
          <w:highlight w:val="none"/>
        </w:rPr>
        <w:t>在服务期内，由于甲方工作计划调整，推广使用新应用系统导致本项目相关服务停止的，甲方可以提出终止合同而不给予乙方任何补偿。</w:t>
      </w:r>
    </w:p>
    <w:p>
      <w:pPr>
        <w:ind w:firstLine="420" w:firstLineChars="200"/>
        <w:jc w:val="left"/>
        <w:rPr>
          <w:rFonts w:hint="eastAsia"/>
          <w:color w:val="auto"/>
          <w:sz w:val="21"/>
          <w:szCs w:val="21"/>
          <w:highlight w:val="none"/>
        </w:rPr>
      </w:pPr>
      <w:r>
        <w:rPr>
          <w:rFonts w:hint="eastAsia"/>
          <w:color w:val="auto"/>
          <w:sz w:val="21"/>
          <w:szCs w:val="21"/>
          <w:highlight w:val="none"/>
        </w:rPr>
        <w:t>16.4</w:t>
      </w:r>
      <w:r>
        <w:rPr>
          <w:rFonts w:hint="eastAsia"/>
          <w:color w:val="auto"/>
          <w:sz w:val="21"/>
          <w:szCs w:val="21"/>
          <w:highlight w:val="none"/>
          <w:lang w:val="en-US" w:eastAsia="zh-CN"/>
        </w:rPr>
        <w:t xml:space="preserve"> </w:t>
      </w:r>
      <w:r>
        <w:rPr>
          <w:rFonts w:hint="eastAsia"/>
          <w:color w:val="auto"/>
          <w:sz w:val="21"/>
          <w:szCs w:val="21"/>
          <w:highlight w:val="none"/>
        </w:rPr>
        <w:t>甲方因重大变故取消或部分取消原来的采购任务，导致合同全部或部分内容无须继续履行的，可以终止合同而不给予乙方任何补偿。</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17. 合同修改或变更</w:t>
      </w:r>
    </w:p>
    <w:p>
      <w:pPr>
        <w:ind w:firstLine="420" w:firstLineChars="200"/>
        <w:jc w:val="left"/>
        <w:rPr>
          <w:rFonts w:hint="eastAsia"/>
          <w:color w:val="auto"/>
          <w:sz w:val="21"/>
          <w:szCs w:val="21"/>
          <w:highlight w:val="none"/>
        </w:rPr>
      </w:pPr>
      <w:r>
        <w:rPr>
          <w:rFonts w:hint="eastAsia"/>
          <w:color w:val="auto"/>
          <w:sz w:val="21"/>
          <w:szCs w:val="21"/>
          <w:highlight w:val="none"/>
        </w:rPr>
        <w:t>17.1</w:t>
      </w:r>
      <w:r>
        <w:rPr>
          <w:rFonts w:hint="eastAsia"/>
          <w:color w:val="auto"/>
          <w:sz w:val="21"/>
          <w:szCs w:val="21"/>
          <w:highlight w:val="none"/>
          <w:lang w:val="en-US" w:eastAsia="zh-CN"/>
        </w:rPr>
        <w:t xml:space="preserve"> </w:t>
      </w:r>
      <w:r>
        <w:rPr>
          <w:rFonts w:hint="eastAsia"/>
          <w:color w:val="auto"/>
          <w:sz w:val="21"/>
          <w:szCs w:val="21"/>
          <w:highlight w:val="none"/>
        </w:rPr>
        <w:t>如无合同约定或法定事由，甲乙双方不得擅自变更合同。</w:t>
      </w:r>
    </w:p>
    <w:p>
      <w:pPr>
        <w:ind w:firstLine="420" w:firstLineChars="200"/>
        <w:jc w:val="left"/>
        <w:rPr>
          <w:rFonts w:hint="eastAsia"/>
          <w:color w:val="auto"/>
          <w:sz w:val="21"/>
          <w:szCs w:val="21"/>
          <w:highlight w:val="none"/>
        </w:rPr>
      </w:pPr>
      <w:r>
        <w:rPr>
          <w:rFonts w:hint="eastAsia"/>
          <w:color w:val="auto"/>
          <w:sz w:val="21"/>
          <w:szCs w:val="21"/>
          <w:highlight w:val="none"/>
        </w:rPr>
        <w:t>17.2 合同如有未尽事宜，须经甲乙双方共同协商，做出补充约定，并签订书面补充合同或变更协议。补充合同或变更协议作为本合同的一部分，与本合同具有同等效力。</w:t>
      </w:r>
    </w:p>
    <w:p>
      <w:pPr>
        <w:ind w:firstLine="420" w:firstLineChars="200"/>
        <w:jc w:val="left"/>
        <w:rPr>
          <w:rFonts w:hint="eastAsia"/>
          <w:color w:val="auto"/>
          <w:sz w:val="21"/>
          <w:szCs w:val="21"/>
          <w:highlight w:val="none"/>
        </w:rPr>
      </w:pPr>
      <w:r>
        <w:rPr>
          <w:rFonts w:hint="eastAsia"/>
          <w:color w:val="auto"/>
          <w:sz w:val="21"/>
          <w:szCs w:val="21"/>
          <w:highlight w:val="none"/>
        </w:rPr>
        <w:t>17.3</w:t>
      </w:r>
      <w:r>
        <w:rPr>
          <w:rFonts w:hint="eastAsia"/>
          <w:color w:val="auto"/>
          <w:sz w:val="21"/>
          <w:szCs w:val="21"/>
          <w:highlight w:val="none"/>
          <w:lang w:val="en-US" w:eastAsia="zh-CN"/>
        </w:rPr>
        <w:t xml:space="preserve"> </w:t>
      </w:r>
      <w:r>
        <w:rPr>
          <w:rFonts w:hint="eastAsia"/>
          <w:color w:val="auto"/>
          <w:sz w:val="21"/>
          <w:szCs w:val="21"/>
          <w:highlight w:val="none"/>
        </w:rPr>
        <w:t>除了双方签署书面修改或变更协议，并成为本合同不可分割的一部分的情况之外，本合同的条款不得有任何变化或修改。</w:t>
      </w:r>
    </w:p>
    <w:p>
      <w:pPr>
        <w:ind w:firstLine="420" w:firstLineChars="200"/>
        <w:jc w:val="left"/>
        <w:rPr>
          <w:rFonts w:hint="eastAsia"/>
          <w:color w:val="auto"/>
          <w:sz w:val="21"/>
          <w:szCs w:val="21"/>
          <w:highlight w:val="none"/>
        </w:rPr>
      </w:pPr>
      <w:r>
        <w:rPr>
          <w:rFonts w:hint="eastAsia"/>
          <w:color w:val="auto"/>
          <w:sz w:val="21"/>
          <w:szCs w:val="21"/>
          <w:highlight w:val="none"/>
        </w:rPr>
        <w:t>17.4</w:t>
      </w:r>
      <w:r>
        <w:rPr>
          <w:rFonts w:hint="eastAsia"/>
          <w:color w:val="auto"/>
          <w:sz w:val="21"/>
          <w:szCs w:val="21"/>
          <w:highlight w:val="none"/>
          <w:lang w:val="en-US" w:eastAsia="zh-CN"/>
        </w:rPr>
        <w:t xml:space="preserve"> </w:t>
      </w:r>
      <w:r>
        <w:rPr>
          <w:rFonts w:hint="eastAsia"/>
          <w:color w:val="auto"/>
          <w:sz w:val="21"/>
          <w:szCs w:val="21"/>
          <w:highlight w:val="none"/>
        </w:rPr>
        <w:t>由于甲方项目统一规划等原因导致本项目停止部分服务的，甲方将启动合同变更程序，与乙方协商变更相关合同条款。</w:t>
      </w:r>
    </w:p>
    <w:p>
      <w:pPr>
        <w:ind w:firstLine="420" w:firstLineChars="200"/>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7</w:t>
      </w:r>
      <w:r>
        <w:rPr>
          <w:rFonts w:hint="eastAsia"/>
          <w:color w:val="auto"/>
          <w:sz w:val="21"/>
          <w:szCs w:val="21"/>
          <w:highlight w:val="none"/>
        </w:rPr>
        <w:t>.5 在不改变合同其他条款的前提下，甲方有权在合同价款10%的范围内追加与合同标的相同的货物或服务，并就此与乙方签订补充合同，乙方不得拒绝。</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1</w:t>
      </w:r>
      <w:r>
        <w:rPr>
          <w:rFonts w:hint="eastAsia"/>
          <w:b/>
          <w:bCs w:val="0"/>
          <w:color w:val="auto"/>
          <w:sz w:val="21"/>
          <w:szCs w:val="21"/>
          <w:highlight w:val="none"/>
          <w:lang w:val="en-US" w:eastAsia="zh-CN"/>
        </w:rPr>
        <w:t>8</w:t>
      </w:r>
      <w:r>
        <w:rPr>
          <w:rFonts w:hint="eastAsia"/>
          <w:b/>
          <w:bCs w:val="0"/>
          <w:color w:val="auto"/>
          <w:sz w:val="21"/>
          <w:szCs w:val="21"/>
          <w:highlight w:val="none"/>
        </w:rPr>
        <w:t>. 转让和分包</w:t>
      </w:r>
    </w:p>
    <w:p>
      <w:pPr>
        <w:ind w:firstLine="420" w:firstLineChars="200"/>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8</w:t>
      </w:r>
      <w:r>
        <w:rPr>
          <w:rFonts w:hint="eastAsia"/>
          <w:color w:val="auto"/>
          <w:sz w:val="21"/>
          <w:szCs w:val="21"/>
          <w:highlight w:val="none"/>
        </w:rPr>
        <w:t>.1 除甲方事先书面同意外，乙方不得部分转让或全部转让其应履行的合同义务。</w:t>
      </w:r>
    </w:p>
    <w:p>
      <w:pPr>
        <w:ind w:firstLine="420" w:firstLineChars="200"/>
        <w:jc w:val="left"/>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8</w:t>
      </w:r>
      <w:r>
        <w:rPr>
          <w:rFonts w:hint="eastAsia"/>
          <w:color w:val="auto"/>
          <w:sz w:val="21"/>
          <w:szCs w:val="21"/>
          <w:highlight w:val="none"/>
        </w:rPr>
        <w:t>.2 未经甲方同意，乙方不得采取分包方式履行合同。经甲方同意分包履行合同的，乙方就采购项目及分包项目向甲方负责，分包供应商就分包项目承担责任。</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lang w:val="en-US" w:eastAsia="zh-CN"/>
        </w:rPr>
        <w:t>19</w:t>
      </w:r>
      <w:r>
        <w:rPr>
          <w:rFonts w:hint="eastAsia"/>
          <w:b/>
          <w:bCs w:val="0"/>
          <w:color w:val="auto"/>
          <w:sz w:val="21"/>
          <w:szCs w:val="21"/>
          <w:highlight w:val="none"/>
        </w:rPr>
        <w:t>. 合同语言</w:t>
      </w:r>
    </w:p>
    <w:p>
      <w:pPr>
        <w:ind w:firstLine="420" w:firstLineChars="200"/>
        <w:jc w:val="left"/>
        <w:rPr>
          <w:rFonts w:hint="eastAsia"/>
          <w:color w:val="auto"/>
          <w:sz w:val="21"/>
          <w:szCs w:val="21"/>
          <w:highlight w:val="none"/>
        </w:rPr>
      </w:pPr>
      <w:r>
        <w:rPr>
          <w:rFonts w:hint="eastAsia"/>
          <w:color w:val="auto"/>
          <w:sz w:val="21"/>
          <w:szCs w:val="21"/>
          <w:highlight w:val="none"/>
          <w:lang w:val="en-US" w:eastAsia="zh-CN"/>
        </w:rPr>
        <w:t>19</w:t>
      </w:r>
      <w:r>
        <w:rPr>
          <w:rFonts w:hint="eastAsia"/>
          <w:color w:val="auto"/>
          <w:sz w:val="21"/>
          <w:szCs w:val="21"/>
          <w:highlight w:val="none"/>
        </w:rPr>
        <w:t>.1 本合同语言为中文。</w:t>
      </w:r>
    </w:p>
    <w:p>
      <w:pPr>
        <w:ind w:firstLine="420" w:firstLineChars="200"/>
        <w:jc w:val="left"/>
        <w:rPr>
          <w:rFonts w:hint="eastAsia"/>
          <w:color w:val="auto"/>
          <w:sz w:val="21"/>
          <w:szCs w:val="21"/>
          <w:highlight w:val="none"/>
        </w:rPr>
      </w:pPr>
      <w:r>
        <w:rPr>
          <w:rFonts w:hint="eastAsia"/>
          <w:color w:val="auto"/>
          <w:sz w:val="21"/>
          <w:szCs w:val="21"/>
          <w:highlight w:val="none"/>
          <w:lang w:val="en-US" w:eastAsia="zh-CN"/>
        </w:rPr>
        <w:t>19</w:t>
      </w:r>
      <w:r>
        <w:rPr>
          <w:rFonts w:hint="eastAsia"/>
          <w:color w:val="auto"/>
          <w:sz w:val="21"/>
          <w:szCs w:val="21"/>
          <w:highlight w:val="none"/>
        </w:rPr>
        <w:t>.2 双方交换的与合同有关的信件和其他文件应用合同语言书写。</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2</w:t>
      </w:r>
      <w:r>
        <w:rPr>
          <w:rFonts w:hint="eastAsia"/>
          <w:b/>
          <w:bCs w:val="0"/>
          <w:color w:val="auto"/>
          <w:sz w:val="21"/>
          <w:szCs w:val="21"/>
          <w:highlight w:val="none"/>
          <w:lang w:val="en-US" w:eastAsia="zh-CN"/>
        </w:rPr>
        <w:t>0</w:t>
      </w:r>
      <w:r>
        <w:rPr>
          <w:rFonts w:hint="eastAsia"/>
          <w:b/>
          <w:bCs w:val="0"/>
          <w:color w:val="auto"/>
          <w:sz w:val="21"/>
          <w:szCs w:val="21"/>
          <w:highlight w:val="none"/>
        </w:rPr>
        <w:t>. 适用法律</w:t>
      </w:r>
    </w:p>
    <w:p>
      <w:pPr>
        <w:ind w:firstLine="420" w:firstLineChars="200"/>
        <w:jc w:val="left"/>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0</w:t>
      </w:r>
      <w:r>
        <w:rPr>
          <w:rFonts w:hint="eastAsia"/>
          <w:color w:val="auto"/>
          <w:sz w:val="21"/>
          <w:szCs w:val="21"/>
          <w:highlight w:val="none"/>
        </w:rPr>
        <w:t>.1 本合同适用中华人民共和国现行法律、行政法规和规章，如合同条款与法律、行政法规和规章不一致的，按照法律、行政法规和规章修改本合同。</w:t>
      </w:r>
    </w:p>
    <w:p>
      <w:pPr>
        <w:jc w:val="left"/>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0</w:t>
      </w:r>
      <w:r>
        <w:rPr>
          <w:rFonts w:hint="eastAsia"/>
          <w:color w:val="auto"/>
          <w:sz w:val="21"/>
          <w:szCs w:val="21"/>
          <w:highlight w:val="none"/>
        </w:rPr>
        <w:t>.2 本合同的履行、违约责任和解决争议的方法等适用《中华人民共和国民法典（合同编）》。</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2</w:t>
      </w:r>
      <w:r>
        <w:rPr>
          <w:rFonts w:hint="eastAsia"/>
          <w:b/>
          <w:bCs w:val="0"/>
          <w:color w:val="auto"/>
          <w:sz w:val="21"/>
          <w:szCs w:val="21"/>
          <w:highlight w:val="none"/>
          <w:lang w:val="en-US" w:eastAsia="zh-CN"/>
        </w:rPr>
        <w:t>1</w:t>
      </w:r>
      <w:r>
        <w:rPr>
          <w:rFonts w:hint="eastAsia"/>
          <w:b/>
          <w:bCs w:val="0"/>
          <w:color w:val="auto"/>
          <w:sz w:val="21"/>
          <w:szCs w:val="21"/>
          <w:highlight w:val="none"/>
        </w:rPr>
        <w:t>. 税费</w:t>
      </w:r>
    </w:p>
    <w:p>
      <w:pPr>
        <w:ind w:firstLine="420" w:firstLineChars="200"/>
        <w:jc w:val="left"/>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1</w:t>
      </w:r>
      <w:r>
        <w:rPr>
          <w:rFonts w:hint="eastAsia"/>
          <w:color w:val="auto"/>
          <w:sz w:val="21"/>
          <w:szCs w:val="21"/>
          <w:highlight w:val="none"/>
        </w:rPr>
        <w:t>.1 合同服务的所有税费均已包含于合同价中，甲方不再另行支付。</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2</w:t>
      </w:r>
      <w:r>
        <w:rPr>
          <w:rFonts w:hint="eastAsia"/>
          <w:b/>
          <w:bCs w:val="0"/>
          <w:color w:val="auto"/>
          <w:sz w:val="21"/>
          <w:szCs w:val="21"/>
          <w:highlight w:val="none"/>
          <w:lang w:val="en-US" w:eastAsia="zh-CN"/>
        </w:rPr>
        <w:t>2</w:t>
      </w:r>
      <w:r>
        <w:rPr>
          <w:rFonts w:hint="eastAsia"/>
          <w:b/>
          <w:bCs w:val="0"/>
          <w:color w:val="auto"/>
          <w:sz w:val="21"/>
          <w:szCs w:val="21"/>
          <w:highlight w:val="none"/>
        </w:rPr>
        <w:t>.合同效力</w:t>
      </w:r>
    </w:p>
    <w:p>
      <w:pPr>
        <w:ind w:firstLine="420" w:firstLineChars="200"/>
        <w:jc w:val="left"/>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2</w:t>
      </w:r>
      <w:r>
        <w:rPr>
          <w:rFonts w:hint="eastAsia"/>
          <w:color w:val="auto"/>
          <w:sz w:val="21"/>
          <w:szCs w:val="21"/>
          <w:highlight w:val="none"/>
        </w:rPr>
        <w:t>.1　除本合同和甲乙双方书面签署的补充协议外，其他任何形式的双方约定和往来函件均不具有合同效力，对本项目无约束。</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2</w:t>
      </w:r>
      <w:r>
        <w:rPr>
          <w:rFonts w:hint="eastAsia"/>
          <w:b/>
          <w:bCs w:val="0"/>
          <w:color w:val="auto"/>
          <w:sz w:val="21"/>
          <w:szCs w:val="21"/>
          <w:highlight w:val="none"/>
          <w:lang w:val="en-US" w:eastAsia="zh-CN"/>
        </w:rPr>
        <w:t>3</w:t>
      </w:r>
      <w:r>
        <w:rPr>
          <w:rFonts w:hint="eastAsia"/>
          <w:b/>
          <w:bCs w:val="0"/>
          <w:color w:val="auto"/>
          <w:sz w:val="21"/>
          <w:szCs w:val="21"/>
          <w:highlight w:val="none"/>
        </w:rPr>
        <w:t>.检查和审计</w:t>
      </w:r>
    </w:p>
    <w:p>
      <w:pPr>
        <w:ind w:firstLine="420" w:firstLineChars="200"/>
        <w:jc w:val="left"/>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3</w:t>
      </w:r>
      <w:r>
        <w:rPr>
          <w:rFonts w:hint="eastAsia"/>
          <w:color w:val="auto"/>
          <w:sz w:val="21"/>
          <w:szCs w:val="21"/>
          <w:highlight w:val="none"/>
        </w:rPr>
        <w:t>.1在本合同的履行过程中，甲方有权对乙方的合同履约情况进行阶段性检查，并对乙方投标时提供的相关资料进行复核。</w:t>
      </w:r>
    </w:p>
    <w:p>
      <w:pPr>
        <w:ind w:firstLine="420" w:firstLineChars="200"/>
        <w:jc w:val="left"/>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3</w:t>
      </w:r>
      <w:r>
        <w:rPr>
          <w:rFonts w:hint="eastAsia"/>
          <w:color w:val="auto"/>
          <w:sz w:val="21"/>
          <w:szCs w:val="21"/>
          <w:highlight w:val="none"/>
        </w:rPr>
        <w:t>.2　在本合同的履行过程中，如果甲乙双方发生争议或者乙方没有按照合同约定履行义务，乙方应允许甲方检查乙方与实施本合同有关的账户和记录，并由甲方指定的审计人员对其进行审计。</w:t>
      </w:r>
    </w:p>
    <w:p>
      <w:pPr>
        <w:ind w:firstLine="420" w:firstLineChars="200"/>
        <w:jc w:val="left"/>
        <w:rPr>
          <w:rFonts w:hint="eastAsia"/>
          <w:b/>
          <w:bCs w:val="0"/>
          <w:color w:val="auto"/>
          <w:sz w:val="21"/>
          <w:szCs w:val="21"/>
          <w:highlight w:val="none"/>
        </w:rPr>
      </w:pPr>
      <w:r>
        <w:rPr>
          <w:rFonts w:hint="eastAsia"/>
          <w:b/>
          <w:bCs w:val="0"/>
          <w:color w:val="auto"/>
          <w:sz w:val="21"/>
          <w:szCs w:val="21"/>
          <w:highlight w:val="none"/>
        </w:rPr>
        <w:t>2</w:t>
      </w:r>
      <w:r>
        <w:rPr>
          <w:rFonts w:hint="eastAsia"/>
          <w:b/>
          <w:bCs w:val="0"/>
          <w:color w:val="auto"/>
          <w:sz w:val="21"/>
          <w:szCs w:val="21"/>
          <w:highlight w:val="none"/>
          <w:lang w:val="en-US" w:eastAsia="zh-CN"/>
        </w:rPr>
        <w:t>4</w:t>
      </w:r>
      <w:r>
        <w:rPr>
          <w:rFonts w:hint="eastAsia"/>
          <w:b/>
          <w:bCs w:val="0"/>
          <w:color w:val="auto"/>
          <w:sz w:val="21"/>
          <w:szCs w:val="21"/>
          <w:highlight w:val="none"/>
        </w:rPr>
        <w:t>. 合同生效</w:t>
      </w:r>
    </w:p>
    <w:p>
      <w:pPr>
        <w:ind w:firstLine="420" w:firstLineChars="200"/>
        <w:jc w:val="left"/>
        <w:rPr>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4</w:t>
      </w:r>
      <w:r>
        <w:rPr>
          <w:rFonts w:hint="eastAsia"/>
          <w:color w:val="auto"/>
          <w:sz w:val="21"/>
          <w:szCs w:val="21"/>
          <w:highlight w:val="none"/>
        </w:rPr>
        <w:t>.1 本合同一式七份，应在甲方收到乙方提供的履约保证金，由甲乙双方法定代表人或被授权人签字并盖章后生效。</w:t>
      </w:r>
      <w:r>
        <w:rPr>
          <w:rFonts w:hint="eastAsia"/>
          <w:color w:val="auto"/>
          <w:sz w:val="21"/>
          <w:szCs w:val="21"/>
          <w:highlight w:val="none"/>
        </w:rPr>
        <w:br w:type="page"/>
      </w:r>
    </w:p>
    <w:p>
      <w:pPr>
        <w:jc w:val="left"/>
        <w:rPr>
          <w:color w:val="auto"/>
          <w:sz w:val="28"/>
          <w:szCs w:val="28"/>
          <w:highlight w:val="none"/>
        </w:rPr>
      </w:pPr>
    </w:p>
    <w:p>
      <w:pPr>
        <w:topLinePunct/>
        <w:autoSpaceDE w:val="0"/>
        <w:autoSpaceDN w:val="0"/>
        <w:spacing w:line="360" w:lineRule="auto"/>
        <w:jc w:val="center"/>
        <w:rPr>
          <w:rFonts w:ascii="宋体" w:eastAsia="宋体" w:hAnsi="宋体" w:cs="宋体"/>
          <w:b/>
          <w:color w:val="auto"/>
          <w:sz w:val="24"/>
          <w:highlight w:val="none"/>
        </w:rPr>
      </w:pPr>
      <w:r>
        <w:rPr>
          <w:rFonts w:ascii="宋体" w:eastAsia="宋体" w:hAnsi="宋体" w:cs="宋体" w:hint="eastAsia"/>
          <w:b/>
          <w:color w:val="auto"/>
          <w:sz w:val="24"/>
          <w:highlight w:val="none"/>
        </w:rPr>
        <w:t>三  招标文件及投标文件（另附）</w:t>
      </w:r>
    </w:p>
    <w:p>
      <w:pPr>
        <w:ind w:firstLine="420" w:firstLineChars="150"/>
        <w:jc w:val="center"/>
        <w:rPr>
          <w:rFonts w:hint="eastAsia"/>
          <w:color w:val="auto"/>
          <w:sz w:val="28"/>
          <w:szCs w:val="28"/>
          <w:highlight w:val="none"/>
        </w:rPr>
      </w:pPr>
    </w:p>
    <w:p>
      <w:pPr>
        <w:pStyle w:val="5"/>
        <w:rPr>
          <w:rFonts w:hint="eastAsia"/>
          <w:color w:val="auto"/>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pStyle w:val="a"/>
        <w:rPr>
          <w:rFonts w:hint="eastAsia"/>
          <w:color w:val="auto"/>
          <w:sz w:val="28"/>
          <w:szCs w:val="28"/>
          <w:highlight w:val="none"/>
        </w:rPr>
      </w:pPr>
    </w:p>
    <w:p>
      <w:pPr>
        <w:spacing w:line="360" w:lineRule="auto"/>
        <w:jc w:val="center"/>
        <w:rPr>
          <w:rFonts w:ascii="宋体" w:eastAsia="宋体" w:hAnsi="宋体" w:cs="宋体"/>
          <w:b/>
          <w:color w:val="auto"/>
          <w:sz w:val="24"/>
          <w:highlight w:val="none"/>
        </w:rPr>
      </w:pPr>
      <w:r>
        <w:rPr>
          <w:rFonts w:ascii="宋体" w:eastAsia="宋体" w:hAnsi="宋体" w:cs="宋体" w:hint="eastAsia"/>
          <w:b/>
          <w:color w:val="auto"/>
          <w:sz w:val="24"/>
          <w:highlight w:val="none"/>
        </w:rPr>
        <w:t>四 报价表（总报价表和分项报价表）</w:t>
      </w:r>
    </w:p>
    <w:p>
      <w:pPr>
        <w:pStyle w:val="a"/>
        <w:rPr>
          <w:rFonts w:hint="eastAsia"/>
          <w:color w:val="auto"/>
          <w:sz w:val="28"/>
          <w:szCs w:val="28"/>
          <w:highlight w:val="none"/>
        </w:rPr>
      </w:pPr>
    </w:p>
    <w:p>
      <w:pPr>
        <w:ind w:firstLine="420" w:firstLineChars="150"/>
        <w:jc w:val="left"/>
        <w:rPr>
          <w:rFonts w:hint="eastAsia"/>
          <w:color w:val="auto"/>
          <w:sz w:val="28"/>
          <w:szCs w:val="28"/>
          <w:highlight w:val="none"/>
        </w:rPr>
      </w:pPr>
    </w:p>
    <w:p>
      <w:pPr>
        <w:ind w:firstLine="420" w:firstLineChars="150"/>
        <w:jc w:val="left"/>
        <w:rPr>
          <w:color w:val="auto"/>
          <w:highlight w:val="none"/>
        </w:rPr>
        <w:sectPr>
          <w:pgSz w:w="11906" w:h="16838"/>
          <w:pgMar w:top="1417" w:right="1417" w:bottom="1417" w:left="1417" w:header="851" w:footer="992" w:gutter="0"/>
          <w:cols w:num="1" w:space="720"/>
          <w:titlePg/>
          <w:docGrid w:type="lines" w:linePitch="312" w:charSpace="0"/>
        </w:sectPr>
      </w:pPr>
      <w:r>
        <w:rPr>
          <w:rFonts w:hint="eastAsia"/>
          <w:color w:val="auto"/>
          <w:sz w:val="28"/>
          <w:szCs w:val="28"/>
          <w:highlight w:val="none"/>
        </w:rPr>
        <w:br w:type="page"/>
      </w:r>
    </w:p>
    <w:p>
      <w:pPr>
        <w:pStyle w:val="Heading1"/>
        <w:rPr>
          <w:rFonts w:ascii="黑体" w:eastAsia="黑体" w:hAnsi="黑体" w:cs="黑体"/>
          <w:color w:val="auto"/>
          <w:szCs w:val="32"/>
          <w:highlight w:val="none"/>
        </w:rPr>
      </w:pPr>
      <w:r>
        <w:rPr>
          <w:rFonts w:hint="eastAsia"/>
          <w:color w:val="auto"/>
          <w:highlight w:val="none"/>
        </w:rPr>
        <w:t>第五章　投标文件格式</w:t>
      </w:r>
    </w:p>
    <w:p>
      <w:pPr>
        <w:ind w:firstLine="420" w:firstLineChars="200"/>
        <w:jc w:val="left"/>
        <w:rPr>
          <w:color w:val="auto"/>
          <w:highlight w:val="none"/>
        </w:rPr>
      </w:pPr>
      <w:r>
        <w:rPr>
          <w:rFonts w:hint="eastAsia"/>
          <w:color w:val="auto"/>
          <w:highlight w:val="none"/>
        </w:rPr>
        <w:t>投标人必须按下列文本格式，如实提供具有法律效力的资格证明文件和真实有效的其他文件资料，任何不按下列文本格式提供或有实质性变更将由投标人承担风险。</w:t>
      </w:r>
    </w:p>
    <w:p>
      <w:pPr>
        <w:ind w:firstLine="420" w:firstLineChars="200"/>
        <w:jc w:val="left"/>
        <w:rPr>
          <w:color w:val="auto"/>
          <w:highlight w:val="none"/>
        </w:rPr>
      </w:pPr>
      <w:r>
        <w:rPr>
          <w:rFonts w:hint="eastAsia"/>
          <w:color w:val="auto"/>
          <w:highlight w:val="none"/>
        </w:rPr>
        <w:t>1.投标人应严格按照本章规定填写和提交全部格式文件以及其他有关资料，混乱的编排导致投标文件被误读或查找不到，后果由投标人承担。</w:t>
      </w:r>
    </w:p>
    <w:p>
      <w:pPr>
        <w:ind w:firstLine="420" w:firstLineChars="200"/>
        <w:jc w:val="left"/>
        <w:rPr>
          <w:color w:val="auto"/>
          <w:highlight w:val="none"/>
        </w:rPr>
      </w:pPr>
      <w:r>
        <w:rPr>
          <w:rFonts w:hint="eastAsia"/>
          <w:color w:val="auto"/>
          <w:highlight w:val="none"/>
        </w:rPr>
        <w:t>2.所附表格中要求回答的全部问题和信息都必须正面回答。</w:t>
      </w:r>
    </w:p>
    <w:p>
      <w:pPr>
        <w:ind w:firstLine="420" w:firstLineChars="200"/>
        <w:jc w:val="left"/>
        <w:rPr>
          <w:color w:val="auto"/>
          <w:highlight w:val="none"/>
        </w:rPr>
      </w:pPr>
      <w:r>
        <w:rPr>
          <w:rFonts w:hint="eastAsia"/>
          <w:color w:val="auto"/>
          <w:highlight w:val="none"/>
        </w:rPr>
        <w:t>3.资格声明文件的签字人应保证全部声明和问题的回答是真实的和准确的。</w:t>
      </w:r>
    </w:p>
    <w:p>
      <w:pPr>
        <w:ind w:firstLine="420" w:firstLineChars="200"/>
        <w:jc w:val="left"/>
        <w:rPr>
          <w:color w:val="auto"/>
          <w:highlight w:val="none"/>
        </w:rPr>
      </w:pPr>
      <w:r>
        <w:rPr>
          <w:rFonts w:hint="eastAsia"/>
          <w:color w:val="auto"/>
          <w:highlight w:val="none"/>
        </w:rPr>
        <w:t>4.评标委员会将应用投标人提交的资料并根据自己的判断，决定投标人履行合同的合格性及能力。</w:t>
      </w:r>
    </w:p>
    <w:p>
      <w:pPr>
        <w:ind w:firstLine="420" w:firstLineChars="200"/>
        <w:jc w:val="left"/>
        <w:rPr>
          <w:color w:val="auto"/>
          <w:highlight w:val="none"/>
        </w:rPr>
      </w:pPr>
      <w:r>
        <w:rPr>
          <w:rFonts w:hint="eastAsia"/>
          <w:color w:val="auto"/>
          <w:highlight w:val="none"/>
        </w:rPr>
        <w:t>5.全部文件应按投标人须知中规定的语言提交。</w:t>
      </w:r>
    </w:p>
    <w:p>
      <w:pPr>
        <w:ind w:firstLine="420" w:firstLineChars="200"/>
        <w:jc w:val="left"/>
        <w:rPr>
          <w:color w:val="auto"/>
          <w:highlight w:val="none"/>
        </w:rPr>
      </w:pPr>
      <w:r>
        <w:rPr>
          <w:rFonts w:hint="eastAsia"/>
          <w:color w:val="auto"/>
          <w:highlight w:val="none"/>
        </w:rPr>
        <w:t>6.以下格式文件为要求填写内容的固定格式，投标人不得擅自修改格式，其他未提供格式的文件和资料由投标人自行设计编制格式填写。</w:t>
      </w:r>
    </w:p>
    <w:p>
      <w:pPr>
        <w:jc w:val="lef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br w:type="page"/>
      </w:r>
    </w:p>
    <w:p>
      <w:pPr>
        <w:rPr>
          <w:color w:val="auto"/>
          <w:highlight w:val="none"/>
        </w:rPr>
      </w:pPr>
    </w:p>
    <w:p>
      <w:pPr>
        <w:spacing w:line="600" w:lineRule="auto"/>
        <w:jc w:val="center"/>
        <w:rPr>
          <w:rFonts w:ascii="华文中宋" w:eastAsia="华文中宋" w:hAnsi="华文中宋" w:cs="华文中宋" w:hint="eastAsia"/>
          <w:b w:val="0"/>
          <w:bCs/>
          <w:color w:val="auto"/>
          <w:kern w:val="0"/>
          <w:sz w:val="32"/>
          <w:szCs w:val="32"/>
          <w:highlight w:val="none"/>
        </w:rPr>
      </w:pPr>
      <w:r>
        <w:rPr>
          <w:rFonts w:ascii="华文中宋" w:eastAsia="华文中宋" w:hAnsi="华文中宋" w:cs="华文中宋" w:hint="eastAsia"/>
          <w:b w:val="0"/>
          <w:bCs/>
          <w:color w:val="auto"/>
          <w:kern w:val="0"/>
          <w:sz w:val="32"/>
          <w:szCs w:val="32"/>
          <w:highlight w:val="none"/>
        </w:rPr>
        <w:t>投  标  文  件</w:t>
      </w:r>
    </w:p>
    <w:p>
      <w:pPr>
        <w:spacing w:line="600" w:lineRule="auto"/>
        <w:jc w:val="center"/>
        <w:rPr>
          <w:rFonts w:ascii="华文中宋" w:eastAsia="华文中宋" w:hAnsi="华文中宋" w:cs="华文中宋" w:hint="eastAsia"/>
          <w:b w:val="0"/>
          <w:bCs/>
          <w:color w:val="auto"/>
          <w:kern w:val="0"/>
          <w:sz w:val="32"/>
          <w:szCs w:val="32"/>
          <w:highlight w:val="none"/>
        </w:rPr>
      </w:pPr>
      <w:r>
        <w:rPr>
          <w:rFonts w:ascii="华文中宋" w:eastAsia="华文中宋" w:hAnsi="华文中宋" w:cs="华文中宋" w:hint="eastAsia"/>
          <w:b w:val="0"/>
          <w:bCs/>
          <w:color w:val="auto"/>
          <w:kern w:val="0"/>
          <w:sz w:val="32"/>
          <w:szCs w:val="32"/>
          <w:highlight w:val="none"/>
        </w:rPr>
        <w:t>商务部分</w:t>
      </w:r>
    </w:p>
    <w:p>
      <w:pPr>
        <w:spacing w:line="360" w:lineRule="auto"/>
        <w:ind w:firstLine="640" w:firstLineChars="200"/>
        <w:jc w:val="center"/>
        <w:rPr>
          <w:rFonts w:ascii="宋体" w:hAnsi="宋体"/>
          <w:color w:val="auto"/>
          <w:kern w:val="0"/>
          <w:sz w:val="32"/>
          <w:szCs w:val="32"/>
          <w:highlight w:val="none"/>
        </w:rPr>
      </w:pPr>
    </w:p>
    <w:p>
      <w:pPr>
        <w:spacing w:line="360" w:lineRule="auto"/>
        <w:jc w:val="center"/>
        <w:rPr>
          <w:rFonts w:ascii="宋体" w:eastAsia="宋体" w:hAnsi="宋体" w:cs="宋体" w:hint="eastAsia"/>
          <w:b w:val="0"/>
          <w:bCs/>
          <w:color w:val="auto"/>
          <w:kern w:val="0"/>
          <w:sz w:val="24"/>
          <w:szCs w:val="24"/>
          <w:highlight w:val="none"/>
        </w:rPr>
      </w:pPr>
      <w:r>
        <w:rPr>
          <w:rFonts w:ascii="宋体" w:eastAsia="宋体" w:hAnsi="宋体" w:cs="宋体" w:hint="eastAsia"/>
          <w:b w:val="0"/>
          <w:bCs/>
          <w:color w:val="auto"/>
          <w:kern w:val="0"/>
          <w:sz w:val="24"/>
          <w:szCs w:val="24"/>
          <w:highlight w:val="none"/>
        </w:rPr>
        <w:t>（填写正本或副本）</w:t>
      </w:r>
    </w:p>
    <w:p>
      <w:pPr>
        <w:spacing w:line="360" w:lineRule="auto"/>
        <w:ind w:firstLine="480" w:firstLineChars="200"/>
        <w:jc w:val="center"/>
        <w:rPr>
          <w:rFonts w:ascii="宋体" w:eastAsia="宋体" w:hAnsi="宋体" w:cs="宋体" w:hint="eastAsia"/>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宋体" w:eastAsia="宋体" w:hAnsi="宋体" w:cs="宋体" w:hint="eastAsia"/>
          <w:b w:val="0"/>
          <w:bCs/>
          <w:color w:val="auto"/>
          <w:kern w:val="0"/>
          <w:sz w:val="24"/>
          <w:szCs w:val="24"/>
          <w:highlight w:val="none"/>
        </w:rPr>
      </w:pPr>
      <w:r>
        <w:rPr>
          <w:rFonts w:ascii="宋体" w:eastAsia="宋体" w:hAnsi="宋体" w:cs="宋体" w:hint="eastAsia"/>
          <w:b w:val="0"/>
          <w:bCs/>
          <w:color w:val="auto"/>
          <w:kern w:val="0"/>
          <w:sz w:val="24"/>
          <w:szCs w:val="24"/>
          <w:highlight w:val="none"/>
        </w:rPr>
        <w:t>项目名称：</w:t>
      </w:r>
      <w:r>
        <w:rPr>
          <w:rFonts w:ascii="宋体" w:eastAsia="宋体" w:hAnsi="宋体" w:cs="宋体" w:hint="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宋体" w:eastAsia="宋体" w:hAnsi="宋体" w:cs="宋体" w:hint="eastAsia"/>
          <w:b w:val="0"/>
          <w:bCs/>
          <w:color w:val="auto"/>
          <w:kern w:val="0"/>
          <w:sz w:val="24"/>
          <w:szCs w:val="24"/>
          <w:highlight w:val="none"/>
        </w:rPr>
      </w:pPr>
      <w:r>
        <w:rPr>
          <w:rFonts w:ascii="宋体" w:eastAsia="宋体" w:hAnsi="宋体" w:cs="宋体" w:hint="eastAsia"/>
          <w:b w:val="0"/>
          <w:bCs/>
          <w:color w:val="auto"/>
          <w:kern w:val="0"/>
          <w:sz w:val="24"/>
          <w:szCs w:val="24"/>
          <w:highlight w:val="none"/>
        </w:rPr>
        <w:t>项目编号：</w:t>
      </w:r>
      <w:r>
        <w:rPr>
          <w:rFonts w:ascii="宋体" w:eastAsia="宋体" w:hAnsi="宋体" w:cs="宋体" w:hint="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宋体" w:eastAsia="宋体" w:hAnsi="宋体" w:cs="宋体" w:hint="eastAsia"/>
          <w:b w:val="0"/>
          <w:bCs/>
          <w:color w:val="auto"/>
          <w:kern w:val="0"/>
          <w:sz w:val="24"/>
          <w:szCs w:val="24"/>
          <w:highlight w:val="none"/>
        </w:rPr>
      </w:pPr>
      <w:r>
        <w:rPr>
          <w:rFonts w:ascii="宋体" w:eastAsia="宋体" w:hAnsi="宋体" w:cs="宋体" w:hint="eastAsia"/>
          <w:b w:val="0"/>
          <w:bCs/>
          <w:color w:val="auto"/>
          <w:kern w:val="0"/>
          <w:sz w:val="24"/>
          <w:szCs w:val="24"/>
          <w:highlight w:val="none"/>
        </w:rPr>
        <w:t>所投采购包：</w:t>
      </w:r>
      <w:r>
        <w:rPr>
          <w:rFonts w:ascii="宋体" w:eastAsia="宋体" w:hAnsi="宋体" w:cs="宋体" w:hint="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firstLine="480" w:leftChars="700" w:firstLineChars="200"/>
        <w:jc w:val="center"/>
        <w:textAlignment w:val="auto"/>
        <w:rPr>
          <w:rFonts w:ascii="宋体" w:eastAsia="宋体" w:hAnsi="宋体" w:cs="宋体" w:hint="eastAsia"/>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宋体" w:eastAsia="宋体" w:hAnsi="宋体" w:cs="宋体" w:hint="eastAsia"/>
          <w:b w:val="0"/>
          <w:bCs/>
          <w:color w:val="auto"/>
          <w:kern w:val="0"/>
          <w:sz w:val="24"/>
          <w:szCs w:val="24"/>
          <w:highlight w:val="none"/>
        </w:rPr>
      </w:pPr>
      <w:r>
        <w:rPr>
          <w:rFonts w:ascii="宋体" w:eastAsia="宋体" w:hAnsi="宋体" w:cs="宋体" w:hint="eastAsia"/>
          <w:b w:val="0"/>
          <w:bCs/>
          <w:color w:val="auto"/>
          <w:kern w:val="0"/>
          <w:sz w:val="24"/>
          <w:szCs w:val="24"/>
          <w:highlight w:val="none"/>
        </w:rPr>
        <w:t>投标人：</w:t>
      </w:r>
      <w:r>
        <w:rPr>
          <w:rFonts w:ascii="宋体" w:eastAsia="宋体" w:hAnsi="宋体" w:cs="宋体" w:hint="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宋体" w:eastAsia="宋体" w:hAnsi="宋体" w:cs="宋体" w:hint="eastAsia"/>
          <w:b w:val="0"/>
          <w:bCs/>
          <w:color w:val="auto"/>
          <w:kern w:val="0"/>
          <w:sz w:val="24"/>
          <w:szCs w:val="24"/>
          <w:highlight w:val="none"/>
        </w:rPr>
      </w:pPr>
      <w:r>
        <w:rPr>
          <w:rFonts w:ascii="宋体" w:eastAsia="宋体" w:hAnsi="宋体" w:cs="宋体" w:hint="eastAsia"/>
          <w:b w:val="0"/>
          <w:bCs/>
          <w:color w:val="auto"/>
          <w:kern w:val="0"/>
          <w:sz w:val="24"/>
          <w:szCs w:val="24"/>
          <w:highlight w:val="none"/>
        </w:rPr>
        <w:t>日  期：</w:t>
      </w:r>
      <w:r>
        <w:rPr>
          <w:rFonts w:ascii="宋体" w:eastAsia="宋体" w:hAnsi="宋体" w:cs="宋体" w:hint="eastAsia"/>
          <w:b w:val="0"/>
          <w:bCs/>
          <w:color w:val="auto"/>
          <w:kern w:val="0"/>
          <w:sz w:val="24"/>
          <w:szCs w:val="24"/>
          <w:highlight w:val="none"/>
          <w:u w:val="single"/>
        </w:rPr>
        <w:t xml:space="preserve">                 </w:t>
      </w:r>
    </w:p>
    <w:p>
      <w:pPr>
        <w:rPr>
          <w:color w:val="auto"/>
          <w:highlight w:val="none"/>
        </w:rPr>
      </w:pPr>
      <w:r>
        <w:rPr>
          <w:rFonts w:hint="eastAsia"/>
          <w:color w:val="auto"/>
          <w:highlight w:val="none"/>
        </w:rPr>
        <w:br w:type="page"/>
      </w:r>
    </w:p>
    <w:p>
      <w:pPr>
        <w:rPr>
          <w:b/>
          <w:bCs w:val="0"/>
          <w:color w:val="auto"/>
          <w:sz w:val="28"/>
          <w:szCs w:val="28"/>
          <w:highlight w:val="none"/>
        </w:rPr>
      </w:pPr>
      <w:r>
        <w:rPr>
          <w:b/>
          <w:bCs w:val="0"/>
          <w:color w:val="auto"/>
          <w:sz w:val="28"/>
          <w:szCs w:val="28"/>
          <w:highlight w:val="none"/>
        </w:rPr>
        <w:t xml:space="preserve">格式1  </w:t>
      </w:r>
      <w:r>
        <w:rPr>
          <w:rFonts w:hint="eastAsia"/>
          <w:b/>
          <w:bCs w:val="0"/>
          <w:color w:val="auto"/>
          <w:sz w:val="28"/>
          <w:szCs w:val="28"/>
          <w:highlight w:val="none"/>
        </w:rPr>
        <w:t>投标人基本情况</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47"/>
        <w:gridCol w:w="607"/>
        <w:gridCol w:w="1676"/>
        <w:gridCol w:w="1832"/>
        <w:gridCol w:w="292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210" w:type="pct"/>
            <w:noWrap/>
            <w:vAlign w:val="center"/>
          </w:tcPr>
          <w:p>
            <w:pPr>
              <w:pStyle w:val="PlainText"/>
              <w:rPr>
                <w:color w:val="auto"/>
                <w:highlight w:val="none"/>
              </w:rPr>
            </w:pPr>
            <w:r>
              <w:rPr>
                <w:rFonts w:hint="eastAsia"/>
                <w:color w:val="auto"/>
                <w:highlight w:val="none"/>
              </w:rPr>
              <w:t>供应商名称</w:t>
            </w:r>
          </w:p>
        </w:tc>
        <w:tc>
          <w:tcPr>
            <w:tcW w:w="1229" w:type="pct"/>
            <w:gridSpan w:val="2"/>
            <w:noWrap/>
            <w:vAlign w:val="center"/>
          </w:tcPr>
          <w:p>
            <w:pPr>
              <w:pStyle w:val="PlainText"/>
              <w:rPr>
                <w:color w:val="auto"/>
                <w:highlight w:val="none"/>
              </w:rPr>
            </w:pPr>
          </w:p>
        </w:tc>
        <w:tc>
          <w:tcPr>
            <w:tcW w:w="986" w:type="pct"/>
            <w:noWrap/>
            <w:vAlign w:val="center"/>
          </w:tcPr>
          <w:p>
            <w:pPr>
              <w:pStyle w:val="PlainText"/>
              <w:rPr>
                <w:color w:val="auto"/>
                <w:highlight w:val="none"/>
              </w:rPr>
            </w:pPr>
            <w:r>
              <w:rPr>
                <w:rFonts w:hint="eastAsia"/>
                <w:color w:val="auto"/>
                <w:highlight w:val="none"/>
              </w:rPr>
              <w:t>法定代表人</w:t>
            </w:r>
          </w:p>
        </w:tc>
        <w:tc>
          <w:tcPr>
            <w:tcW w:w="1574" w:type="pct"/>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210" w:type="pct"/>
            <w:noWrap/>
            <w:vAlign w:val="center"/>
          </w:tcPr>
          <w:p>
            <w:pPr>
              <w:pStyle w:val="PlainText"/>
              <w:rPr>
                <w:color w:val="auto"/>
                <w:highlight w:val="none"/>
              </w:rPr>
            </w:pPr>
            <w:r>
              <w:rPr>
                <w:rFonts w:hint="eastAsia"/>
                <w:color w:val="auto"/>
                <w:highlight w:val="none"/>
              </w:rPr>
              <w:t>统一社会信用代码</w:t>
            </w:r>
          </w:p>
        </w:tc>
        <w:tc>
          <w:tcPr>
            <w:tcW w:w="1229" w:type="pct"/>
            <w:gridSpan w:val="2"/>
            <w:noWrap/>
            <w:vAlign w:val="center"/>
          </w:tcPr>
          <w:p>
            <w:pPr>
              <w:pStyle w:val="PlainText"/>
              <w:rPr>
                <w:color w:val="auto"/>
                <w:highlight w:val="none"/>
              </w:rPr>
            </w:pPr>
          </w:p>
        </w:tc>
        <w:tc>
          <w:tcPr>
            <w:tcW w:w="986" w:type="pct"/>
            <w:noWrap/>
            <w:vAlign w:val="center"/>
          </w:tcPr>
          <w:p>
            <w:pPr>
              <w:pStyle w:val="PlainText"/>
              <w:rPr>
                <w:color w:val="auto"/>
                <w:highlight w:val="none"/>
              </w:rPr>
            </w:pPr>
            <w:r>
              <w:rPr>
                <w:rFonts w:hint="eastAsia"/>
                <w:color w:val="auto"/>
                <w:highlight w:val="none"/>
              </w:rPr>
              <w:t>邮政编码</w:t>
            </w:r>
          </w:p>
        </w:tc>
        <w:tc>
          <w:tcPr>
            <w:tcW w:w="1574" w:type="pct"/>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210" w:type="pct"/>
            <w:noWrap/>
            <w:vAlign w:val="center"/>
          </w:tcPr>
          <w:p>
            <w:pPr>
              <w:pStyle w:val="PlainText"/>
              <w:rPr>
                <w:color w:val="auto"/>
                <w:highlight w:val="none"/>
              </w:rPr>
            </w:pPr>
            <w:r>
              <w:rPr>
                <w:rFonts w:hint="eastAsia"/>
                <w:color w:val="auto"/>
                <w:highlight w:val="none"/>
              </w:rPr>
              <w:t>授权代表</w:t>
            </w:r>
          </w:p>
        </w:tc>
        <w:tc>
          <w:tcPr>
            <w:tcW w:w="1229" w:type="pct"/>
            <w:gridSpan w:val="2"/>
            <w:noWrap/>
            <w:vAlign w:val="center"/>
          </w:tcPr>
          <w:p>
            <w:pPr>
              <w:pStyle w:val="PlainText"/>
              <w:rPr>
                <w:color w:val="auto"/>
                <w:highlight w:val="none"/>
              </w:rPr>
            </w:pPr>
          </w:p>
        </w:tc>
        <w:tc>
          <w:tcPr>
            <w:tcW w:w="986" w:type="pct"/>
            <w:noWrap/>
            <w:vAlign w:val="center"/>
          </w:tcPr>
          <w:p>
            <w:pPr>
              <w:pStyle w:val="PlainText"/>
              <w:rPr>
                <w:color w:val="auto"/>
                <w:highlight w:val="none"/>
              </w:rPr>
            </w:pPr>
            <w:r>
              <w:rPr>
                <w:rFonts w:hint="eastAsia"/>
                <w:color w:val="auto"/>
                <w:highlight w:val="none"/>
              </w:rPr>
              <w:t>联系电话</w:t>
            </w:r>
          </w:p>
        </w:tc>
        <w:tc>
          <w:tcPr>
            <w:tcW w:w="1574" w:type="pct"/>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210" w:type="pct"/>
            <w:noWrap/>
            <w:vAlign w:val="center"/>
          </w:tcPr>
          <w:p>
            <w:pPr>
              <w:pStyle w:val="PlainText"/>
              <w:rPr>
                <w:color w:val="auto"/>
                <w:highlight w:val="none"/>
              </w:rPr>
            </w:pPr>
            <w:r>
              <w:rPr>
                <w:rFonts w:hint="eastAsia"/>
                <w:color w:val="auto"/>
                <w:highlight w:val="none"/>
              </w:rPr>
              <w:t>电子邮箱</w:t>
            </w:r>
          </w:p>
        </w:tc>
        <w:tc>
          <w:tcPr>
            <w:tcW w:w="1229" w:type="pct"/>
            <w:gridSpan w:val="2"/>
            <w:noWrap/>
            <w:vAlign w:val="center"/>
          </w:tcPr>
          <w:p>
            <w:pPr>
              <w:pStyle w:val="PlainText"/>
              <w:rPr>
                <w:color w:val="auto"/>
                <w:highlight w:val="none"/>
              </w:rPr>
            </w:pPr>
          </w:p>
        </w:tc>
        <w:tc>
          <w:tcPr>
            <w:tcW w:w="986" w:type="pct"/>
            <w:noWrap/>
            <w:vAlign w:val="center"/>
          </w:tcPr>
          <w:p>
            <w:pPr>
              <w:pStyle w:val="PlainText"/>
              <w:rPr>
                <w:color w:val="auto"/>
                <w:highlight w:val="none"/>
              </w:rPr>
            </w:pPr>
            <w:r>
              <w:rPr>
                <w:rFonts w:hint="eastAsia"/>
                <w:color w:val="auto"/>
                <w:highlight w:val="none"/>
              </w:rPr>
              <w:t>传真</w:t>
            </w:r>
          </w:p>
        </w:tc>
        <w:tc>
          <w:tcPr>
            <w:tcW w:w="1574" w:type="pct"/>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210" w:type="pct"/>
            <w:noWrap/>
            <w:vAlign w:val="center"/>
          </w:tcPr>
          <w:p>
            <w:pPr>
              <w:pStyle w:val="PlainText"/>
              <w:rPr>
                <w:color w:val="auto"/>
                <w:highlight w:val="none"/>
              </w:rPr>
            </w:pPr>
            <w:r>
              <w:rPr>
                <w:rFonts w:hint="eastAsia"/>
                <w:color w:val="auto"/>
                <w:highlight w:val="none"/>
              </w:rPr>
              <w:t>上年营业收入</w:t>
            </w:r>
          </w:p>
        </w:tc>
        <w:tc>
          <w:tcPr>
            <w:tcW w:w="1229" w:type="pct"/>
            <w:gridSpan w:val="2"/>
            <w:noWrap/>
            <w:vAlign w:val="center"/>
          </w:tcPr>
          <w:p>
            <w:pPr>
              <w:pStyle w:val="PlainText"/>
              <w:rPr>
                <w:color w:val="auto"/>
                <w:highlight w:val="none"/>
              </w:rPr>
            </w:pPr>
          </w:p>
        </w:tc>
        <w:tc>
          <w:tcPr>
            <w:tcW w:w="986" w:type="pct"/>
            <w:noWrap/>
            <w:vAlign w:val="center"/>
          </w:tcPr>
          <w:p>
            <w:pPr>
              <w:pStyle w:val="PlainText"/>
              <w:rPr>
                <w:color w:val="auto"/>
                <w:highlight w:val="none"/>
              </w:rPr>
            </w:pPr>
            <w:r>
              <w:rPr>
                <w:rFonts w:hint="eastAsia"/>
                <w:color w:val="auto"/>
                <w:highlight w:val="none"/>
              </w:rPr>
              <w:t>员工总人数</w:t>
            </w:r>
          </w:p>
        </w:tc>
        <w:tc>
          <w:tcPr>
            <w:tcW w:w="1574" w:type="pct"/>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ign w:val="center"/>
          </w:tcPr>
          <w:p>
            <w:pPr>
              <w:pStyle w:val="PlainText"/>
              <w:rPr>
                <w:color w:val="auto"/>
                <w:highlight w:val="none"/>
              </w:rPr>
            </w:pPr>
            <w:r>
              <w:rPr>
                <w:rFonts w:hint="eastAsia"/>
                <w:color w:val="auto"/>
                <w:highlight w:val="none"/>
              </w:rPr>
              <w:t>基本账户开户行及账号</w:t>
            </w:r>
          </w:p>
        </w:tc>
        <w:tc>
          <w:tcPr>
            <w:tcW w:w="3462" w:type="pct"/>
            <w:gridSpan w:val="3"/>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ign w:val="center"/>
          </w:tcPr>
          <w:p>
            <w:pPr>
              <w:pStyle w:val="PlainText"/>
              <w:rPr>
                <w:color w:val="auto"/>
                <w:highlight w:val="none"/>
              </w:rPr>
            </w:pPr>
            <w:r>
              <w:rPr>
                <w:rFonts w:hint="eastAsia"/>
                <w:color w:val="auto"/>
                <w:highlight w:val="none"/>
              </w:rPr>
              <w:t>税务登记机关</w:t>
            </w:r>
          </w:p>
        </w:tc>
        <w:tc>
          <w:tcPr>
            <w:tcW w:w="3462" w:type="pct"/>
            <w:gridSpan w:val="3"/>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ign w:val="center"/>
          </w:tcPr>
          <w:p>
            <w:pPr>
              <w:pStyle w:val="PlainText"/>
              <w:rPr>
                <w:color w:val="auto"/>
                <w:highlight w:val="none"/>
              </w:rPr>
            </w:pPr>
            <w:r>
              <w:rPr>
                <w:rFonts w:hint="eastAsia"/>
                <w:color w:val="auto"/>
                <w:highlight w:val="none"/>
              </w:rPr>
              <w:t>资质名称</w:t>
            </w:r>
          </w:p>
        </w:tc>
        <w:tc>
          <w:tcPr>
            <w:tcW w:w="902" w:type="pct"/>
            <w:noWrap/>
            <w:vAlign w:val="center"/>
          </w:tcPr>
          <w:p>
            <w:pPr>
              <w:pStyle w:val="PlainText"/>
              <w:rPr>
                <w:color w:val="auto"/>
                <w:highlight w:val="none"/>
              </w:rPr>
            </w:pPr>
            <w:r>
              <w:rPr>
                <w:rFonts w:hint="eastAsia"/>
                <w:color w:val="auto"/>
                <w:highlight w:val="none"/>
              </w:rPr>
              <w:t>等级</w:t>
            </w:r>
          </w:p>
        </w:tc>
        <w:tc>
          <w:tcPr>
            <w:tcW w:w="986" w:type="pct"/>
            <w:noWrap/>
            <w:vAlign w:val="center"/>
          </w:tcPr>
          <w:p>
            <w:pPr>
              <w:pStyle w:val="PlainText"/>
              <w:rPr>
                <w:color w:val="auto"/>
                <w:highlight w:val="none"/>
              </w:rPr>
            </w:pPr>
            <w:r>
              <w:rPr>
                <w:rFonts w:hint="eastAsia"/>
                <w:color w:val="auto"/>
                <w:highlight w:val="none"/>
              </w:rPr>
              <w:t>发证机关</w:t>
            </w:r>
          </w:p>
        </w:tc>
        <w:tc>
          <w:tcPr>
            <w:tcW w:w="1574" w:type="pct"/>
            <w:noWrap/>
            <w:vAlign w:val="center"/>
          </w:tcPr>
          <w:p>
            <w:pPr>
              <w:pStyle w:val="PlainText"/>
              <w:rPr>
                <w:color w:val="auto"/>
                <w:highlight w:val="none"/>
              </w:rPr>
            </w:pPr>
            <w:r>
              <w:rPr>
                <w:rFonts w:hint="eastAsia"/>
                <w:color w:val="auto"/>
                <w:highlight w:val="none"/>
              </w:rPr>
              <w:t>有效期</w:t>
            </w:r>
          </w:p>
        </w:tc>
      </w:tr>
      <w:tr>
        <w:tblPrEx>
          <w:tblW w:w="5000" w:type="pct"/>
          <w:jc w:val="center"/>
          <w:tblCellMar>
            <w:top w:w="0" w:type="dxa"/>
            <w:left w:w="108" w:type="dxa"/>
            <w:bottom w:w="0" w:type="dxa"/>
            <w:right w:w="108" w:type="dxa"/>
          </w:tblCellMar>
        </w:tblPrEx>
        <w:trPr>
          <w:jc w:val="center"/>
        </w:trPr>
        <w:tc>
          <w:tcPr>
            <w:tcW w:w="1537" w:type="pct"/>
            <w:gridSpan w:val="2"/>
            <w:noWrap/>
            <w:vAlign w:val="center"/>
          </w:tcPr>
          <w:p>
            <w:pPr>
              <w:pStyle w:val="PlainText"/>
              <w:rPr>
                <w:color w:val="auto"/>
                <w:highlight w:val="none"/>
              </w:rPr>
            </w:pPr>
          </w:p>
        </w:tc>
        <w:tc>
          <w:tcPr>
            <w:tcW w:w="902" w:type="pct"/>
            <w:noWrap/>
            <w:vAlign w:val="center"/>
          </w:tcPr>
          <w:p>
            <w:pPr>
              <w:pStyle w:val="PlainText"/>
              <w:rPr>
                <w:color w:val="auto"/>
                <w:highlight w:val="none"/>
              </w:rPr>
            </w:pPr>
          </w:p>
        </w:tc>
        <w:tc>
          <w:tcPr>
            <w:tcW w:w="986" w:type="pct"/>
            <w:noWrap/>
            <w:vAlign w:val="center"/>
          </w:tcPr>
          <w:p>
            <w:pPr>
              <w:pStyle w:val="PlainText"/>
              <w:rPr>
                <w:color w:val="auto"/>
                <w:highlight w:val="none"/>
              </w:rPr>
            </w:pPr>
          </w:p>
        </w:tc>
        <w:tc>
          <w:tcPr>
            <w:tcW w:w="1574" w:type="pct"/>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ign w:val="center"/>
          </w:tcPr>
          <w:p>
            <w:pPr>
              <w:pStyle w:val="PlainText"/>
              <w:rPr>
                <w:color w:val="auto"/>
                <w:highlight w:val="none"/>
              </w:rPr>
            </w:pPr>
          </w:p>
        </w:tc>
        <w:tc>
          <w:tcPr>
            <w:tcW w:w="902" w:type="pct"/>
            <w:noWrap/>
            <w:vAlign w:val="center"/>
          </w:tcPr>
          <w:p>
            <w:pPr>
              <w:pStyle w:val="PlainText"/>
              <w:rPr>
                <w:color w:val="auto"/>
                <w:highlight w:val="none"/>
              </w:rPr>
            </w:pPr>
          </w:p>
        </w:tc>
        <w:tc>
          <w:tcPr>
            <w:tcW w:w="986" w:type="pct"/>
            <w:noWrap/>
            <w:vAlign w:val="center"/>
          </w:tcPr>
          <w:p>
            <w:pPr>
              <w:pStyle w:val="PlainText"/>
              <w:rPr>
                <w:color w:val="auto"/>
                <w:highlight w:val="none"/>
              </w:rPr>
            </w:pPr>
          </w:p>
        </w:tc>
        <w:tc>
          <w:tcPr>
            <w:tcW w:w="1574" w:type="pct"/>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noWrap/>
            <w:vAlign w:val="center"/>
          </w:tcPr>
          <w:p>
            <w:pPr>
              <w:pStyle w:val="PlainText"/>
              <w:rPr>
                <w:rFonts w:ascii="Times New Roman" w:hAnsi="Times New Roman"/>
                <w:color w:val="auto"/>
                <w:highlight w:val="none"/>
              </w:rPr>
            </w:pPr>
            <w:r>
              <w:rPr>
                <w:rFonts w:hint="eastAsia"/>
                <w:color w:val="auto"/>
                <w:highlight w:val="none"/>
              </w:rPr>
              <w:t>供应商直接控股股东信息</w:t>
            </w:r>
          </w:p>
        </w:tc>
      </w:tr>
      <w:tr>
        <w:tblPrEx>
          <w:tblW w:w="5000" w:type="pct"/>
          <w:jc w:val="center"/>
          <w:tblCellMar>
            <w:top w:w="0" w:type="dxa"/>
            <w:left w:w="108" w:type="dxa"/>
            <w:bottom w:w="0" w:type="dxa"/>
            <w:right w:w="108" w:type="dxa"/>
          </w:tblCellMar>
        </w:tblPrEx>
        <w:trPr>
          <w:jc w:val="center"/>
        </w:trPr>
        <w:tc>
          <w:tcPr>
            <w:tcW w:w="1537" w:type="pct"/>
            <w:gridSpan w:val="2"/>
            <w:noWrap/>
            <w:vAlign w:val="center"/>
          </w:tcPr>
          <w:p>
            <w:pPr>
              <w:rPr>
                <w:rFonts w:ascii="Times New Roman" w:hAnsi="Times New Roman"/>
                <w:color w:val="auto"/>
                <w:highlight w:val="none"/>
              </w:rPr>
            </w:pPr>
            <w:r>
              <w:rPr>
                <w:rFonts w:hint="eastAsia"/>
                <w:color w:val="auto"/>
                <w:highlight w:val="none"/>
              </w:rPr>
              <w:t>直接控股股东名称</w:t>
            </w:r>
          </w:p>
        </w:tc>
        <w:tc>
          <w:tcPr>
            <w:tcW w:w="902" w:type="pct"/>
            <w:noWrap/>
            <w:vAlign w:val="center"/>
          </w:tcPr>
          <w:p>
            <w:pPr>
              <w:rPr>
                <w:rFonts w:ascii="Times New Roman" w:hAnsi="Times New Roman"/>
                <w:color w:val="auto"/>
                <w:highlight w:val="none"/>
              </w:rPr>
            </w:pPr>
            <w:r>
              <w:rPr>
                <w:rFonts w:hint="eastAsia"/>
                <w:color w:val="auto"/>
                <w:highlight w:val="none"/>
              </w:rPr>
              <w:t>出资比例</w:t>
            </w:r>
          </w:p>
        </w:tc>
        <w:tc>
          <w:tcPr>
            <w:tcW w:w="2560" w:type="pct"/>
            <w:gridSpan w:val="2"/>
            <w:noWrap/>
            <w:vAlign w:val="center"/>
          </w:tcPr>
          <w:p>
            <w:pPr>
              <w:rPr>
                <w:rFonts w:ascii="Times New Roman" w:hAnsi="Times New Roman"/>
                <w:color w:val="auto"/>
                <w:highlight w:val="none"/>
              </w:rPr>
            </w:pPr>
            <w:r>
              <w:rPr>
                <w:rFonts w:hint="eastAsia"/>
                <w:color w:val="auto"/>
                <w:highlight w:val="none"/>
              </w:rPr>
              <w:t>身份证号码或者统一社会信用代码</w:t>
            </w:r>
          </w:p>
        </w:tc>
      </w:tr>
      <w:tr>
        <w:tblPrEx>
          <w:tblW w:w="5000" w:type="pct"/>
          <w:jc w:val="center"/>
          <w:tblCellMar>
            <w:top w:w="0" w:type="dxa"/>
            <w:left w:w="108" w:type="dxa"/>
            <w:bottom w:w="0" w:type="dxa"/>
            <w:right w:w="108" w:type="dxa"/>
          </w:tblCellMar>
        </w:tblPrEx>
        <w:trPr>
          <w:jc w:val="center"/>
        </w:trPr>
        <w:tc>
          <w:tcPr>
            <w:tcW w:w="1537" w:type="pct"/>
            <w:gridSpan w:val="2"/>
            <w:noWrap/>
            <w:vAlign w:val="center"/>
          </w:tcPr>
          <w:p>
            <w:pPr>
              <w:pStyle w:val="PlainText"/>
              <w:rPr>
                <w:color w:val="auto"/>
                <w:highlight w:val="none"/>
              </w:rPr>
            </w:pPr>
          </w:p>
        </w:tc>
        <w:tc>
          <w:tcPr>
            <w:tcW w:w="902" w:type="pct"/>
            <w:noWrap/>
            <w:vAlign w:val="center"/>
          </w:tcPr>
          <w:p>
            <w:pPr>
              <w:pStyle w:val="PlainText"/>
              <w:rPr>
                <w:color w:val="auto"/>
                <w:highlight w:val="none"/>
              </w:rPr>
            </w:pPr>
          </w:p>
        </w:tc>
        <w:tc>
          <w:tcPr>
            <w:tcW w:w="2560" w:type="pct"/>
            <w:gridSpan w:val="2"/>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ign w:val="center"/>
          </w:tcPr>
          <w:p>
            <w:pPr>
              <w:pStyle w:val="PlainText"/>
              <w:rPr>
                <w:color w:val="auto"/>
                <w:highlight w:val="none"/>
              </w:rPr>
            </w:pPr>
          </w:p>
        </w:tc>
        <w:tc>
          <w:tcPr>
            <w:tcW w:w="902" w:type="pct"/>
            <w:noWrap/>
            <w:vAlign w:val="center"/>
          </w:tcPr>
          <w:p>
            <w:pPr>
              <w:pStyle w:val="PlainText"/>
              <w:rPr>
                <w:color w:val="auto"/>
                <w:highlight w:val="none"/>
              </w:rPr>
            </w:pPr>
          </w:p>
        </w:tc>
        <w:tc>
          <w:tcPr>
            <w:tcW w:w="2560" w:type="pct"/>
            <w:gridSpan w:val="2"/>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537" w:type="pct"/>
            <w:gridSpan w:val="2"/>
            <w:noWrap/>
            <w:vAlign w:val="center"/>
          </w:tcPr>
          <w:p>
            <w:pPr>
              <w:pStyle w:val="PlainText"/>
              <w:rPr>
                <w:color w:val="auto"/>
                <w:highlight w:val="none"/>
              </w:rPr>
            </w:pPr>
          </w:p>
        </w:tc>
        <w:tc>
          <w:tcPr>
            <w:tcW w:w="902" w:type="pct"/>
            <w:noWrap/>
            <w:vAlign w:val="center"/>
          </w:tcPr>
          <w:p>
            <w:pPr>
              <w:pStyle w:val="PlainText"/>
              <w:rPr>
                <w:color w:val="auto"/>
                <w:highlight w:val="none"/>
              </w:rPr>
            </w:pPr>
          </w:p>
        </w:tc>
        <w:tc>
          <w:tcPr>
            <w:tcW w:w="2560" w:type="pct"/>
            <w:gridSpan w:val="2"/>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5000" w:type="pct"/>
            <w:gridSpan w:val="5"/>
            <w:noWrap/>
            <w:vAlign w:val="center"/>
          </w:tcPr>
          <w:p>
            <w:pPr>
              <w:pStyle w:val="PlainText"/>
              <w:rPr>
                <w:rFonts w:ascii="Times New Roman" w:hAnsi="Times New Roman"/>
                <w:color w:val="auto"/>
                <w:highlight w:val="none"/>
              </w:rPr>
            </w:pPr>
            <w:r>
              <w:rPr>
                <w:rFonts w:hint="eastAsia"/>
                <w:color w:val="auto"/>
                <w:highlight w:val="none"/>
              </w:rPr>
              <w:t>供应商直接管理关系信息表</w:t>
            </w:r>
          </w:p>
        </w:tc>
      </w:tr>
      <w:tr>
        <w:tblPrEx>
          <w:tblW w:w="5000" w:type="pct"/>
          <w:jc w:val="center"/>
          <w:tblCellMar>
            <w:top w:w="0" w:type="dxa"/>
            <w:left w:w="108" w:type="dxa"/>
            <w:bottom w:w="0" w:type="dxa"/>
            <w:right w:w="108" w:type="dxa"/>
          </w:tblCellMar>
        </w:tblPrEx>
        <w:trPr>
          <w:jc w:val="center"/>
        </w:trPr>
        <w:tc>
          <w:tcPr>
            <w:tcW w:w="2439" w:type="pct"/>
            <w:gridSpan w:val="3"/>
            <w:noWrap/>
            <w:vAlign w:val="center"/>
          </w:tcPr>
          <w:p>
            <w:pPr>
              <w:rPr>
                <w:rFonts w:ascii="Times New Roman" w:hAnsi="Times New Roman"/>
                <w:color w:val="auto"/>
                <w:highlight w:val="none"/>
              </w:rPr>
            </w:pPr>
            <w:r>
              <w:rPr>
                <w:rFonts w:hint="eastAsia"/>
                <w:color w:val="auto"/>
                <w:highlight w:val="none"/>
              </w:rPr>
              <w:t>直接管理关系单位名称</w:t>
            </w:r>
          </w:p>
        </w:tc>
        <w:tc>
          <w:tcPr>
            <w:tcW w:w="2560" w:type="pct"/>
            <w:gridSpan w:val="2"/>
            <w:noWrap/>
            <w:vAlign w:val="center"/>
          </w:tcPr>
          <w:p>
            <w:pPr>
              <w:pStyle w:val="PlainText"/>
              <w:rPr>
                <w:rFonts w:ascii="Times New Roman" w:hAnsi="Times New Roman"/>
                <w:color w:val="auto"/>
                <w:highlight w:val="none"/>
              </w:rPr>
            </w:pPr>
            <w:r>
              <w:rPr>
                <w:rFonts w:hint="eastAsia"/>
                <w:color w:val="auto"/>
                <w:highlight w:val="none"/>
              </w:rPr>
              <w:t>统一社会信用代码</w:t>
            </w:r>
          </w:p>
        </w:tc>
      </w:tr>
      <w:tr>
        <w:tblPrEx>
          <w:tblW w:w="5000" w:type="pct"/>
          <w:jc w:val="center"/>
          <w:tblCellMar>
            <w:top w:w="0" w:type="dxa"/>
            <w:left w:w="108" w:type="dxa"/>
            <w:bottom w:w="0" w:type="dxa"/>
            <w:right w:w="108" w:type="dxa"/>
          </w:tblCellMar>
        </w:tblPrEx>
        <w:trPr>
          <w:jc w:val="center"/>
        </w:trPr>
        <w:tc>
          <w:tcPr>
            <w:tcW w:w="2439" w:type="pct"/>
            <w:gridSpan w:val="3"/>
            <w:noWrap/>
            <w:vAlign w:val="center"/>
          </w:tcPr>
          <w:p>
            <w:pPr>
              <w:pStyle w:val="PlainText"/>
              <w:rPr>
                <w:color w:val="auto"/>
                <w:highlight w:val="none"/>
              </w:rPr>
            </w:pPr>
          </w:p>
        </w:tc>
        <w:tc>
          <w:tcPr>
            <w:tcW w:w="2560" w:type="pct"/>
            <w:gridSpan w:val="2"/>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2439" w:type="pct"/>
            <w:gridSpan w:val="3"/>
            <w:noWrap/>
            <w:vAlign w:val="center"/>
          </w:tcPr>
          <w:p>
            <w:pPr>
              <w:pStyle w:val="PlainText"/>
              <w:rPr>
                <w:color w:val="auto"/>
                <w:highlight w:val="none"/>
              </w:rPr>
            </w:pPr>
          </w:p>
        </w:tc>
        <w:tc>
          <w:tcPr>
            <w:tcW w:w="2560" w:type="pct"/>
            <w:gridSpan w:val="2"/>
            <w:noWrap/>
            <w:vAlign w:val="center"/>
          </w:tcPr>
          <w:p>
            <w:pPr>
              <w:pStyle w:val="PlainText"/>
              <w:rPr>
                <w:color w:val="auto"/>
                <w:highlight w:val="none"/>
              </w:rPr>
            </w:pPr>
          </w:p>
        </w:tc>
      </w:tr>
      <w:tr>
        <w:tblPrEx>
          <w:tblW w:w="5000" w:type="pct"/>
          <w:jc w:val="center"/>
          <w:tblCellMar>
            <w:top w:w="0" w:type="dxa"/>
            <w:left w:w="108" w:type="dxa"/>
            <w:bottom w:w="0" w:type="dxa"/>
            <w:right w:w="108" w:type="dxa"/>
          </w:tblCellMar>
        </w:tblPrEx>
        <w:trPr>
          <w:jc w:val="center"/>
        </w:trPr>
        <w:tc>
          <w:tcPr>
            <w:tcW w:w="1210" w:type="pct"/>
            <w:noWrap/>
            <w:vAlign w:val="center"/>
          </w:tcPr>
          <w:p>
            <w:pPr>
              <w:pStyle w:val="PlainText"/>
              <w:rPr>
                <w:color w:val="auto"/>
                <w:highlight w:val="none"/>
              </w:rPr>
            </w:pPr>
            <w:r>
              <w:rPr>
                <w:rFonts w:hint="eastAsia"/>
                <w:color w:val="auto"/>
                <w:highlight w:val="none"/>
              </w:rPr>
              <w:t>备注</w:t>
            </w:r>
          </w:p>
        </w:tc>
        <w:tc>
          <w:tcPr>
            <w:tcW w:w="3789" w:type="pct"/>
            <w:gridSpan w:val="4"/>
            <w:noWrap/>
            <w:vAlign w:val="center"/>
          </w:tcPr>
          <w:p>
            <w:pPr>
              <w:pStyle w:val="PlainText"/>
              <w:rPr>
                <w:color w:val="auto"/>
                <w:highlight w:val="none"/>
              </w:rPr>
            </w:pPr>
          </w:p>
        </w:tc>
      </w:tr>
    </w:tbl>
    <w:p>
      <w:pPr>
        <w:jc w:val="left"/>
        <w:rPr>
          <w:rFonts w:hAnsi="宋体"/>
          <w:b/>
          <w:bCs w:val="0"/>
          <w:color w:val="auto"/>
          <w:sz w:val="24"/>
          <w:highlight w:val="none"/>
        </w:rPr>
      </w:pPr>
      <w:r>
        <w:rPr>
          <w:rFonts w:hint="eastAsia"/>
          <w:b/>
          <w:bCs w:val="0"/>
          <w:color w:val="auto"/>
          <w:highlight w:val="none"/>
        </w:rPr>
        <w:t>（附</w:t>
      </w:r>
      <w:r>
        <w:rPr>
          <w:rFonts w:hint="eastAsia"/>
          <w:b/>
          <w:bCs w:val="0"/>
          <w:color w:val="auto"/>
          <w:highlight w:val="none"/>
          <w:lang w:eastAsia="zh-CN"/>
        </w:rPr>
        <w:t>：</w:t>
      </w:r>
      <w:r>
        <w:rPr>
          <w:b/>
          <w:bCs w:val="0"/>
          <w:color w:val="auto"/>
          <w:highlight w:val="none"/>
        </w:rPr>
        <w:t>法人或者其他组织的营业执照等证明文件复印件</w:t>
      </w:r>
      <w:r>
        <w:rPr>
          <w:rFonts w:hint="eastAsia"/>
          <w:b/>
          <w:bCs w:val="0"/>
          <w:color w:val="auto"/>
          <w:highlight w:val="none"/>
        </w:rPr>
        <w:t>；投标人如为</w:t>
      </w:r>
      <w:r>
        <w:rPr>
          <w:b/>
          <w:bCs w:val="0"/>
          <w:color w:val="auto"/>
          <w:highlight w:val="none"/>
        </w:rPr>
        <w:t>自然人</w:t>
      </w:r>
      <w:r>
        <w:rPr>
          <w:rFonts w:hint="eastAsia"/>
          <w:b/>
          <w:bCs w:val="0"/>
          <w:color w:val="auto"/>
          <w:highlight w:val="none"/>
        </w:rPr>
        <w:t>，提供自然人</w:t>
      </w:r>
      <w:r>
        <w:rPr>
          <w:b/>
          <w:bCs w:val="0"/>
          <w:color w:val="auto"/>
          <w:highlight w:val="none"/>
        </w:rPr>
        <w:t>的身份证复印件</w:t>
      </w:r>
      <w:r>
        <w:rPr>
          <w:rFonts w:hint="eastAsia"/>
          <w:b/>
          <w:bCs w:val="0"/>
          <w:color w:val="auto"/>
          <w:highlight w:val="none"/>
          <w:lang w:eastAsia="zh-CN"/>
        </w:rPr>
        <w:t>。</w:t>
      </w:r>
      <w:r>
        <w:rPr>
          <w:rFonts w:hint="eastAsia"/>
          <w:b/>
          <w:bCs w:val="0"/>
          <w:color w:val="auto"/>
          <w:highlight w:val="none"/>
        </w:rPr>
        <w:t>线上采购项目提供扫描件，下同）</w:t>
      </w:r>
    </w:p>
    <w:p>
      <w:pPr>
        <w:jc w:val="left"/>
        <w:rPr>
          <w:color w:val="auto"/>
          <w:highlight w:val="none"/>
        </w:rPr>
      </w:pPr>
    </w:p>
    <w:p>
      <w:pPr>
        <w:jc w:val="left"/>
        <w:rPr>
          <w:color w:val="auto"/>
          <w:highlight w:val="none"/>
        </w:rPr>
      </w:pPr>
    </w:p>
    <w:p>
      <w:pPr>
        <w:jc w:val="left"/>
        <w:rPr>
          <w:color w:val="auto"/>
          <w:highlight w:val="none"/>
        </w:rPr>
      </w:pPr>
      <w:r>
        <w:rPr>
          <w:rFonts w:hint="eastAsia"/>
          <w:color w:val="auto"/>
          <w:highlight w:val="none"/>
        </w:rPr>
        <w:t>投标人（全称并加盖公章）：</w:t>
      </w:r>
    </w:p>
    <w:p>
      <w:pPr>
        <w:jc w:val="left"/>
        <w:rPr>
          <w:color w:val="auto"/>
          <w:highlight w:val="none"/>
        </w:rPr>
      </w:pPr>
      <w:r>
        <w:rPr>
          <w:rFonts w:hint="eastAsia"/>
          <w:color w:val="auto"/>
          <w:highlight w:val="none"/>
        </w:rPr>
        <w:t>投标人代表（签字）：</w:t>
      </w:r>
    </w:p>
    <w:p>
      <w:pPr>
        <w:jc w:val="left"/>
        <w:rPr>
          <w:color w:val="auto"/>
          <w:highlight w:val="none"/>
        </w:rPr>
      </w:pPr>
      <w:r>
        <w:rPr>
          <w:rFonts w:hint="eastAsia"/>
          <w:color w:val="auto"/>
          <w:highlight w:val="none"/>
        </w:rPr>
        <w:t>日期：</w:t>
      </w:r>
    </w:p>
    <w:p>
      <w:pPr>
        <w:jc w:val="left"/>
        <w:rPr>
          <w:color w:val="auto"/>
          <w:highlight w:val="none"/>
        </w:rPr>
      </w:pPr>
    </w:p>
    <w:p>
      <w:pPr>
        <w:pStyle w:val="PlainText"/>
        <w:rPr>
          <w:rFonts w:hAnsi="宋体" w:cs="宋体"/>
          <w:b/>
          <w:bCs w:val="0"/>
          <w:color w:val="auto"/>
          <w:sz w:val="28"/>
          <w:szCs w:val="28"/>
          <w:highlight w:val="none"/>
        </w:rPr>
      </w:pPr>
      <w:r>
        <w:rPr>
          <w:rFonts w:eastAsia="仿宋_GB2312"/>
          <w:color w:val="auto"/>
          <w:highlight w:val="none"/>
        </w:rPr>
        <w:br w:type="page"/>
      </w:r>
      <w:r>
        <w:rPr>
          <w:rFonts w:hAnsi="宋体" w:cs="宋体" w:hint="eastAsia"/>
          <w:b/>
          <w:bCs w:val="0"/>
          <w:color w:val="auto"/>
          <w:sz w:val="28"/>
          <w:szCs w:val="28"/>
          <w:highlight w:val="none"/>
        </w:rPr>
        <w:t xml:space="preserve">格式2  </w:t>
      </w:r>
      <w:r>
        <w:rPr>
          <w:rFonts w:hint="eastAsia"/>
          <w:b/>
          <w:bCs w:val="0"/>
          <w:color w:val="auto"/>
          <w:sz w:val="28"/>
          <w:szCs w:val="28"/>
          <w:highlight w:val="none"/>
        </w:rPr>
        <w:t>投标人具备投标资格证明文件</w:t>
      </w:r>
    </w:p>
    <w:p>
      <w:pPr>
        <w:rPr>
          <w:b/>
          <w:bCs w:val="0"/>
          <w:color w:val="auto"/>
          <w:sz w:val="28"/>
          <w:szCs w:val="28"/>
          <w:highlight w:val="none"/>
        </w:rPr>
      </w:pPr>
      <w:r>
        <w:rPr>
          <w:rFonts w:ascii="宋体" w:hAnsi="宋体" w:hint="eastAsia"/>
          <w:b/>
          <w:bCs w:val="0"/>
          <w:color w:val="auto"/>
          <w:sz w:val="28"/>
          <w:szCs w:val="28"/>
          <w:highlight w:val="none"/>
        </w:rPr>
        <w:t>2-1</w:t>
      </w:r>
      <w:r>
        <w:rPr>
          <w:rFonts w:hint="eastAsia"/>
          <w:b/>
          <w:bCs w:val="0"/>
          <w:color w:val="auto"/>
          <w:sz w:val="28"/>
          <w:szCs w:val="28"/>
          <w:highlight w:val="none"/>
        </w:rPr>
        <w:t>财务状况报告</w:t>
      </w:r>
    </w:p>
    <w:p>
      <w:pPr>
        <w:rPr>
          <w:color w:val="auto"/>
          <w:highlight w:val="none"/>
        </w:rPr>
      </w:pPr>
      <w:r>
        <w:rPr>
          <w:rFonts w:hint="eastAsia"/>
          <w:color w:val="auto"/>
          <w:highlight w:val="none"/>
        </w:rPr>
        <w:t>根据资格条件要求提供相应材料。</w:t>
      </w:r>
    </w:p>
    <w:p>
      <w:pPr>
        <w:rPr>
          <w:color w:val="auto"/>
          <w:highlight w:val="none"/>
        </w:rPr>
      </w:pPr>
    </w:p>
    <w:p>
      <w:pPr>
        <w:rPr>
          <w:color w:val="auto"/>
          <w:highlight w:val="none"/>
        </w:rPr>
      </w:pPr>
    </w:p>
    <w:p>
      <w:pPr>
        <w:rPr>
          <w:b/>
          <w:bCs w:val="0"/>
          <w:color w:val="auto"/>
          <w:sz w:val="28"/>
          <w:szCs w:val="28"/>
          <w:highlight w:val="none"/>
        </w:rPr>
      </w:pPr>
      <w:r>
        <w:rPr>
          <w:rFonts w:hint="eastAsia"/>
          <w:b/>
          <w:bCs w:val="0"/>
          <w:color w:val="auto"/>
          <w:sz w:val="28"/>
          <w:szCs w:val="28"/>
          <w:highlight w:val="none"/>
        </w:rPr>
        <w:t>2-2依法缴纳税收的相关材料</w:t>
      </w:r>
    </w:p>
    <w:p>
      <w:pPr>
        <w:rPr>
          <w:color w:val="auto"/>
          <w:highlight w:val="none"/>
        </w:rPr>
      </w:pPr>
      <w:r>
        <w:rPr>
          <w:rFonts w:hint="eastAsia"/>
          <w:color w:val="auto"/>
          <w:highlight w:val="none"/>
        </w:rPr>
        <w:t>根据资格条件要求提供相应材料。</w:t>
      </w:r>
    </w:p>
    <w:p>
      <w:pPr>
        <w:rPr>
          <w:color w:val="auto"/>
          <w:highlight w:val="none"/>
        </w:rPr>
      </w:pPr>
    </w:p>
    <w:p>
      <w:pPr>
        <w:rPr>
          <w:color w:val="auto"/>
          <w:highlight w:val="none"/>
        </w:rPr>
      </w:pPr>
    </w:p>
    <w:p>
      <w:pPr>
        <w:rPr>
          <w:rFonts w:hint="eastAsia"/>
          <w:b/>
          <w:bCs w:val="0"/>
          <w:color w:val="auto"/>
          <w:sz w:val="28"/>
          <w:szCs w:val="28"/>
          <w:highlight w:val="none"/>
        </w:rPr>
      </w:pPr>
      <w:r>
        <w:rPr>
          <w:rFonts w:hint="eastAsia"/>
          <w:b/>
          <w:bCs w:val="0"/>
          <w:color w:val="auto"/>
          <w:sz w:val="28"/>
          <w:szCs w:val="28"/>
          <w:highlight w:val="none"/>
        </w:rPr>
        <w:t>2-3依法缴纳社会保障资金的相关材料</w:t>
      </w:r>
    </w:p>
    <w:p>
      <w:pPr>
        <w:rPr>
          <w:color w:val="auto"/>
          <w:highlight w:val="none"/>
        </w:rPr>
      </w:pPr>
      <w:r>
        <w:rPr>
          <w:rFonts w:hint="eastAsia"/>
          <w:color w:val="auto"/>
          <w:highlight w:val="none"/>
        </w:rPr>
        <w:t>根据资格条件要求提供相应材料。</w:t>
      </w:r>
    </w:p>
    <w:p>
      <w:pPr>
        <w:rPr>
          <w:color w:val="auto"/>
          <w:highlight w:val="none"/>
        </w:rPr>
      </w:pPr>
    </w:p>
    <w:p>
      <w:pPr>
        <w:rPr>
          <w:color w:val="auto"/>
          <w:highlight w:val="none"/>
        </w:rPr>
      </w:pPr>
    </w:p>
    <w:p>
      <w:pPr>
        <w:rPr>
          <w:rFonts w:hint="eastAsia"/>
          <w:b/>
          <w:bCs w:val="0"/>
          <w:color w:val="auto"/>
          <w:sz w:val="28"/>
          <w:szCs w:val="28"/>
          <w:highlight w:val="none"/>
        </w:rPr>
      </w:pPr>
      <w:r>
        <w:rPr>
          <w:rFonts w:hint="eastAsia"/>
          <w:b/>
          <w:bCs w:val="0"/>
          <w:color w:val="auto"/>
          <w:sz w:val="28"/>
          <w:szCs w:val="28"/>
          <w:highlight w:val="none"/>
        </w:rPr>
        <w:t>2-4具备履行合同所必需的设备和专业技术能力的证明材料</w:t>
      </w:r>
    </w:p>
    <w:p>
      <w:pPr>
        <w:rPr>
          <w:color w:val="auto"/>
          <w:highlight w:val="none"/>
        </w:rPr>
      </w:pPr>
      <w:r>
        <w:rPr>
          <w:rFonts w:hint="eastAsia"/>
          <w:color w:val="auto"/>
          <w:highlight w:val="none"/>
        </w:rPr>
        <w:t>根据资格条件要求提供相应材料。</w:t>
      </w:r>
    </w:p>
    <w:p>
      <w:pPr>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p>
    <w:p>
      <w:pPr>
        <w:rPr>
          <w:rFonts w:hint="eastAsia"/>
          <w:b/>
          <w:bCs w:val="0"/>
          <w:color w:val="auto"/>
          <w:sz w:val="28"/>
          <w:szCs w:val="28"/>
          <w:highlight w:val="none"/>
        </w:rPr>
      </w:pPr>
      <w:r>
        <w:rPr>
          <w:rFonts w:hint="eastAsia"/>
          <w:b/>
          <w:bCs w:val="0"/>
          <w:color w:val="auto"/>
          <w:sz w:val="28"/>
          <w:szCs w:val="28"/>
          <w:highlight w:val="none"/>
        </w:rPr>
        <w:t>格式3  参加本次政府采购活动前三年内在经营活动中</w:t>
      </w:r>
    </w:p>
    <w:p>
      <w:pPr>
        <w:rPr>
          <w:b/>
          <w:bCs w:val="0"/>
          <w:color w:val="auto"/>
          <w:sz w:val="28"/>
          <w:szCs w:val="28"/>
          <w:highlight w:val="none"/>
        </w:rPr>
      </w:pPr>
      <w:r>
        <w:rPr>
          <w:rFonts w:hint="eastAsia"/>
          <w:b/>
          <w:bCs w:val="0"/>
          <w:color w:val="auto"/>
          <w:sz w:val="28"/>
          <w:szCs w:val="28"/>
          <w:highlight w:val="none"/>
        </w:rPr>
        <w:t>没有重大违法记录的书面声明</w:t>
      </w:r>
    </w:p>
    <w:p>
      <w:pPr>
        <w:rPr>
          <w:color w:val="auto"/>
          <w:highlight w:val="none"/>
        </w:rPr>
      </w:pPr>
    </w:p>
    <w:p>
      <w:pPr>
        <w:jc w:val="left"/>
        <w:rPr>
          <w:color w:val="auto"/>
          <w:highlight w:val="none"/>
        </w:rPr>
      </w:pPr>
      <w:r>
        <w:rPr>
          <w:rFonts w:hint="eastAsia"/>
          <w:color w:val="auto"/>
          <w:highlight w:val="none"/>
        </w:rPr>
        <w:t>致</w:t>
      </w:r>
      <w:r>
        <w:rPr>
          <w:color w:val="auto"/>
          <w:highlight w:val="none"/>
        </w:rPr>
        <w:t>________</w:t>
      </w:r>
      <w:r>
        <w:rPr>
          <w:rFonts w:hint="eastAsia"/>
          <w:color w:val="auto"/>
          <w:highlight w:val="none"/>
        </w:rPr>
        <w:t>（采购人或采购代理机构）：</w:t>
      </w:r>
    </w:p>
    <w:p>
      <w:pPr>
        <w:ind w:firstLine="420" w:firstLineChars="200"/>
        <w:jc w:val="left"/>
        <w:rPr>
          <w:color w:val="auto"/>
          <w:highlight w:val="none"/>
        </w:rPr>
      </w:pPr>
      <w:r>
        <w:rPr>
          <w:rFonts w:hint="eastAsia"/>
          <w:color w:val="auto"/>
          <w:highlight w:val="none"/>
        </w:rPr>
        <w:t>我单位在参加本次采购活动前三年内在经营活动中没有《政府采购法》第二十二条第一款第（五）项所称重大违法记录，包括：</w:t>
      </w:r>
    </w:p>
    <w:p>
      <w:pPr>
        <w:ind w:firstLine="420" w:firstLineChars="200"/>
        <w:jc w:val="left"/>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pPr>
        <w:ind w:firstLine="420" w:firstLineChars="200"/>
        <w:jc w:val="left"/>
        <w:rPr>
          <w:color w:val="auto"/>
          <w:highlight w:val="none"/>
        </w:rPr>
      </w:pPr>
      <w:r>
        <w:rPr>
          <w:rFonts w:hint="eastAsia"/>
          <w:color w:val="auto"/>
          <w:highlight w:val="none"/>
        </w:rPr>
        <w:t>特此声明！</w:t>
      </w:r>
    </w:p>
    <w:p>
      <w:pPr>
        <w:jc w:val="left"/>
        <w:rPr>
          <w:color w:val="auto"/>
          <w:highlight w:val="none"/>
        </w:rPr>
      </w:pPr>
    </w:p>
    <w:p>
      <w:pPr>
        <w:ind w:firstLine="630" w:firstLineChars="300"/>
        <w:jc w:val="left"/>
        <w:rPr>
          <w:color w:val="auto"/>
          <w:highlight w:val="none"/>
        </w:rPr>
      </w:pPr>
      <w:r>
        <w:rPr>
          <w:rFonts w:hint="eastAsia"/>
          <w:color w:val="auto"/>
          <w:highlight w:val="none"/>
        </w:rPr>
        <w:t>（请投标人根据实际情况如实声明，否则视为提供虚假材料。）</w:t>
      </w:r>
    </w:p>
    <w:p>
      <w:pPr>
        <w:jc w:val="left"/>
        <w:rPr>
          <w:color w:val="auto"/>
          <w:highlight w:val="none"/>
        </w:rPr>
      </w:pPr>
    </w:p>
    <w:p>
      <w:pPr>
        <w:jc w:val="left"/>
        <w:rPr>
          <w:color w:val="auto"/>
          <w:highlight w:val="none"/>
        </w:rPr>
      </w:pPr>
      <w:r>
        <w:rPr>
          <w:rFonts w:hint="eastAsia"/>
          <w:color w:val="auto"/>
          <w:highlight w:val="none"/>
        </w:rPr>
        <w:t>投标人（全称并加盖公章）：</w:t>
      </w:r>
    </w:p>
    <w:p>
      <w:pPr>
        <w:jc w:val="left"/>
        <w:rPr>
          <w:color w:val="auto"/>
          <w:highlight w:val="none"/>
        </w:rPr>
      </w:pPr>
      <w:r>
        <w:rPr>
          <w:rFonts w:hint="eastAsia"/>
          <w:color w:val="auto"/>
          <w:highlight w:val="none"/>
        </w:rPr>
        <w:t>投标人代表（签字）：</w:t>
      </w:r>
    </w:p>
    <w:p>
      <w:pPr>
        <w:jc w:val="left"/>
        <w:rPr>
          <w:color w:val="auto"/>
          <w:highlight w:val="none"/>
        </w:rPr>
      </w:pPr>
      <w:r>
        <w:rPr>
          <w:rFonts w:hint="eastAsia"/>
          <w:color w:val="auto"/>
          <w:highlight w:val="none"/>
        </w:rPr>
        <w:t>日期：</w:t>
      </w:r>
    </w:p>
    <w:p>
      <w:pPr>
        <w:rPr>
          <w:color w:val="auto"/>
          <w:highlight w:val="none"/>
        </w:rPr>
      </w:pPr>
    </w:p>
    <w:p>
      <w:pPr>
        <w:rPr>
          <w:color w:val="auto"/>
          <w:highlight w:val="none"/>
        </w:rPr>
      </w:pPr>
      <w:r>
        <w:rPr>
          <w:color w:val="auto"/>
          <w:highlight w:val="none"/>
        </w:rPr>
        <w:br w:type="page"/>
      </w:r>
    </w:p>
    <w:p>
      <w:pPr>
        <w:pStyle w:val="5"/>
        <w:rPr>
          <w:color w:val="auto"/>
          <w:highlight w:val="none"/>
        </w:rPr>
      </w:pPr>
    </w:p>
    <w:p>
      <w:pPr>
        <w:rPr>
          <w:rFonts w:hint="eastAsia"/>
          <w:b/>
          <w:bCs w:val="0"/>
          <w:color w:val="auto"/>
          <w:sz w:val="28"/>
          <w:szCs w:val="28"/>
          <w:highlight w:val="none"/>
        </w:rPr>
      </w:pPr>
      <w:r>
        <w:rPr>
          <w:rFonts w:hint="eastAsia"/>
          <w:b/>
          <w:bCs w:val="0"/>
          <w:color w:val="auto"/>
          <w:sz w:val="28"/>
          <w:szCs w:val="28"/>
          <w:highlight w:val="none"/>
        </w:rPr>
        <w:t>格式4  具备法律、行政法规规定的其他条件的证明材料</w:t>
      </w:r>
    </w:p>
    <w:p>
      <w:pPr>
        <w:rPr>
          <w:color w:val="auto"/>
          <w:highlight w:val="none"/>
        </w:rPr>
      </w:pPr>
      <w:r>
        <w:rPr>
          <w:rFonts w:hint="eastAsia"/>
          <w:color w:val="auto"/>
          <w:highlight w:val="none"/>
        </w:rPr>
        <w:t>根据资格条件要求提供相应材料。</w:t>
      </w:r>
    </w:p>
    <w:p>
      <w:pPr>
        <w:rPr>
          <w:color w:val="auto"/>
          <w:highlight w:val="none"/>
        </w:rPr>
      </w:pPr>
    </w:p>
    <w:p>
      <w:pPr>
        <w:rPr>
          <w:color w:val="auto"/>
          <w:highlight w:val="none"/>
        </w:rPr>
      </w:pPr>
      <w:r>
        <w:rPr>
          <w:color w:val="auto"/>
          <w:highlight w:val="none"/>
        </w:rPr>
        <w:br w:type="page"/>
      </w:r>
    </w:p>
    <w:p>
      <w:pPr>
        <w:rPr>
          <w:rFonts w:hint="eastAsia"/>
          <w:b/>
          <w:bCs w:val="0"/>
          <w:color w:val="auto"/>
          <w:sz w:val="28"/>
          <w:szCs w:val="28"/>
          <w:highlight w:val="none"/>
        </w:rPr>
      </w:pPr>
      <w:r>
        <w:rPr>
          <w:rFonts w:hint="eastAsia"/>
          <w:b/>
          <w:bCs w:val="0"/>
          <w:color w:val="auto"/>
          <w:sz w:val="28"/>
          <w:szCs w:val="28"/>
          <w:highlight w:val="none"/>
        </w:rPr>
        <w:t>格式5  联合体协议（若有）</w:t>
      </w:r>
    </w:p>
    <w:p>
      <w:pPr>
        <w:pStyle w:val="NormalWeb"/>
        <w:rPr>
          <w:color w:val="auto"/>
          <w:w w:val="150"/>
          <w:highlight w:val="none"/>
        </w:rPr>
      </w:pPr>
    </w:p>
    <w:p>
      <w:pPr>
        <w:jc w:val="left"/>
        <w:rPr>
          <w:color w:val="auto"/>
          <w:highlight w:val="none"/>
        </w:rPr>
      </w:pPr>
      <w:r>
        <w:rPr>
          <w:rFonts w:hint="eastAsia"/>
          <w:color w:val="auto"/>
          <w:highlight w:val="none"/>
        </w:rPr>
        <w:t>致</w:t>
      </w:r>
      <w:r>
        <w:rPr>
          <w:color w:val="auto"/>
          <w:highlight w:val="none"/>
        </w:rPr>
        <w:t>________</w:t>
      </w:r>
      <w:r>
        <w:rPr>
          <w:rFonts w:hint="eastAsia"/>
          <w:color w:val="auto"/>
          <w:highlight w:val="none"/>
        </w:rPr>
        <w:t>（采购人或采购代理机构）：</w:t>
      </w:r>
    </w:p>
    <w:p>
      <w:pPr>
        <w:ind w:firstLine="420" w:firstLineChars="200"/>
        <w:jc w:val="left"/>
        <w:rPr>
          <w:color w:val="auto"/>
          <w:highlight w:val="none"/>
        </w:rPr>
      </w:pPr>
      <w:r>
        <w:rPr>
          <w:rFonts w:hint="eastAsia"/>
          <w:color w:val="auto"/>
          <w:highlight w:val="none"/>
        </w:rPr>
        <w:t>经研究，我方决定自愿组成联合体共同参加</w:t>
      </w:r>
      <w:r>
        <w:rPr>
          <w:color w:val="auto"/>
          <w:highlight w:val="none"/>
        </w:rPr>
        <w:t>____________(</w:t>
      </w:r>
      <w:r>
        <w:rPr>
          <w:rFonts w:hint="eastAsia"/>
          <w:color w:val="auto"/>
          <w:highlight w:val="none"/>
        </w:rPr>
        <w:t>项目名称、项目编号</w:t>
      </w:r>
      <w:r>
        <w:rPr>
          <w:color w:val="auto"/>
          <w:highlight w:val="none"/>
        </w:rPr>
        <w:t>)</w:t>
      </w:r>
      <w:r>
        <w:rPr>
          <w:rFonts w:hint="eastAsia"/>
          <w:color w:val="auto"/>
          <w:highlight w:val="none"/>
        </w:rPr>
        <w:t>项目的投标。现就联合体投标事宜订立如下协议：</w:t>
      </w:r>
    </w:p>
    <w:p>
      <w:pPr>
        <w:ind w:firstLine="420" w:firstLineChars="200"/>
        <w:jc w:val="left"/>
        <w:rPr>
          <w:color w:val="auto"/>
          <w:highlight w:val="none"/>
        </w:rPr>
      </w:pPr>
      <w:r>
        <w:rPr>
          <w:rFonts w:hint="eastAsia"/>
          <w:color w:val="auto"/>
          <w:highlight w:val="none"/>
        </w:rPr>
        <w:t>一、联合体成员：</w:t>
      </w:r>
    </w:p>
    <w:p>
      <w:pPr>
        <w:ind w:firstLine="420" w:firstLineChars="200"/>
        <w:jc w:val="left"/>
        <w:rPr>
          <w:color w:val="auto"/>
          <w:highlight w:val="none"/>
        </w:rPr>
      </w:pPr>
      <w:r>
        <w:rPr>
          <w:rFonts w:hint="eastAsia"/>
          <w:color w:val="auto"/>
          <w:highlight w:val="none"/>
        </w:rPr>
        <w:t>1._________________</w:t>
      </w:r>
    </w:p>
    <w:p>
      <w:pPr>
        <w:ind w:firstLine="420" w:firstLineChars="200"/>
        <w:jc w:val="left"/>
        <w:rPr>
          <w:color w:val="auto"/>
          <w:highlight w:val="none"/>
        </w:rPr>
      </w:pPr>
      <w:r>
        <w:rPr>
          <w:rFonts w:hint="eastAsia"/>
          <w:color w:val="auto"/>
          <w:highlight w:val="none"/>
        </w:rPr>
        <w:t>2._________________</w:t>
      </w:r>
    </w:p>
    <w:p>
      <w:pPr>
        <w:ind w:firstLine="420" w:firstLineChars="200"/>
        <w:jc w:val="left"/>
        <w:rPr>
          <w:color w:val="auto"/>
          <w:highlight w:val="none"/>
        </w:rPr>
      </w:pPr>
      <w:r>
        <w:rPr>
          <w:rFonts w:hint="eastAsia"/>
          <w:color w:val="auto"/>
          <w:highlight w:val="none"/>
        </w:rPr>
        <w:t>3.</w:t>
      </w:r>
      <w:r>
        <w:rPr>
          <w:color w:val="auto"/>
          <w:highlight w:val="none"/>
        </w:rPr>
        <w:t>_________________</w:t>
      </w:r>
    </w:p>
    <w:p>
      <w:pPr>
        <w:ind w:firstLine="420" w:firstLineChars="200"/>
        <w:jc w:val="left"/>
        <w:rPr>
          <w:rFonts w:ascii="宋体" w:hAnsi="宋体" w:cs="宋体"/>
          <w:color w:val="auto"/>
          <w:highlight w:val="none"/>
        </w:rPr>
      </w:pPr>
      <w:r>
        <w:rPr>
          <w:rFonts w:cs="宋体" w:hint="eastAsia"/>
          <w:color w:val="auto"/>
          <w:highlight w:val="none"/>
        </w:rPr>
        <w:t>二、</w:t>
      </w:r>
      <w:r>
        <w:rPr>
          <w:color w:val="auto"/>
          <w:highlight w:val="none"/>
        </w:rPr>
        <w:t>____________(</w:t>
      </w:r>
      <w:r>
        <w:rPr>
          <w:rFonts w:cs="宋体" w:hint="eastAsia"/>
          <w:color w:val="auto"/>
          <w:highlight w:val="none"/>
        </w:rPr>
        <w:t>某成员单位名称</w:t>
      </w:r>
      <w:r>
        <w:rPr>
          <w:color w:val="auto"/>
          <w:highlight w:val="none"/>
        </w:rPr>
        <w:t>)</w:t>
      </w:r>
      <w:r>
        <w:rPr>
          <w:rFonts w:cs="宋体" w:hint="eastAsia"/>
          <w:color w:val="auto"/>
          <w:highlight w:val="none"/>
        </w:rPr>
        <w:t>为</w:t>
      </w:r>
      <w:r>
        <w:rPr>
          <w:color w:val="auto"/>
          <w:highlight w:val="none"/>
        </w:rPr>
        <w:t>____________(</w:t>
      </w:r>
      <w:r>
        <w:rPr>
          <w:rFonts w:cs="宋体" w:hint="eastAsia"/>
          <w:color w:val="auto"/>
          <w:highlight w:val="none"/>
        </w:rPr>
        <w:t>联合</w:t>
      </w:r>
      <w:r>
        <w:rPr>
          <w:rFonts w:ascii="宋体" w:hAnsi="宋体" w:cs="宋体" w:hint="eastAsia"/>
          <w:color w:val="auto"/>
          <w:highlight w:val="none"/>
        </w:rPr>
        <w:t>体名称)牵头人。</w:t>
      </w:r>
    </w:p>
    <w:p>
      <w:pPr>
        <w:ind w:firstLine="420" w:firstLineChars="200"/>
        <w:jc w:val="left"/>
        <w:rPr>
          <w:color w:val="auto"/>
          <w:highlight w:val="none"/>
        </w:rPr>
      </w:pPr>
      <w:r>
        <w:rPr>
          <w:rFonts w:hint="eastAsia"/>
          <w:color w:val="auto"/>
          <w:highlight w:val="none"/>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ind w:firstLine="420" w:firstLineChars="200"/>
        <w:jc w:val="left"/>
        <w:rPr>
          <w:color w:val="auto"/>
          <w:highlight w:val="none"/>
        </w:rPr>
      </w:pPr>
      <w:r>
        <w:rPr>
          <w:rFonts w:hint="eastAsia"/>
          <w:color w:val="auto"/>
          <w:highlight w:val="none"/>
        </w:rPr>
        <w:t>四、联合体将严格按照招标文件的各项要求，递交投标文件，参加投标，履行中标义务和中标后的合同，并向采购人承担连带责任。</w:t>
      </w:r>
    </w:p>
    <w:p>
      <w:pPr>
        <w:ind w:firstLine="420" w:firstLineChars="200"/>
        <w:jc w:val="left"/>
        <w:rPr>
          <w:color w:val="auto"/>
          <w:highlight w:val="none"/>
        </w:rPr>
      </w:pPr>
      <w:r>
        <w:rPr>
          <w:rFonts w:hint="eastAsia"/>
          <w:color w:val="auto"/>
          <w:highlight w:val="none"/>
        </w:rPr>
        <w:t>五、联合体各成员单位内部的职责分工如下：____________。按照本条上述分工，联合体成员单位各自所承担的合同工作量比例如下：____________。</w:t>
      </w:r>
    </w:p>
    <w:p>
      <w:pPr>
        <w:ind w:firstLine="420" w:firstLineChars="200"/>
        <w:jc w:val="left"/>
        <w:rPr>
          <w:color w:val="auto"/>
          <w:highlight w:val="none"/>
        </w:rPr>
      </w:pPr>
      <w:r>
        <w:rPr>
          <w:rFonts w:hint="eastAsia"/>
          <w:color w:val="auto"/>
          <w:highlight w:val="none"/>
        </w:rPr>
        <w:t>六、本协议书自签署之日起生效，合同履行完毕后自动失效。</w:t>
      </w:r>
    </w:p>
    <w:p>
      <w:pPr>
        <w:ind w:firstLine="420" w:firstLineChars="200"/>
        <w:jc w:val="left"/>
        <w:rPr>
          <w:color w:val="auto"/>
          <w:highlight w:val="none"/>
        </w:rPr>
      </w:pPr>
      <w:r>
        <w:rPr>
          <w:rFonts w:hint="eastAsia"/>
          <w:color w:val="auto"/>
          <w:highlight w:val="none"/>
        </w:rPr>
        <w:t>七、本协议书一式______份，联合体成员和采购人各执一份。</w:t>
      </w:r>
    </w:p>
    <w:p>
      <w:pPr>
        <w:jc w:val="left"/>
        <w:rPr>
          <w:color w:val="auto"/>
          <w:highlight w:val="none"/>
        </w:rPr>
      </w:pPr>
    </w:p>
    <w:p>
      <w:pPr>
        <w:jc w:val="left"/>
        <w:rPr>
          <w:color w:val="auto"/>
          <w:highlight w:val="none"/>
        </w:rPr>
      </w:pPr>
      <w:r>
        <w:rPr>
          <w:rFonts w:hint="eastAsia"/>
          <w:color w:val="auto"/>
          <w:highlight w:val="none"/>
        </w:rPr>
        <w:t>牵头人名称(公章)：____________</w:t>
      </w:r>
    </w:p>
    <w:p>
      <w:pPr>
        <w:jc w:val="left"/>
        <w:rPr>
          <w:color w:val="auto"/>
          <w:highlight w:val="none"/>
        </w:rPr>
      </w:pPr>
      <w:r>
        <w:rPr>
          <w:rFonts w:hint="eastAsia"/>
          <w:color w:val="auto"/>
          <w:highlight w:val="none"/>
        </w:rPr>
        <w:t>法定代表人或其授权代表(签字)：____________</w:t>
      </w:r>
    </w:p>
    <w:p>
      <w:pPr>
        <w:jc w:val="left"/>
        <w:rPr>
          <w:color w:val="auto"/>
          <w:highlight w:val="none"/>
        </w:rPr>
      </w:pPr>
      <w:r>
        <w:rPr>
          <w:rFonts w:hint="eastAsia"/>
          <w:color w:val="auto"/>
          <w:highlight w:val="none"/>
        </w:rPr>
        <w:t>成员名称(公章)：____________</w:t>
      </w:r>
    </w:p>
    <w:p>
      <w:pPr>
        <w:jc w:val="left"/>
        <w:rPr>
          <w:color w:val="auto"/>
          <w:highlight w:val="none"/>
        </w:rPr>
      </w:pPr>
      <w:r>
        <w:rPr>
          <w:rFonts w:hint="eastAsia"/>
          <w:color w:val="auto"/>
          <w:highlight w:val="none"/>
        </w:rPr>
        <w:t>法定代表人或其授权代表(签字)：____________</w:t>
      </w:r>
    </w:p>
    <w:p>
      <w:pPr>
        <w:jc w:val="left"/>
        <w:rPr>
          <w:color w:val="auto"/>
          <w:highlight w:val="none"/>
        </w:rPr>
      </w:pPr>
    </w:p>
    <w:p>
      <w:pPr>
        <w:jc w:val="left"/>
        <w:rPr>
          <w:color w:val="auto"/>
          <w:highlight w:val="none"/>
        </w:rPr>
      </w:pPr>
      <w:r>
        <w:rPr>
          <w:rFonts w:hint="eastAsia"/>
          <w:color w:val="auto"/>
          <w:highlight w:val="none"/>
        </w:rPr>
        <w:t>______年____月____日</w:t>
      </w:r>
    </w:p>
    <w:p>
      <w:pPr>
        <w:jc w:val="left"/>
        <w:rPr>
          <w:color w:val="auto"/>
          <w:highlight w:val="none"/>
        </w:rPr>
      </w:pPr>
    </w:p>
    <w:p>
      <w:pPr>
        <w:jc w:val="left"/>
        <w:rPr>
          <w:color w:val="auto"/>
          <w:highlight w:val="none"/>
        </w:rPr>
      </w:pPr>
      <w:r>
        <w:rPr>
          <w:rFonts w:hint="eastAsia"/>
          <w:color w:val="auto"/>
          <w:highlight w:val="none"/>
        </w:rPr>
        <w:t>备注：本协议书由授权代表签字的，应附法定代表人签字的授权委托书。</w:t>
      </w:r>
    </w:p>
    <w:p>
      <w:pPr>
        <w:rPr>
          <w:rFonts w:hint="eastAsia"/>
          <w:b/>
          <w:bCs w:val="0"/>
          <w:color w:val="auto"/>
          <w:sz w:val="28"/>
          <w:szCs w:val="28"/>
          <w:highlight w:val="none"/>
        </w:rPr>
      </w:pPr>
      <w:r>
        <w:rPr>
          <w:rFonts w:hAnsi="宋体"/>
          <w:color w:val="auto"/>
          <w:highlight w:val="none"/>
        </w:rPr>
        <w:br w:type="page"/>
      </w:r>
      <w:r>
        <w:rPr>
          <w:rFonts w:hint="eastAsia"/>
          <w:b/>
          <w:bCs w:val="0"/>
          <w:color w:val="auto"/>
          <w:sz w:val="28"/>
          <w:szCs w:val="28"/>
          <w:highlight w:val="none"/>
        </w:rPr>
        <w:t xml:space="preserve">格式6  </w:t>
      </w:r>
      <w:r>
        <w:rPr>
          <w:rFonts w:hint="eastAsia"/>
          <w:b/>
          <w:bCs w:val="0"/>
          <w:color w:val="auto"/>
          <w:sz w:val="28"/>
          <w:szCs w:val="28"/>
          <w:highlight w:val="none"/>
        </w:rPr>
        <w:t>其他资格证明文件（若有）</w:t>
      </w:r>
    </w:p>
    <w:p>
      <w:pPr>
        <w:rPr>
          <w:color w:val="auto"/>
          <w:highlight w:val="none"/>
        </w:rPr>
      </w:pPr>
    </w:p>
    <w:p>
      <w:pPr>
        <w:rPr>
          <w:color w:val="auto"/>
          <w:highlight w:val="none"/>
        </w:rPr>
      </w:pPr>
      <w:r>
        <w:rPr>
          <w:rFonts w:hint="eastAsia"/>
          <w:color w:val="auto"/>
          <w:highlight w:val="none"/>
        </w:rPr>
        <w:t>根据资格条件要求提供相应材料。</w:t>
      </w:r>
    </w:p>
    <w:p>
      <w:pPr>
        <w:rPr>
          <w:color w:val="auto"/>
          <w:highlight w:val="none"/>
        </w:rPr>
      </w:pPr>
    </w:p>
    <w:p>
      <w:pPr>
        <w:rPr>
          <w:color w:val="auto"/>
          <w:highlight w:val="none"/>
        </w:rPr>
      </w:pPr>
      <w:r>
        <w:rPr>
          <w:color w:val="auto"/>
          <w:highlight w:val="none"/>
        </w:rPr>
        <w:br w:type="page"/>
      </w:r>
    </w:p>
    <w:p>
      <w:pPr>
        <w:rPr>
          <w:rFonts w:hint="eastAsia"/>
          <w:b/>
          <w:bCs w:val="0"/>
          <w:color w:val="auto"/>
          <w:sz w:val="28"/>
          <w:szCs w:val="28"/>
          <w:highlight w:val="none"/>
        </w:rPr>
      </w:pPr>
      <w:r>
        <w:rPr>
          <w:rFonts w:hint="eastAsia"/>
          <w:b/>
          <w:bCs w:val="0"/>
          <w:color w:val="auto"/>
          <w:sz w:val="28"/>
          <w:szCs w:val="28"/>
          <w:highlight w:val="none"/>
        </w:rPr>
        <w:t>格式7  投标报价表</w:t>
      </w:r>
    </w:p>
    <w:p>
      <w:pPr>
        <w:rPr>
          <w:rFonts w:hint="eastAsia"/>
          <w:b/>
          <w:bCs w:val="0"/>
          <w:color w:val="auto"/>
          <w:sz w:val="28"/>
          <w:szCs w:val="28"/>
          <w:highlight w:val="none"/>
        </w:rPr>
      </w:pPr>
      <w:r>
        <w:rPr>
          <w:rFonts w:hint="eastAsia"/>
          <w:b/>
          <w:bCs w:val="0"/>
          <w:color w:val="auto"/>
          <w:sz w:val="28"/>
          <w:szCs w:val="28"/>
          <w:highlight w:val="none"/>
        </w:rPr>
        <w:t>1.开标一览表（总报价表）</w:t>
      </w:r>
    </w:p>
    <w:p>
      <w:pPr>
        <w:pStyle w:val="PlainText"/>
        <w:rPr>
          <w:color w:val="auto"/>
          <w:highlight w:val="none"/>
        </w:rPr>
      </w:pPr>
      <w:r>
        <w:rPr>
          <w:rFonts w:hint="eastAsia"/>
          <w:color w:val="auto"/>
          <w:highlight w:val="none"/>
        </w:rPr>
        <w:t>(服务类项目适用)</w:t>
      </w:r>
    </w:p>
    <w:p>
      <w:pPr>
        <w:ind w:firstLine="1260" w:firstLineChars="600"/>
        <w:jc w:val="both"/>
        <w:rPr>
          <w:color w:val="auto"/>
          <w:highlight w:val="none"/>
        </w:rPr>
      </w:pPr>
      <w:r>
        <w:rPr>
          <w:rFonts w:hint="eastAsia"/>
          <w:color w:val="auto"/>
          <w:highlight w:val="none"/>
        </w:rPr>
        <w:t>项目名称：</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项目编号：</w:t>
      </w:r>
    </w:p>
    <w:p>
      <w:pPr>
        <w:rPr>
          <w:color w:val="auto"/>
          <w:w w:val="150"/>
          <w:highlight w:val="none"/>
        </w:rPr>
      </w:pPr>
      <w:r>
        <w:rPr>
          <w:rFonts w:hint="eastAsia"/>
          <w:color w:val="auto"/>
          <w:highlight w:val="none"/>
        </w:rPr>
        <w:t>采购包号：                                  价格单位：人民币：元</w:t>
      </w:r>
    </w:p>
    <w:tbl>
      <w:tblPr>
        <w:tblStyle w:val="TableNormal"/>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3"/>
        <w:gridCol w:w="4283"/>
        <w:gridCol w:w="3172"/>
      </w:tblGrid>
      <w:tr>
        <w:tblPrEx>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4"/>
          <w:jc w:val="center"/>
        </w:trPr>
        <w:tc>
          <w:tcPr>
            <w:tcW w:w="1263" w:type="dxa"/>
            <w:noWrap/>
            <w:vAlign w:val="center"/>
          </w:tcPr>
          <w:p>
            <w:pPr>
              <w:rPr>
                <w:color w:val="auto"/>
                <w:highlight w:val="none"/>
              </w:rPr>
            </w:pPr>
            <w:r>
              <w:rPr>
                <w:color w:val="auto"/>
                <w:highlight w:val="none"/>
              </w:rPr>
              <w:t>序号</w:t>
            </w:r>
          </w:p>
        </w:tc>
        <w:tc>
          <w:tcPr>
            <w:tcW w:w="4283" w:type="dxa"/>
            <w:noWrap/>
            <w:vAlign w:val="center"/>
          </w:tcPr>
          <w:p>
            <w:pPr>
              <w:rPr>
                <w:color w:val="auto"/>
                <w:highlight w:val="none"/>
              </w:rPr>
            </w:pPr>
            <w:r>
              <w:rPr>
                <w:color w:val="auto"/>
                <w:highlight w:val="none"/>
              </w:rPr>
              <w:t>内容</w:t>
            </w:r>
          </w:p>
        </w:tc>
        <w:tc>
          <w:tcPr>
            <w:tcW w:w="3172" w:type="dxa"/>
            <w:noWrap/>
            <w:vAlign w:val="center"/>
          </w:tcPr>
          <w:p>
            <w:pPr>
              <w:rPr>
                <w:color w:val="auto"/>
                <w:highlight w:val="none"/>
              </w:rPr>
            </w:pPr>
            <w:r>
              <w:rPr>
                <w:color w:val="auto"/>
                <w:highlight w:val="none"/>
              </w:rPr>
              <w:t>价格小计</w:t>
            </w:r>
          </w:p>
        </w:tc>
      </w:tr>
      <w:tr>
        <w:tblPrEx>
          <w:tblW w:w="8718" w:type="dxa"/>
          <w:jc w:val="center"/>
          <w:tblLayout w:type="fixed"/>
          <w:tblCellMar>
            <w:top w:w="0" w:type="dxa"/>
            <w:left w:w="108" w:type="dxa"/>
            <w:bottom w:w="0" w:type="dxa"/>
            <w:right w:w="108" w:type="dxa"/>
          </w:tblCellMar>
        </w:tblPrEx>
        <w:trPr>
          <w:trHeight w:val="514"/>
          <w:jc w:val="center"/>
        </w:trPr>
        <w:tc>
          <w:tcPr>
            <w:tcW w:w="1263" w:type="dxa"/>
            <w:noWrap/>
            <w:vAlign w:val="center"/>
          </w:tcPr>
          <w:p>
            <w:pPr>
              <w:rPr>
                <w:color w:val="auto"/>
                <w:highlight w:val="none"/>
              </w:rPr>
            </w:pPr>
            <w:r>
              <w:rPr>
                <w:color w:val="auto"/>
                <w:highlight w:val="none"/>
              </w:rPr>
              <w:t>1</w:t>
            </w:r>
          </w:p>
        </w:tc>
        <w:tc>
          <w:tcPr>
            <w:tcW w:w="4283" w:type="dxa"/>
            <w:noWrap/>
            <w:vAlign w:val="center"/>
          </w:tcPr>
          <w:p>
            <w:pPr>
              <w:rPr>
                <w:color w:val="auto"/>
                <w:highlight w:val="none"/>
              </w:rPr>
            </w:pPr>
          </w:p>
        </w:tc>
        <w:tc>
          <w:tcPr>
            <w:tcW w:w="3172" w:type="dxa"/>
            <w:noWrap/>
            <w:vAlign w:val="center"/>
          </w:tcPr>
          <w:p>
            <w:pPr>
              <w:rPr>
                <w:color w:val="auto"/>
                <w:highlight w:val="none"/>
              </w:rPr>
            </w:pPr>
          </w:p>
        </w:tc>
      </w:tr>
      <w:tr>
        <w:tblPrEx>
          <w:tblW w:w="8718" w:type="dxa"/>
          <w:jc w:val="center"/>
          <w:tblLayout w:type="fixed"/>
          <w:tblCellMar>
            <w:top w:w="0" w:type="dxa"/>
            <w:left w:w="108" w:type="dxa"/>
            <w:bottom w:w="0" w:type="dxa"/>
            <w:right w:w="108" w:type="dxa"/>
          </w:tblCellMar>
        </w:tblPrEx>
        <w:trPr>
          <w:trHeight w:val="514"/>
          <w:jc w:val="center"/>
        </w:trPr>
        <w:tc>
          <w:tcPr>
            <w:tcW w:w="1263" w:type="dxa"/>
            <w:noWrap/>
            <w:vAlign w:val="center"/>
          </w:tcPr>
          <w:p>
            <w:pPr>
              <w:rPr>
                <w:color w:val="auto"/>
                <w:highlight w:val="none"/>
              </w:rPr>
            </w:pPr>
            <w:r>
              <w:rPr>
                <w:color w:val="auto"/>
                <w:highlight w:val="none"/>
              </w:rPr>
              <w:t>2</w:t>
            </w:r>
          </w:p>
        </w:tc>
        <w:tc>
          <w:tcPr>
            <w:tcW w:w="4283" w:type="dxa"/>
            <w:noWrap/>
            <w:vAlign w:val="center"/>
          </w:tcPr>
          <w:p>
            <w:pPr>
              <w:rPr>
                <w:color w:val="auto"/>
                <w:highlight w:val="none"/>
              </w:rPr>
            </w:pPr>
          </w:p>
        </w:tc>
        <w:tc>
          <w:tcPr>
            <w:tcW w:w="3172" w:type="dxa"/>
            <w:noWrap/>
            <w:vAlign w:val="center"/>
          </w:tcPr>
          <w:p>
            <w:pPr>
              <w:rPr>
                <w:color w:val="auto"/>
                <w:highlight w:val="none"/>
              </w:rPr>
            </w:pPr>
          </w:p>
        </w:tc>
      </w:tr>
      <w:tr>
        <w:tblPrEx>
          <w:tblW w:w="8718" w:type="dxa"/>
          <w:jc w:val="center"/>
          <w:tblLayout w:type="fixed"/>
          <w:tblCellMar>
            <w:top w:w="0" w:type="dxa"/>
            <w:left w:w="108" w:type="dxa"/>
            <w:bottom w:w="0" w:type="dxa"/>
            <w:right w:w="108" w:type="dxa"/>
          </w:tblCellMar>
        </w:tblPrEx>
        <w:trPr>
          <w:trHeight w:val="514"/>
          <w:jc w:val="center"/>
        </w:trPr>
        <w:tc>
          <w:tcPr>
            <w:tcW w:w="1263" w:type="dxa"/>
            <w:noWrap/>
            <w:vAlign w:val="center"/>
          </w:tcPr>
          <w:p>
            <w:pPr>
              <w:rPr>
                <w:color w:val="auto"/>
                <w:highlight w:val="none"/>
              </w:rPr>
            </w:pPr>
            <w:r>
              <w:rPr>
                <w:color w:val="auto"/>
                <w:highlight w:val="none"/>
              </w:rPr>
              <w:t>3</w:t>
            </w:r>
          </w:p>
        </w:tc>
        <w:tc>
          <w:tcPr>
            <w:tcW w:w="4283" w:type="dxa"/>
            <w:noWrap/>
            <w:vAlign w:val="center"/>
          </w:tcPr>
          <w:p>
            <w:pPr>
              <w:rPr>
                <w:color w:val="auto"/>
                <w:highlight w:val="none"/>
              </w:rPr>
            </w:pPr>
          </w:p>
        </w:tc>
        <w:tc>
          <w:tcPr>
            <w:tcW w:w="3172" w:type="dxa"/>
            <w:noWrap/>
            <w:vAlign w:val="center"/>
          </w:tcPr>
          <w:p>
            <w:pPr>
              <w:rPr>
                <w:color w:val="auto"/>
                <w:highlight w:val="none"/>
              </w:rPr>
            </w:pPr>
          </w:p>
        </w:tc>
      </w:tr>
      <w:tr>
        <w:tblPrEx>
          <w:tblW w:w="8718" w:type="dxa"/>
          <w:jc w:val="center"/>
          <w:tblLayout w:type="fixed"/>
          <w:tblCellMar>
            <w:top w:w="0" w:type="dxa"/>
            <w:left w:w="108" w:type="dxa"/>
            <w:bottom w:w="0" w:type="dxa"/>
            <w:right w:w="108" w:type="dxa"/>
          </w:tblCellMar>
        </w:tblPrEx>
        <w:trPr>
          <w:trHeight w:val="645"/>
          <w:jc w:val="center"/>
        </w:trPr>
        <w:tc>
          <w:tcPr>
            <w:tcW w:w="5546" w:type="dxa"/>
            <w:gridSpan w:val="2"/>
            <w:noWrap/>
            <w:vAlign w:val="center"/>
          </w:tcPr>
          <w:p>
            <w:pPr>
              <w:rPr>
                <w:color w:val="auto"/>
                <w:highlight w:val="none"/>
              </w:rPr>
            </w:pPr>
            <w:r>
              <w:rPr>
                <w:color w:val="auto"/>
                <w:highlight w:val="none"/>
              </w:rPr>
              <w:t>报价合计（小写）</w:t>
            </w:r>
          </w:p>
        </w:tc>
        <w:tc>
          <w:tcPr>
            <w:tcW w:w="3172" w:type="dxa"/>
            <w:noWrap/>
            <w:vAlign w:val="center"/>
          </w:tcPr>
          <w:p>
            <w:pPr>
              <w:rPr>
                <w:color w:val="auto"/>
                <w:highlight w:val="none"/>
              </w:rPr>
            </w:pPr>
          </w:p>
        </w:tc>
      </w:tr>
      <w:tr>
        <w:tblPrEx>
          <w:tblW w:w="8718" w:type="dxa"/>
          <w:jc w:val="center"/>
          <w:tblLayout w:type="fixed"/>
          <w:tblCellMar>
            <w:top w:w="0" w:type="dxa"/>
            <w:left w:w="108" w:type="dxa"/>
            <w:bottom w:w="0" w:type="dxa"/>
            <w:right w:w="108" w:type="dxa"/>
          </w:tblCellMar>
        </w:tblPrEx>
        <w:trPr>
          <w:trHeight w:val="645"/>
          <w:jc w:val="center"/>
        </w:trPr>
        <w:tc>
          <w:tcPr>
            <w:tcW w:w="5546" w:type="dxa"/>
            <w:gridSpan w:val="2"/>
            <w:noWrap/>
            <w:vAlign w:val="center"/>
          </w:tcPr>
          <w:p>
            <w:pPr>
              <w:rPr>
                <w:b/>
                <w:color w:val="auto"/>
                <w:highlight w:val="none"/>
              </w:rPr>
            </w:pPr>
            <w:r>
              <w:rPr>
                <w:color w:val="auto"/>
                <w:highlight w:val="none"/>
              </w:rPr>
              <w:t>报价合计（大写）</w:t>
            </w:r>
          </w:p>
        </w:tc>
        <w:tc>
          <w:tcPr>
            <w:tcW w:w="3172" w:type="dxa"/>
            <w:noWrap/>
            <w:vAlign w:val="center"/>
          </w:tcPr>
          <w:p>
            <w:pPr>
              <w:rPr>
                <w:color w:val="auto"/>
                <w:highlight w:val="none"/>
              </w:rPr>
            </w:pPr>
          </w:p>
        </w:tc>
      </w:tr>
      <w:tr>
        <w:tblPrEx>
          <w:tblW w:w="8718" w:type="dxa"/>
          <w:jc w:val="center"/>
          <w:tblLayout w:type="fixed"/>
          <w:tblCellMar>
            <w:top w:w="0" w:type="dxa"/>
            <w:left w:w="108" w:type="dxa"/>
            <w:bottom w:w="0" w:type="dxa"/>
            <w:right w:w="108" w:type="dxa"/>
          </w:tblCellMar>
        </w:tblPrEx>
        <w:trPr>
          <w:trHeight w:val="645"/>
          <w:jc w:val="center"/>
        </w:trPr>
        <w:tc>
          <w:tcPr>
            <w:tcW w:w="8718" w:type="dxa"/>
            <w:gridSpan w:val="3"/>
            <w:noWrap/>
            <w:vAlign w:val="center"/>
          </w:tcPr>
          <w:p>
            <w:pPr>
              <w:jc w:val="center"/>
              <w:rPr>
                <w:color w:val="auto"/>
                <w:highlight w:val="none"/>
              </w:rPr>
            </w:pPr>
            <w:r>
              <w:rPr>
                <w:color w:val="auto"/>
                <w:highlight w:val="none"/>
                <w:u w:val="none"/>
              </w:rPr>
              <w:t>服务期</w:t>
            </w:r>
            <w:r>
              <w:rPr>
                <w:rFonts w:hint="eastAsia"/>
                <w:color w:val="auto"/>
                <w:highlight w:val="none"/>
                <w:u w:val="none"/>
                <w:lang w:eastAsia="zh-CN"/>
              </w:rPr>
              <w:t>：</w:t>
            </w:r>
            <w:r>
              <w:rPr>
                <w:rFonts w:hint="eastAsia"/>
                <w:color w:val="auto"/>
                <w:highlight w:val="none"/>
                <w:u w:val="single"/>
                <w:lang w:val="en-US" w:eastAsia="zh-CN"/>
              </w:rPr>
              <w:t xml:space="preserve">     </w:t>
            </w:r>
            <w:r>
              <w:rPr>
                <w:rFonts w:hint="eastAsia"/>
                <w:color w:val="auto"/>
                <w:highlight w:val="none"/>
                <w:u w:val="none"/>
                <w:lang w:val="en-US" w:eastAsia="zh-CN"/>
              </w:rPr>
              <w:t>年</w:t>
            </w:r>
            <w:r>
              <w:rPr>
                <w:rFonts w:hint="eastAsia"/>
                <w:color w:val="auto"/>
                <w:highlight w:val="none"/>
                <w:u w:val="none"/>
              </w:rPr>
              <w:t>。</w:t>
            </w:r>
          </w:p>
        </w:tc>
      </w:tr>
      <w:tr>
        <w:tblPrEx>
          <w:tblW w:w="8718" w:type="dxa"/>
          <w:jc w:val="center"/>
          <w:tblLayout w:type="fixed"/>
          <w:tblCellMar>
            <w:top w:w="0" w:type="dxa"/>
            <w:left w:w="108" w:type="dxa"/>
            <w:bottom w:w="0" w:type="dxa"/>
            <w:right w:w="108" w:type="dxa"/>
          </w:tblCellMar>
        </w:tblPrEx>
        <w:trPr>
          <w:trHeight w:val="656"/>
          <w:jc w:val="center"/>
        </w:trPr>
        <w:tc>
          <w:tcPr>
            <w:tcW w:w="5546" w:type="dxa"/>
            <w:gridSpan w:val="2"/>
            <w:noWrap/>
            <w:vAlign w:val="center"/>
          </w:tcPr>
          <w:p>
            <w:pPr>
              <w:rPr>
                <w:color w:val="auto"/>
                <w:highlight w:val="none"/>
              </w:rPr>
            </w:pPr>
            <w:r>
              <w:rPr>
                <w:color w:val="auto"/>
                <w:highlight w:val="none"/>
              </w:rPr>
              <w:t>…</w:t>
            </w:r>
          </w:p>
        </w:tc>
        <w:tc>
          <w:tcPr>
            <w:tcW w:w="3172" w:type="dxa"/>
            <w:noWrap/>
            <w:vAlign w:val="center"/>
          </w:tcPr>
          <w:p>
            <w:pPr>
              <w:rPr>
                <w:color w:val="auto"/>
                <w:highlight w:val="none"/>
              </w:rPr>
            </w:pPr>
          </w:p>
        </w:tc>
      </w:tr>
    </w:tbl>
    <w:p>
      <w:pPr>
        <w:jc w:val="left"/>
        <w:rPr>
          <w:color w:val="auto"/>
          <w:highlight w:val="none"/>
        </w:rPr>
      </w:pPr>
      <w:r>
        <w:rPr>
          <w:rFonts w:hint="eastAsia"/>
          <w:color w:val="auto"/>
          <w:highlight w:val="none"/>
        </w:rPr>
        <w:t>特别说明：</w:t>
      </w:r>
    </w:p>
    <w:p>
      <w:pPr>
        <w:ind w:firstLine="420" w:firstLineChars="200"/>
        <w:jc w:val="left"/>
        <w:rPr>
          <w:color w:val="auto"/>
          <w:highlight w:val="none"/>
        </w:rPr>
      </w:pPr>
      <w:r>
        <w:rPr>
          <w:rFonts w:hint="eastAsia"/>
          <w:color w:val="auto"/>
          <w:highlight w:val="none"/>
        </w:rPr>
        <w:t>1.本项目总价及分项报价均不接受任何形式的赠送、“零”报价和折扣报价。</w:t>
      </w:r>
    </w:p>
    <w:p>
      <w:pPr>
        <w:ind w:firstLine="420" w:firstLineChars="200"/>
        <w:jc w:val="left"/>
        <w:rPr>
          <w:color w:val="auto"/>
          <w:highlight w:val="none"/>
        </w:rPr>
      </w:pPr>
      <w:r>
        <w:rPr>
          <w:rFonts w:hint="eastAsia"/>
          <w:color w:val="auto"/>
          <w:highlight w:val="none"/>
        </w:rPr>
        <w:t>2.本项目执行中所发生的所有费用均计入投标报价中，采购人不再另行支付其他任何费用。</w:t>
      </w:r>
    </w:p>
    <w:p>
      <w:pPr>
        <w:ind w:firstLine="420" w:firstLineChars="200"/>
        <w:jc w:val="left"/>
        <w:rPr>
          <w:color w:val="auto"/>
          <w:highlight w:val="none"/>
        </w:rPr>
      </w:pPr>
      <w:r>
        <w:rPr>
          <w:rFonts w:hint="eastAsia"/>
          <w:color w:val="auto"/>
          <w:highlight w:val="none"/>
        </w:rPr>
        <w:t>3.投标人应根据《招标文件-技术部分》相关要求填报。</w:t>
      </w:r>
    </w:p>
    <w:p>
      <w:pPr>
        <w:ind w:firstLine="420" w:firstLineChars="200"/>
        <w:jc w:val="left"/>
        <w:rPr>
          <w:color w:val="auto"/>
          <w:highlight w:val="none"/>
        </w:rPr>
      </w:pPr>
      <w:r>
        <w:rPr>
          <w:rFonts w:hint="eastAsia"/>
          <w:color w:val="auto"/>
          <w:highlight w:val="none"/>
        </w:rPr>
        <w:t>4.如报价不一致，按照投标人须知“19.核价原则”进行修正。</w:t>
      </w:r>
    </w:p>
    <w:p>
      <w:pPr>
        <w:jc w:val="left"/>
        <w:rPr>
          <w:color w:val="auto"/>
          <w:highlight w:val="none"/>
        </w:rPr>
      </w:pPr>
    </w:p>
    <w:p>
      <w:pPr>
        <w:jc w:val="left"/>
        <w:rPr>
          <w:rFonts w:cs="宋体"/>
          <w:color w:val="auto"/>
          <w:highlight w:val="none"/>
        </w:rPr>
      </w:pPr>
      <w:r>
        <w:rPr>
          <w:rFonts w:cs="宋体" w:hint="eastAsia"/>
          <w:color w:val="auto"/>
          <w:highlight w:val="none"/>
        </w:rPr>
        <w:t>投标人</w:t>
      </w:r>
      <w:r>
        <w:rPr>
          <w:color w:val="auto"/>
          <w:highlight w:val="none"/>
        </w:rPr>
        <w:t>（全称并加盖公章</w:t>
      </w:r>
      <w:r>
        <w:rPr>
          <w:rFonts w:cs="宋体" w:hint="eastAsia"/>
          <w:color w:val="auto"/>
          <w:highlight w:val="none"/>
        </w:rPr>
        <w:t>）：</w:t>
      </w:r>
    </w:p>
    <w:p>
      <w:pPr>
        <w:jc w:val="left"/>
        <w:rPr>
          <w:rFonts w:cs="宋体"/>
          <w:color w:val="auto"/>
          <w:highlight w:val="none"/>
        </w:rPr>
      </w:pPr>
      <w:r>
        <w:rPr>
          <w:rFonts w:hint="eastAsia"/>
          <w:color w:val="auto"/>
          <w:highlight w:val="none"/>
        </w:rPr>
        <w:t>投标人代表（签字）</w:t>
      </w:r>
      <w:r>
        <w:rPr>
          <w:rFonts w:cs="宋体" w:hint="eastAsia"/>
          <w:color w:val="auto"/>
          <w:highlight w:val="none"/>
        </w:rPr>
        <w:t>：</w:t>
      </w:r>
    </w:p>
    <w:p>
      <w:pPr>
        <w:jc w:val="left"/>
        <w:rPr>
          <w:color w:val="auto"/>
          <w:highlight w:val="none"/>
        </w:rPr>
      </w:pPr>
      <w:r>
        <w:rPr>
          <w:rFonts w:hint="eastAsia"/>
          <w:color w:val="auto"/>
          <w:highlight w:val="none"/>
        </w:rPr>
        <w:t>日期：</w:t>
      </w:r>
    </w:p>
    <w:p>
      <w:pPr>
        <w:rPr>
          <w:rFonts w:hint="eastAsia"/>
          <w:b/>
          <w:bCs w:val="0"/>
          <w:color w:val="auto"/>
          <w:sz w:val="28"/>
          <w:szCs w:val="28"/>
          <w:highlight w:val="none"/>
        </w:rPr>
      </w:pPr>
      <w:r>
        <w:rPr>
          <w:rFonts w:hAnsi="宋体" w:cs="宋体"/>
          <w:color w:val="auto"/>
          <w:highlight w:val="none"/>
        </w:rPr>
        <w:br w:type="page"/>
      </w:r>
      <w:r>
        <w:rPr>
          <w:rFonts w:hint="eastAsia"/>
          <w:b/>
          <w:bCs w:val="0"/>
          <w:color w:val="auto"/>
          <w:sz w:val="28"/>
          <w:szCs w:val="28"/>
          <w:highlight w:val="none"/>
        </w:rPr>
        <w:t>2.分项报价表</w:t>
      </w:r>
    </w:p>
    <w:p>
      <w:pPr>
        <w:rPr>
          <w:rFonts w:hint="eastAsia"/>
          <w:b/>
          <w:bCs w:val="0"/>
          <w:color w:val="auto"/>
          <w:sz w:val="28"/>
          <w:szCs w:val="28"/>
          <w:highlight w:val="none"/>
        </w:rPr>
      </w:pPr>
    </w:p>
    <w:p>
      <w:pPr>
        <w:pStyle w:val="PlainText"/>
        <w:rPr>
          <w:b/>
          <w:color w:val="auto"/>
          <w:highlight w:val="none"/>
        </w:rPr>
      </w:pPr>
      <w:r>
        <w:rPr>
          <w:rFonts w:hint="eastAsia"/>
          <w:color w:val="auto"/>
          <w:highlight w:val="none"/>
        </w:rPr>
        <w:t>（服务类项目适用)</w:t>
      </w:r>
    </w:p>
    <w:p>
      <w:pPr>
        <w:ind w:firstLine="1260" w:firstLineChars="600"/>
        <w:jc w:val="both"/>
        <w:rPr>
          <w:color w:val="auto"/>
          <w:highlight w:val="none"/>
        </w:rPr>
      </w:pPr>
      <w:r>
        <w:rPr>
          <w:rFonts w:hint="eastAsia"/>
          <w:color w:val="auto"/>
          <w:highlight w:val="none"/>
        </w:rPr>
        <w:t>项目名称：</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项目编号：</w:t>
      </w:r>
    </w:p>
    <w:p>
      <w:pPr>
        <w:rPr>
          <w:color w:val="auto"/>
          <w:w w:val="150"/>
          <w:highlight w:val="none"/>
        </w:rPr>
      </w:pPr>
      <w:r>
        <w:rPr>
          <w:rFonts w:hint="eastAsia"/>
          <w:color w:val="auto"/>
          <w:highlight w:val="none"/>
        </w:rPr>
        <w:t>采购包号：                                价格单位：人民币：元</w:t>
      </w:r>
    </w:p>
    <w:tbl>
      <w:tblPr>
        <w:tblStyle w:val="TableNormal"/>
        <w:tblW w:w="8349" w:type="dxa"/>
        <w:jc w:val="center"/>
        <w:tblLayout w:type="fixed"/>
        <w:tblCellMar>
          <w:top w:w="0" w:type="dxa"/>
          <w:left w:w="108" w:type="dxa"/>
          <w:bottom w:w="0" w:type="dxa"/>
          <w:right w:w="108" w:type="dxa"/>
        </w:tblCellMar>
      </w:tblPr>
      <w:tblGrid>
        <w:gridCol w:w="705"/>
        <w:gridCol w:w="1441"/>
        <w:gridCol w:w="2051"/>
        <w:gridCol w:w="1010"/>
        <w:gridCol w:w="1170"/>
        <w:gridCol w:w="1230"/>
        <w:gridCol w:w="742"/>
      </w:tblGrid>
      <w:tr>
        <w:tblPrEx>
          <w:tblW w:w="8349" w:type="dxa"/>
          <w:jc w:val="center"/>
          <w:tblLayout w:type="fixed"/>
          <w:tblCellMar>
            <w:top w:w="0" w:type="dxa"/>
            <w:left w:w="108" w:type="dxa"/>
            <w:bottom w:w="0" w:type="dxa"/>
            <w:right w:w="108" w:type="dxa"/>
          </w:tblCellMar>
        </w:tblPrEx>
        <w:trPr>
          <w:trHeight w:val="409"/>
          <w:tblHeader/>
          <w:jc w:val="center"/>
        </w:trPr>
        <w:tc>
          <w:tcPr>
            <w:tcW w:w="705" w:type="dxa"/>
            <w:tcBorders>
              <w:top w:val="single" w:sz="4" w:space="0" w:color="auto"/>
              <w:left w:val="single" w:sz="4" w:space="0" w:color="auto"/>
              <w:bottom w:val="single" w:sz="4" w:space="0" w:color="auto"/>
              <w:right w:val="single" w:sz="4" w:space="0" w:color="auto"/>
            </w:tcBorders>
            <w:vAlign w:val="center"/>
          </w:tcPr>
          <w:p>
            <w:pPr>
              <w:rPr>
                <w:b/>
                <w:bCs w:val="0"/>
                <w:color w:val="auto"/>
                <w:highlight w:val="none"/>
              </w:rPr>
            </w:pPr>
            <w:r>
              <w:rPr>
                <w:b/>
                <w:bCs w:val="0"/>
                <w:color w:val="auto"/>
                <w:highlight w:val="none"/>
              </w:rPr>
              <w:t>序号</w:t>
            </w:r>
          </w:p>
        </w:tc>
        <w:tc>
          <w:tcPr>
            <w:tcW w:w="1441" w:type="dxa"/>
            <w:tcBorders>
              <w:top w:val="single" w:sz="4" w:space="0" w:color="auto"/>
              <w:left w:val="nil"/>
              <w:bottom w:val="single" w:sz="4" w:space="0" w:color="auto"/>
              <w:right w:val="single" w:sz="4" w:space="0" w:color="auto"/>
            </w:tcBorders>
            <w:vAlign w:val="center"/>
          </w:tcPr>
          <w:p>
            <w:pPr>
              <w:rPr>
                <w:b/>
                <w:bCs w:val="0"/>
                <w:color w:val="auto"/>
                <w:highlight w:val="none"/>
              </w:rPr>
            </w:pPr>
            <w:r>
              <w:rPr>
                <w:b/>
                <w:bCs w:val="0"/>
                <w:color w:val="auto"/>
                <w:highlight w:val="none"/>
              </w:rPr>
              <w:t>项目名称</w:t>
            </w:r>
          </w:p>
        </w:tc>
        <w:tc>
          <w:tcPr>
            <w:tcW w:w="2051" w:type="dxa"/>
            <w:tcBorders>
              <w:top w:val="single" w:sz="4" w:space="0" w:color="auto"/>
              <w:left w:val="nil"/>
              <w:bottom w:val="single" w:sz="4" w:space="0" w:color="auto"/>
              <w:right w:val="single" w:sz="4" w:space="0" w:color="auto"/>
            </w:tcBorders>
            <w:vAlign w:val="center"/>
          </w:tcPr>
          <w:p>
            <w:pPr>
              <w:rPr>
                <w:b/>
                <w:bCs w:val="0"/>
                <w:color w:val="auto"/>
                <w:highlight w:val="none"/>
              </w:rPr>
            </w:pPr>
            <w:r>
              <w:rPr>
                <w:b/>
                <w:bCs w:val="0"/>
                <w:color w:val="auto"/>
                <w:highlight w:val="none"/>
              </w:rPr>
              <w:t>内容描述</w:t>
            </w:r>
          </w:p>
        </w:tc>
        <w:tc>
          <w:tcPr>
            <w:tcW w:w="1010" w:type="dxa"/>
            <w:tcBorders>
              <w:top w:val="single" w:sz="4" w:space="0" w:color="auto"/>
              <w:left w:val="single" w:sz="4" w:space="0" w:color="auto"/>
              <w:bottom w:val="single" w:sz="4" w:space="0" w:color="auto"/>
              <w:right w:val="single" w:sz="4" w:space="0" w:color="auto"/>
            </w:tcBorders>
            <w:vAlign w:val="center"/>
          </w:tcPr>
          <w:p>
            <w:pPr>
              <w:rPr>
                <w:b/>
                <w:bCs w:val="0"/>
                <w:color w:val="auto"/>
                <w:highlight w:val="none"/>
              </w:rPr>
            </w:pPr>
            <w:r>
              <w:rPr>
                <w:rFonts w:hint="eastAsia"/>
                <w:b/>
                <w:bCs w:val="0"/>
                <w:color w:val="auto"/>
                <w:highlight w:val="none"/>
              </w:rPr>
              <w:t>数量</w:t>
            </w:r>
          </w:p>
        </w:tc>
        <w:tc>
          <w:tcPr>
            <w:tcW w:w="1170" w:type="dxa"/>
            <w:tcBorders>
              <w:top w:val="single" w:sz="4" w:space="0" w:color="auto"/>
              <w:left w:val="single" w:sz="4" w:space="0" w:color="auto"/>
              <w:bottom w:val="single" w:sz="4" w:space="0" w:color="auto"/>
              <w:right w:val="single" w:sz="4" w:space="0" w:color="auto"/>
            </w:tcBorders>
            <w:vAlign w:val="center"/>
          </w:tcPr>
          <w:p>
            <w:pPr>
              <w:rPr>
                <w:b/>
                <w:bCs w:val="0"/>
                <w:color w:val="auto"/>
                <w:highlight w:val="none"/>
              </w:rPr>
            </w:pPr>
            <w:r>
              <w:rPr>
                <w:rFonts w:hint="eastAsia"/>
                <w:b/>
                <w:bCs w:val="0"/>
                <w:color w:val="auto"/>
                <w:highlight w:val="none"/>
              </w:rPr>
              <w:t>单价</w:t>
            </w:r>
          </w:p>
        </w:tc>
        <w:tc>
          <w:tcPr>
            <w:tcW w:w="1230" w:type="dxa"/>
            <w:tcBorders>
              <w:top w:val="single" w:sz="4" w:space="0" w:color="auto"/>
              <w:left w:val="single" w:sz="4" w:space="0" w:color="auto"/>
              <w:bottom w:val="single" w:sz="4" w:space="0" w:color="auto"/>
              <w:right w:val="single" w:sz="4" w:space="0" w:color="auto"/>
            </w:tcBorders>
            <w:vAlign w:val="center"/>
          </w:tcPr>
          <w:p>
            <w:pPr>
              <w:rPr>
                <w:b/>
                <w:bCs w:val="0"/>
                <w:color w:val="auto"/>
                <w:highlight w:val="none"/>
              </w:rPr>
            </w:pPr>
            <w:r>
              <w:rPr>
                <w:b/>
                <w:bCs w:val="0"/>
                <w:color w:val="auto"/>
                <w:highlight w:val="none"/>
              </w:rPr>
              <w:t>小计</w:t>
            </w:r>
          </w:p>
          <w:p>
            <w:pPr>
              <w:rPr>
                <w:b/>
                <w:bCs w:val="0"/>
                <w:color w:val="auto"/>
                <w:highlight w:val="none"/>
              </w:rPr>
            </w:pPr>
            <w:r>
              <w:rPr>
                <w:b/>
                <w:bCs w:val="0"/>
                <w:color w:val="auto"/>
                <w:highlight w:val="none"/>
              </w:rPr>
              <w:t>（元）</w:t>
            </w:r>
          </w:p>
        </w:tc>
        <w:tc>
          <w:tcPr>
            <w:tcW w:w="742" w:type="dxa"/>
            <w:tcBorders>
              <w:top w:val="single" w:sz="4" w:space="0" w:color="auto"/>
              <w:left w:val="nil"/>
              <w:bottom w:val="single" w:sz="4" w:space="0" w:color="auto"/>
              <w:right w:val="single" w:sz="4" w:space="0" w:color="auto"/>
            </w:tcBorders>
            <w:vAlign w:val="center"/>
          </w:tcPr>
          <w:p>
            <w:pPr>
              <w:rPr>
                <w:b/>
                <w:bCs w:val="0"/>
                <w:color w:val="auto"/>
                <w:highlight w:val="none"/>
              </w:rPr>
            </w:pPr>
            <w:r>
              <w:rPr>
                <w:b/>
                <w:bCs w:val="0"/>
                <w:color w:val="auto"/>
                <w:highlight w:val="none"/>
              </w:rPr>
              <w:t>备注</w:t>
            </w:r>
          </w:p>
        </w:tc>
      </w:tr>
      <w:tr>
        <w:tblPrEx>
          <w:tblW w:w="8349" w:type="dxa"/>
          <w:jc w:val="center"/>
          <w:tblLayout w:type="fixed"/>
          <w:tblCellMar>
            <w:top w:w="0" w:type="dxa"/>
            <w:left w:w="108" w:type="dxa"/>
            <w:bottom w:w="0" w:type="dxa"/>
            <w:right w:w="108" w:type="dxa"/>
          </w:tblCellMar>
        </w:tblPrEx>
        <w:trPr>
          <w:trHeight w:val="671"/>
          <w:tblHeader/>
          <w:jc w:val="center"/>
        </w:trPr>
        <w:tc>
          <w:tcPr>
            <w:tcW w:w="705"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1</w:t>
            </w:r>
          </w:p>
        </w:tc>
        <w:tc>
          <w:tcPr>
            <w:tcW w:w="144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205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101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17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23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742"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8349" w:type="dxa"/>
          <w:jc w:val="center"/>
          <w:tblLayout w:type="fixed"/>
          <w:tblCellMar>
            <w:top w:w="0" w:type="dxa"/>
            <w:left w:w="108" w:type="dxa"/>
            <w:bottom w:w="0" w:type="dxa"/>
            <w:right w:w="108" w:type="dxa"/>
          </w:tblCellMar>
        </w:tblPrEx>
        <w:trPr>
          <w:trHeight w:val="671"/>
          <w:tblHeader/>
          <w:jc w:val="center"/>
        </w:trPr>
        <w:tc>
          <w:tcPr>
            <w:tcW w:w="705"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2</w:t>
            </w:r>
          </w:p>
        </w:tc>
        <w:tc>
          <w:tcPr>
            <w:tcW w:w="144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205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101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17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23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742"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8349" w:type="dxa"/>
          <w:jc w:val="center"/>
          <w:tblLayout w:type="fixed"/>
          <w:tblCellMar>
            <w:top w:w="0" w:type="dxa"/>
            <w:left w:w="108" w:type="dxa"/>
            <w:bottom w:w="0" w:type="dxa"/>
            <w:right w:w="108" w:type="dxa"/>
          </w:tblCellMar>
        </w:tblPrEx>
        <w:trPr>
          <w:trHeight w:val="671"/>
          <w:tblHeader/>
          <w:jc w:val="center"/>
        </w:trPr>
        <w:tc>
          <w:tcPr>
            <w:tcW w:w="705"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3</w:t>
            </w:r>
          </w:p>
        </w:tc>
        <w:tc>
          <w:tcPr>
            <w:tcW w:w="144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205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101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17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23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742"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8349" w:type="dxa"/>
          <w:jc w:val="center"/>
          <w:tblLayout w:type="fixed"/>
          <w:tblCellMar>
            <w:top w:w="0" w:type="dxa"/>
            <w:left w:w="108" w:type="dxa"/>
            <w:bottom w:w="0" w:type="dxa"/>
            <w:right w:w="108" w:type="dxa"/>
          </w:tblCellMar>
        </w:tblPrEx>
        <w:trPr>
          <w:trHeight w:val="608"/>
          <w:tblHeader/>
          <w:jc w:val="center"/>
        </w:trPr>
        <w:tc>
          <w:tcPr>
            <w:tcW w:w="705" w:type="dxa"/>
            <w:tcBorders>
              <w:top w:val="nil"/>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4</w:t>
            </w:r>
          </w:p>
        </w:tc>
        <w:tc>
          <w:tcPr>
            <w:tcW w:w="1441" w:type="dxa"/>
            <w:tcBorders>
              <w:top w:val="nil"/>
              <w:left w:val="nil"/>
              <w:bottom w:val="single" w:sz="4" w:space="0" w:color="auto"/>
              <w:right w:val="single" w:sz="4" w:space="0" w:color="auto"/>
            </w:tcBorders>
            <w:vAlign w:val="center"/>
          </w:tcPr>
          <w:p>
            <w:pPr>
              <w:rPr>
                <w:color w:val="auto"/>
                <w:highlight w:val="none"/>
              </w:rPr>
            </w:pPr>
          </w:p>
        </w:tc>
        <w:tc>
          <w:tcPr>
            <w:tcW w:w="2051" w:type="dxa"/>
            <w:tcBorders>
              <w:top w:val="nil"/>
              <w:left w:val="nil"/>
              <w:bottom w:val="single" w:sz="4" w:space="0" w:color="auto"/>
              <w:right w:val="single" w:sz="4" w:space="0" w:color="auto"/>
            </w:tcBorders>
            <w:vAlign w:val="center"/>
          </w:tcPr>
          <w:p>
            <w:pPr>
              <w:rPr>
                <w:color w:val="auto"/>
                <w:highlight w:val="none"/>
              </w:rPr>
            </w:pPr>
          </w:p>
        </w:tc>
        <w:tc>
          <w:tcPr>
            <w:tcW w:w="1010" w:type="dxa"/>
            <w:tcBorders>
              <w:top w:val="nil"/>
              <w:left w:val="single" w:sz="4" w:space="0" w:color="auto"/>
              <w:bottom w:val="single" w:sz="4" w:space="0" w:color="auto"/>
              <w:right w:val="single" w:sz="4" w:space="0" w:color="auto"/>
            </w:tcBorders>
            <w:vAlign w:val="center"/>
          </w:tcPr>
          <w:p>
            <w:pPr>
              <w:rPr>
                <w:color w:val="auto"/>
                <w:highlight w:val="none"/>
              </w:rPr>
            </w:pPr>
          </w:p>
        </w:tc>
        <w:tc>
          <w:tcPr>
            <w:tcW w:w="1170" w:type="dxa"/>
            <w:tcBorders>
              <w:top w:val="nil"/>
              <w:left w:val="single" w:sz="4" w:space="0" w:color="auto"/>
              <w:bottom w:val="single" w:sz="4" w:space="0" w:color="auto"/>
              <w:right w:val="single" w:sz="4" w:space="0" w:color="auto"/>
            </w:tcBorders>
            <w:vAlign w:val="center"/>
          </w:tcPr>
          <w:p>
            <w:pPr>
              <w:rPr>
                <w:color w:val="auto"/>
                <w:highlight w:val="none"/>
              </w:rPr>
            </w:pPr>
          </w:p>
        </w:tc>
        <w:tc>
          <w:tcPr>
            <w:tcW w:w="1230" w:type="dxa"/>
            <w:tcBorders>
              <w:top w:val="nil"/>
              <w:left w:val="single" w:sz="4" w:space="0" w:color="auto"/>
              <w:bottom w:val="single" w:sz="4" w:space="0" w:color="auto"/>
              <w:right w:val="single" w:sz="4" w:space="0" w:color="auto"/>
            </w:tcBorders>
            <w:vAlign w:val="center"/>
          </w:tcPr>
          <w:p>
            <w:pPr>
              <w:rPr>
                <w:color w:val="auto"/>
                <w:highlight w:val="none"/>
              </w:rPr>
            </w:pPr>
          </w:p>
        </w:tc>
        <w:tc>
          <w:tcPr>
            <w:tcW w:w="742" w:type="dxa"/>
            <w:tcBorders>
              <w:top w:val="nil"/>
              <w:left w:val="single" w:sz="4" w:space="0" w:color="auto"/>
              <w:bottom w:val="single" w:sz="4" w:space="0" w:color="auto"/>
              <w:right w:val="single" w:sz="4" w:space="0" w:color="auto"/>
            </w:tcBorders>
            <w:vAlign w:val="center"/>
          </w:tcPr>
          <w:p>
            <w:pPr>
              <w:rPr>
                <w:color w:val="auto"/>
                <w:highlight w:val="none"/>
              </w:rPr>
            </w:pPr>
          </w:p>
        </w:tc>
      </w:tr>
      <w:tr>
        <w:tblPrEx>
          <w:tblW w:w="8349" w:type="dxa"/>
          <w:jc w:val="center"/>
          <w:tblLayout w:type="fixed"/>
          <w:tblCellMar>
            <w:top w:w="0" w:type="dxa"/>
            <w:left w:w="108" w:type="dxa"/>
            <w:bottom w:w="0" w:type="dxa"/>
            <w:right w:w="108" w:type="dxa"/>
          </w:tblCellMar>
        </w:tblPrEx>
        <w:trPr>
          <w:trHeight w:val="616"/>
          <w:tblHeader/>
          <w:jc w:val="center"/>
        </w:trPr>
        <w:tc>
          <w:tcPr>
            <w:tcW w:w="705"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5</w:t>
            </w:r>
          </w:p>
        </w:tc>
        <w:tc>
          <w:tcPr>
            <w:tcW w:w="144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205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101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17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23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742"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8349" w:type="dxa"/>
          <w:jc w:val="center"/>
          <w:tblLayout w:type="fixed"/>
          <w:tblCellMar>
            <w:top w:w="0" w:type="dxa"/>
            <w:left w:w="108" w:type="dxa"/>
            <w:bottom w:w="0" w:type="dxa"/>
            <w:right w:w="108" w:type="dxa"/>
          </w:tblCellMar>
        </w:tblPrEx>
        <w:trPr>
          <w:trHeight w:val="610"/>
          <w:tblHeader/>
          <w:jc w:val="center"/>
        </w:trPr>
        <w:tc>
          <w:tcPr>
            <w:tcW w:w="705"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color w:val="auto"/>
                <w:highlight w:val="none"/>
              </w:rPr>
              <w:t>……</w:t>
            </w:r>
          </w:p>
        </w:tc>
        <w:tc>
          <w:tcPr>
            <w:tcW w:w="144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2051" w:type="dxa"/>
            <w:tcBorders>
              <w:top w:val="single" w:sz="4" w:space="0" w:color="auto"/>
              <w:left w:val="nil"/>
              <w:bottom w:val="single" w:sz="4" w:space="0" w:color="auto"/>
              <w:right w:val="single" w:sz="4" w:space="0" w:color="auto"/>
            </w:tcBorders>
            <w:vAlign w:val="center"/>
          </w:tcPr>
          <w:p>
            <w:pPr>
              <w:rPr>
                <w:color w:val="auto"/>
                <w:highlight w:val="none"/>
              </w:rPr>
            </w:pPr>
          </w:p>
        </w:tc>
        <w:tc>
          <w:tcPr>
            <w:tcW w:w="101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17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23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742"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8349" w:type="dxa"/>
          <w:jc w:val="center"/>
          <w:tblLayout w:type="fixed"/>
          <w:tblCellMar>
            <w:top w:w="0" w:type="dxa"/>
            <w:left w:w="108" w:type="dxa"/>
            <w:bottom w:w="0" w:type="dxa"/>
            <w:right w:w="108" w:type="dxa"/>
          </w:tblCellMar>
        </w:tblPrEx>
        <w:trPr>
          <w:trHeight w:val="610"/>
          <w:tblHeader/>
          <w:jc w:val="center"/>
        </w:trPr>
        <w:tc>
          <w:tcPr>
            <w:tcW w:w="4197" w:type="dxa"/>
            <w:gridSpan w:val="3"/>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color w:val="auto"/>
                <w:highlight w:val="none"/>
              </w:rPr>
              <w:t>合   计</w:t>
            </w:r>
          </w:p>
        </w:tc>
        <w:tc>
          <w:tcPr>
            <w:tcW w:w="101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17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1230"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742"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bl>
    <w:p>
      <w:pPr>
        <w:jc w:val="left"/>
        <w:rPr>
          <w:color w:val="auto"/>
          <w:highlight w:val="none"/>
        </w:rPr>
      </w:pPr>
      <w:r>
        <w:rPr>
          <w:color w:val="auto"/>
          <w:highlight w:val="none"/>
        </w:rPr>
        <w:t>特别说明：</w:t>
      </w:r>
    </w:p>
    <w:p>
      <w:pPr>
        <w:ind w:firstLine="420" w:firstLineChars="200"/>
        <w:jc w:val="left"/>
        <w:rPr>
          <w:color w:val="auto"/>
          <w:highlight w:val="none"/>
        </w:rPr>
      </w:pPr>
      <w:r>
        <w:rPr>
          <w:rFonts w:hint="eastAsia"/>
          <w:color w:val="auto"/>
          <w:highlight w:val="none"/>
        </w:rPr>
        <w:t>1.本项目总价及分项报价均不接受任何形式的赠送、“零”报价和折扣报价。</w:t>
      </w:r>
    </w:p>
    <w:p>
      <w:pPr>
        <w:ind w:firstLine="420" w:firstLineChars="200"/>
        <w:jc w:val="left"/>
        <w:rPr>
          <w:color w:val="auto"/>
          <w:highlight w:val="none"/>
        </w:rPr>
      </w:pPr>
      <w:r>
        <w:rPr>
          <w:rFonts w:hint="eastAsia"/>
          <w:color w:val="auto"/>
          <w:highlight w:val="none"/>
        </w:rPr>
        <w:t>2.如报价不一致，按照投标人须知“19.核价原则”进行修正。</w:t>
      </w:r>
    </w:p>
    <w:p>
      <w:pPr>
        <w:ind w:firstLine="420" w:firstLineChars="200"/>
        <w:jc w:val="left"/>
        <w:rPr>
          <w:color w:val="auto"/>
          <w:highlight w:val="none"/>
        </w:rPr>
      </w:pPr>
      <w:r>
        <w:rPr>
          <w:rFonts w:hint="eastAsia"/>
          <w:color w:val="auto"/>
          <w:highlight w:val="none"/>
        </w:rPr>
        <w:t>3.本表中小计=数量×单价。</w:t>
      </w:r>
    </w:p>
    <w:p>
      <w:pPr>
        <w:ind w:firstLine="420" w:firstLineChars="200"/>
        <w:jc w:val="left"/>
        <w:rPr>
          <w:color w:val="auto"/>
          <w:highlight w:val="none"/>
        </w:rPr>
      </w:pPr>
      <w:r>
        <w:rPr>
          <w:rFonts w:hint="eastAsia"/>
          <w:color w:val="auto"/>
          <w:highlight w:val="none"/>
        </w:rPr>
        <w:t>4.本表仅供参考，可扩展。</w:t>
      </w:r>
    </w:p>
    <w:p>
      <w:pPr>
        <w:pStyle w:val="PlainText"/>
        <w:jc w:val="left"/>
        <w:rPr>
          <w:color w:val="auto"/>
          <w:highlight w:val="none"/>
        </w:rPr>
      </w:pPr>
    </w:p>
    <w:p>
      <w:pPr>
        <w:jc w:val="left"/>
        <w:rPr>
          <w:color w:val="auto"/>
          <w:highlight w:val="none"/>
        </w:rPr>
      </w:pPr>
      <w:r>
        <w:rPr>
          <w:rFonts w:hint="eastAsia"/>
          <w:color w:val="auto"/>
          <w:highlight w:val="none"/>
        </w:rPr>
        <w:t>投标人（全称并加盖公章）：</w:t>
      </w:r>
    </w:p>
    <w:p>
      <w:pPr>
        <w:jc w:val="left"/>
        <w:rPr>
          <w:color w:val="auto"/>
          <w:highlight w:val="none"/>
        </w:rPr>
      </w:pPr>
      <w:r>
        <w:rPr>
          <w:rFonts w:hint="eastAsia"/>
          <w:color w:val="auto"/>
          <w:highlight w:val="none"/>
        </w:rPr>
        <w:t>投标人代表（签字）：</w:t>
      </w:r>
    </w:p>
    <w:p>
      <w:pPr>
        <w:jc w:val="left"/>
        <w:rPr>
          <w:color w:val="auto"/>
          <w:highlight w:val="none"/>
        </w:rPr>
      </w:pPr>
      <w:r>
        <w:rPr>
          <w:color w:val="auto"/>
          <w:highlight w:val="none"/>
        </w:rPr>
        <w:t>日期：</w:t>
      </w:r>
    </w:p>
    <w:p>
      <w:pPr>
        <w:rPr>
          <w:rFonts w:hint="eastAsia"/>
          <w:b/>
          <w:bCs w:val="0"/>
          <w:color w:val="auto"/>
          <w:sz w:val="28"/>
          <w:szCs w:val="28"/>
          <w:highlight w:val="none"/>
        </w:rPr>
      </w:pPr>
      <w:r>
        <w:rPr>
          <w:color w:val="auto"/>
          <w:sz w:val="36"/>
          <w:szCs w:val="36"/>
          <w:highlight w:val="none"/>
        </w:rPr>
        <w:br w:type="page"/>
      </w:r>
      <w:r>
        <w:rPr>
          <w:rFonts w:hint="eastAsia"/>
          <w:b/>
          <w:bCs w:val="0"/>
          <w:color w:val="auto"/>
          <w:sz w:val="28"/>
          <w:szCs w:val="28"/>
          <w:highlight w:val="none"/>
        </w:rPr>
        <w:t>格式8  授权委托书</w:t>
      </w:r>
    </w:p>
    <w:p>
      <w:pPr>
        <w:rPr>
          <w:rFonts w:hint="eastAsia"/>
          <w:b/>
          <w:bCs w:val="0"/>
          <w:color w:val="auto"/>
          <w:sz w:val="28"/>
          <w:szCs w:val="28"/>
          <w:highlight w:val="none"/>
        </w:rPr>
      </w:pPr>
      <w:r>
        <w:rPr>
          <w:rFonts w:hint="eastAsia"/>
          <w:b/>
          <w:bCs w:val="0"/>
          <w:color w:val="auto"/>
          <w:sz w:val="28"/>
          <w:szCs w:val="28"/>
          <w:highlight w:val="none"/>
        </w:rPr>
        <w:t>8-1法定代表人授权委托书</w:t>
      </w:r>
    </w:p>
    <w:p>
      <w:pPr>
        <w:rPr>
          <w:b/>
          <w:color w:val="auto"/>
          <w:sz w:val="24"/>
          <w:highlight w:val="none"/>
        </w:rPr>
      </w:pPr>
      <w:r>
        <w:rPr>
          <w:rFonts w:hint="eastAsia"/>
          <w:color w:val="auto"/>
          <w:highlight w:val="none"/>
        </w:rPr>
        <w:t>(适用于授权代表参加投标)</w:t>
      </w:r>
    </w:p>
    <w:p>
      <w:pPr>
        <w:pStyle w:val="NormalWeb"/>
        <w:rPr>
          <w:color w:val="auto"/>
          <w:highlight w:val="none"/>
        </w:rPr>
      </w:pPr>
    </w:p>
    <w:p>
      <w:pPr>
        <w:jc w:val="left"/>
        <w:rPr>
          <w:color w:val="auto"/>
          <w:highlight w:val="none"/>
        </w:rPr>
      </w:pPr>
      <w:r>
        <w:rPr>
          <w:rFonts w:cs="宋体" w:hint="eastAsia"/>
          <w:color w:val="auto"/>
          <w:highlight w:val="none"/>
        </w:rPr>
        <w:t>致</w:t>
      </w:r>
      <w:r>
        <w:rPr>
          <w:color w:val="auto"/>
          <w:highlight w:val="none"/>
        </w:rPr>
        <w:t>____________(</w:t>
      </w:r>
      <w:r>
        <w:rPr>
          <w:rFonts w:cs="宋体" w:hint="eastAsia"/>
          <w:color w:val="auto"/>
          <w:highlight w:val="none"/>
        </w:rPr>
        <w:t>采购人或采购代理机构</w:t>
      </w:r>
      <w:r>
        <w:rPr>
          <w:color w:val="auto"/>
          <w:highlight w:val="none"/>
        </w:rPr>
        <w:t>)</w:t>
      </w:r>
      <w:r>
        <w:rPr>
          <w:rFonts w:cs="宋体" w:hint="eastAsia"/>
          <w:color w:val="auto"/>
          <w:highlight w:val="none"/>
        </w:rPr>
        <w:t>：</w:t>
      </w:r>
    </w:p>
    <w:p>
      <w:pPr>
        <w:ind w:firstLine="420" w:firstLineChars="200"/>
        <w:jc w:val="left"/>
        <w:rPr>
          <w:color w:val="auto"/>
          <w:highlight w:val="none"/>
        </w:rPr>
      </w:pPr>
      <w:r>
        <w:rPr>
          <w:rFonts w:hint="eastAsia"/>
          <w:color w:val="auto"/>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color w:val="auto"/>
          <w:highlight w:val="none"/>
          <w:u w:val="single"/>
        </w:rPr>
        <w:t xml:space="preserve">          项目</w:t>
      </w:r>
      <w:r>
        <w:rPr>
          <w:rFonts w:hint="eastAsia"/>
          <w:color w:val="auto"/>
          <w:highlight w:val="none"/>
        </w:rPr>
        <w:t>》（项目编号：_______）投标、合同的执行，以本公司名义处理一切与之有关的事务。</w:t>
      </w:r>
    </w:p>
    <w:p>
      <w:pPr>
        <w:ind w:firstLine="420" w:firstLineChars="200"/>
        <w:jc w:val="left"/>
        <w:rPr>
          <w:color w:val="auto"/>
          <w:highlight w:val="none"/>
        </w:rPr>
      </w:pPr>
      <w:r>
        <w:rPr>
          <w:rFonts w:hint="eastAsia"/>
          <w:color w:val="auto"/>
          <w:highlight w:val="none"/>
        </w:rPr>
        <w:t>本授权书于______年______月_____日生效，特此声明。</w:t>
      </w:r>
    </w:p>
    <w:p>
      <w:pPr>
        <w:pStyle w:val="NormalWeb"/>
        <w:ind w:firstLine="480" w:firstLineChars="200"/>
        <w:jc w:val="left"/>
        <w:rPr>
          <w:color w:val="auto"/>
          <w:highlight w:val="none"/>
        </w:rPr>
      </w:pPr>
      <w:r>
        <w:rPr>
          <w:rFonts w:hint="eastAsia"/>
          <w:color w:val="auto"/>
          <w:kern w:val="2"/>
          <w:highlight w:val="none"/>
        </w:rPr>
        <w:t>被授权投标代表无转委托权。</w:t>
      </w: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NormalWeb"/>
              <w:rPr>
                <w:color w:val="auto"/>
                <w:highlight w:val="none"/>
              </w:rPr>
            </w:pPr>
          </w:p>
          <w:p>
            <w:pPr>
              <w:pStyle w:val="NormalWeb"/>
              <w:rPr>
                <w:color w:val="auto"/>
                <w:highlight w:val="none"/>
              </w:rPr>
            </w:pPr>
          </w:p>
          <w:p>
            <w:pPr>
              <w:pStyle w:val="NormalWeb"/>
              <w:rPr>
                <w:color w:val="auto"/>
                <w:highlight w:val="none"/>
              </w:rPr>
            </w:pPr>
          </w:p>
          <w:p>
            <w:pPr>
              <w:pStyle w:val="NormalWeb"/>
              <w:rPr>
                <w:color w:val="auto"/>
                <w:highlight w:val="none"/>
              </w:rPr>
            </w:pPr>
            <w:r>
              <w:rPr>
                <w:rFonts w:hint="eastAsia"/>
                <w:color w:val="auto"/>
                <w:kern w:val="2"/>
                <w:highlight w:val="none"/>
              </w:rPr>
              <w:t>被授权投标代表身份证复印件</w:t>
            </w:r>
          </w:p>
          <w:p>
            <w:pPr>
              <w:pStyle w:val="NormalWeb"/>
              <w:rPr>
                <w:color w:val="auto"/>
                <w:highlight w:val="none"/>
              </w:rPr>
            </w:pPr>
          </w:p>
          <w:p>
            <w:pPr>
              <w:pStyle w:val="NormalWeb"/>
              <w:rPr>
                <w:color w:val="auto"/>
                <w:highlight w:val="none"/>
              </w:rPr>
            </w:pPr>
          </w:p>
          <w:p>
            <w:pPr>
              <w:pStyle w:val="NormalWeb"/>
              <w:rPr>
                <w:color w:val="auto"/>
                <w:highlight w:val="none"/>
              </w:rPr>
            </w:pPr>
          </w:p>
        </w:tc>
      </w:tr>
    </w:tbl>
    <w:p>
      <w:pPr>
        <w:jc w:val="left"/>
        <w:rPr>
          <w:color w:val="auto"/>
          <w:highlight w:val="none"/>
        </w:rPr>
      </w:pPr>
      <w:r>
        <w:rPr>
          <w:rFonts w:hint="eastAsia"/>
          <w:color w:val="auto"/>
          <w:highlight w:val="none"/>
        </w:rPr>
        <w:t>投标人名称（公章）：________________</w:t>
      </w:r>
    </w:p>
    <w:p>
      <w:pPr>
        <w:jc w:val="left"/>
        <w:rPr>
          <w:color w:val="auto"/>
          <w:highlight w:val="none"/>
        </w:rPr>
      </w:pPr>
      <w:r>
        <w:rPr>
          <w:rFonts w:hint="eastAsia"/>
          <w:color w:val="auto"/>
          <w:highlight w:val="none"/>
        </w:rPr>
        <w:t>法定代表人（签字）：________________</w:t>
      </w:r>
    </w:p>
    <w:p>
      <w:pPr>
        <w:jc w:val="left"/>
        <w:rPr>
          <w:color w:val="auto"/>
          <w:highlight w:val="none"/>
        </w:rPr>
      </w:pPr>
      <w:r>
        <w:rPr>
          <w:rFonts w:hint="eastAsia"/>
          <w:color w:val="auto"/>
          <w:highlight w:val="none"/>
        </w:rPr>
        <w:t>被授权投标代表（签字）：________________</w:t>
      </w:r>
    </w:p>
    <w:p>
      <w:pPr>
        <w:jc w:val="left"/>
        <w:rPr>
          <w:color w:val="auto"/>
          <w:highlight w:val="none"/>
        </w:rPr>
      </w:pPr>
      <w:r>
        <w:rPr>
          <w:rFonts w:hint="eastAsia"/>
          <w:color w:val="auto"/>
          <w:highlight w:val="none"/>
        </w:rPr>
        <w:t>被授权投标代表联系电话：____________</w:t>
      </w:r>
    </w:p>
    <w:p>
      <w:pPr>
        <w:jc w:val="left"/>
        <w:rPr>
          <w:color w:val="auto"/>
          <w:highlight w:val="none"/>
        </w:rPr>
      </w:pPr>
      <w:r>
        <w:rPr>
          <w:rFonts w:hint="eastAsia"/>
          <w:color w:val="auto"/>
          <w:highlight w:val="none"/>
        </w:rPr>
        <w:t>日期：____________</w:t>
      </w:r>
    </w:p>
    <w:p>
      <w:pPr>
        <w:jc w:val="left"/>
        <w:rPr>
          <w:color w:val="auto"/>
          <w:highlight w:val="none"/>
        </w:rPr>
      </w:pPr>
    </w:p>
    <w:p>
      <w:pPr>
        <w:jc w:val="left"/>
        <w:rPr>
          <w:rFonts w:hint="eastAsia"/>
          <w:color w:val="auto"/>
          <w:highlight w:val="none"/>
        </w:rPr>
      </w:pPr>
    </w:p>
    <w:p>
      <w:pPr>
        <w:jc w:val="left"/>
        <w:rPr>
          <w:i/>
          <w:iCs/>
          <w:color w:val="auto"/>
          <w:highlight w:val="none"/>
        </w:rPr>
      </w:pPr>
      <w:r>
        <w:rPr>
          <w:rFonts w:hint="eastAsia"/>
          <w:color w:val="auto"/>
          <w:highlight w:val="none"/>
        </w:rPr>
        <w:t>特别说明：</w:t>
      </w:r>
    </w:p>
    <w:p>
      <w:pPr>
        <w:ind w:firstLine="420" w:firstLineChars="200"/>
        <w:jc w:val="left"/>
        <w:rPr>
          <w:rFonts w:ascii="宋体" w:hAnsi="宋体"/>
          <w:color w:val="auto"/>
          <w:highlight w:val="none"/>
        </w:rPr>
      </w:pPr>
      <w:r>
        <w:rPr>
          <w:color w:val="auto"/>
          <w:highlight w:val="none"/>
        </w:rPr>
        <w:t>1.</w:t>
      </w:r>
      <w:r>
        <w:rPr>
          <w:rFonts w:hint="eastAsia"/>
          <w:color w:val="auto"/>
          <w:highlight w:val="none"/>
        </w:rPr>
        <w:t>投标人如由被授权投标代表参与投标活动的，须同时提供《法定代表人授权委托书》和被授权投标代表身份证复印件（线上采购项目提供扫描件，下同）。《法定代表人授权委托书》应当按本格式要求加盖与投标人名称全称一致的标准公章，并签署法定代表人或被授权投标代表的全名。</w:t>
      </w:r>
      <w:r>
        <w:rPr>
          <w:color w:val="auto"/>
          <w:highlight w:val="none"/>
        </w:rPr>
        <w:t>(</w:t>
      </w:r>
      <w:r>
        <w:rPr>
          <w:rFonts w:hint="eastAsia"/>
          <w:color w:val="auto"/>
          <w:highlight w:val="none"/>
        </w:rPr>
        <w:t>线上采购项目应上传扫描件</w:t>
      </w:r>
      <w:r>
        <w:rPr>
          <w:color w:val="auto"/>
          <w:highlight w:val="none"/>
        </w:rPr>
        <w:t>)</w:t>
      </w:r>
      <w:r>
        <w:rPr>
          <w:rFonts w:hint="eastAsia"/>
          <w:color w:val="auto"/>
          <w:highlight w:val="none"/>
        </w:rPr>
        <w:t>。</w:t>
      </w:r>
    </w:p>
    <w:p>
      <w:pPr>
        <w:jc w:val="center"/>
        <w:rPr>
          <w:rFonts w:hint="eastAsia"/>
          <w:b/>
          <w:bCs w:val="0"/>
          <w:color w:val="auto"/>
          <w:sz w:val="28"/>
          <w:szCs w:val="28"/>
          <w:highlight w:val="none"/>
        </w:rPr>
      </w:pPr>
      <w:r>
        <w:rPr>
          <w:rFonts w:ascii="宋体" w:hAnsi="宋体" w:hint="eastAsia"/>
          <w:color w:val="auto"/>
          <w:sz w:val="36"/>
          <w:szCs w:val="36"/>
          <w:highlight w:val="none"/>
        </w:rPr>
        <w:br w:type="page"/>
      </w:r>
      <w:r>
        <w:rPr>
          <w:rFonts w:hint="eastAsia"/>
          <w:b/>
          <w:bCs w:val="0"/>
          <w:color w:val="auto"/>
          <w:sz w:val="28"/>
          <w:szCs w:val="28"/>
          <w:highlight w:val="none"/>
        </w:rPr>
        <w:t>8-2法定代表人身份证明复印件</w:t>
      </w:r>
    </w:p>
    <w:p>
      <w:pPr>
        <w:rPr>
          <w:color w:val="auto"/>
          <w:highlight w:val="none"/>
        </w:rPr>
      </w:pPr>
      <w:r>
        <w:rPr>
          <w:rFonts w:hint="eastAsia"/>
          <w:color w:val="auto"/>
          <w:highlight w:val="none"/>
        </w:rPr>
        <w:t>(适用于法定代表人参加投标)</w:t>
      </w:r>
    </w:p>
    <w:p>
      <w:pPr>
        <w:rPr>
          <w:color w:val="auto"/>
          <w:highlight w:val="none"/>
        </w:rPr>
      </w:pPr>
    </w:p>
    <w:tbl>
      <w:tblPr>
        <w:tblStyle w:val="TableNormal"/>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95"/>
      </w:tblGrid>
      <w:tr>
        <w:tblPrEx>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389"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NormalWeb"/>
              <w:rPr>
                <w:color w:val="auto"/>
                <w:highlight w:val="none"/>
              </w:rPr>
            </w:pPr>
          </w:p>
          <w:p>
            <w:pPr>
              <w:pStyle w:val="NormalWeb"/>
              <w:rPr>
                <w:color w:val="auto"/>
                <w:highlight w:val="none"/>
              </w:rPr>
            </w:pPr>
          </w:p>
          <w:p>
            <w:pPr>
              <w:pStyle w:val="NormalWeb"/>
              <w:rPr>
                <w:color w:val="auto"/>
                <w:highlight w:val="none"/>
              </w:rPr>
            </w:pPr>
          </w:p>
          <w:p>
            <w:pPr>
              <w:pStyle w:val="NormalWeb"/>
              <w:rPr>
                <w:color w:val="auto"/>
                <w:highlight w:val="none"/>
              </w:rPr>
            </w:pPr>
          </w:p>
          <w:p>
            <w:pPr>
              <w:pStyle w:val="NormalWeb"/>
              <w:rPr>
                <w:color w:val="auto"/>
                <w:highlight w:val="none"/>
              </w:rPr>
            </w:pPr>
            <w:r>
              <w:rPr>
                <w:rFonts w:hint="eastAsia"/>
                <w:color w:val="auto"/>
                <w:kern w:val="2"/>
                <w:highlight w:val="none"/>
              </w:rPr>
              <w:t>法定代表人身份证明复印件</w:t>
            </w:r>
          </w:p>
          <w:p>
            <w:pPr>
              <w:pStyle w:val="NormalWeb"/>
              <w:rPr>
                <w:color w:val="auto"/>
                <w:highlight w:val="none"/>
              </w:rPr>
            </w:pPr>
          </w:p>
          <w:p>
            <w:pPr>
              <w:pStyle w:val="NormalWeb"/>
              <w:rPr>
                <w:color w:val="auto"/>
                <w:highlight w:val="none"/>
              </w:rPr>
            </w:pPr>
          </w:p>
          <w:p>
            <w:pPr>
              <w:pStyle w:val="NormalWeb"/>
              <w:rPr>
                <w:color w:val="auto"/>
                <w:highlight w:val="none"/>
              </w:rPr>
            </w:pPr>
          </w:p>
          <w:p>
            <w:pPr>
              <w:pStyle w:val="NormalWeb"/>
              <w:rPr>
                <w:color w:val="auto"/>
                <w:highlight w:val="none"/>
              </w:rPr>
            </w:pPr>
          </w:p>
        </w:tc>
      </w:tr>
    </w:tbl>
    <w:p>
      <w:pPr>
        <w:rPr>
          <w:color w:val="auto"/>
          <w:highlight w:val="none"/>
        </w:rPr>
      </w:pPr>
    </w:p>
    <w:p>
      <w:pPr>
        <w:jc w:val="both"/>
        <w:rPr>
          <w:i/>
          <w:iCs/>
          <w:color w:val="auto"/>
          <w:highlight w:val="none"/>
        </w:rPr>
      </w:pPr>
      <w:r>
        <w:rPr>
          <w:rFonts w:hint="eastAsia"/>
          <w:color w:val="auto"/>
          <w:highlight w:val="none"/>
        </w:rPr>
        <w:t>特别说明：</w:t>
      </w:r>
    </w:p>
    <w:p>
      <w:pPr>
        <w:jc w:val="left"/>
        <w:rPr>
          <w:color w:val="auto"/>
          <w:highlight w:val="none"/>
        </w:rPr>
      </w:pPr>
      <w:r>
        <w:rPr>
          <w:rFonts w:hint="eastAsia"/>
          <w:color w:val="auto"/>
          <w:highlight w:val="none"/>
          <w:lang w:val="en-US" w:eastAsia="zh-CN"/>
        </w:rPr>
        <w:t xml:space="preserve">    </w:t>
      </w:r>
      <w:r>
        <w:rPr>
          <w:rFonts w:hint="eastAsia"/>
          <w:color w:val="auto"/>
          <w:highlight w:val="none"/>
        </w:rPr>
        <w:t>投标人如由法定代表人作为投标代表参与投标活动的，仅须提供法定代表人身份证复印件（线上采购项目提供扫描件，下同）。</w:t>
      </w:r>
    </w:p>
    <w:p>
      <w:pPr>
        <w:pStyle w:val="NormalWeb"/>
        <w:jc w:val="left"/>
        <w:rPr>
          <w:color w:val="auto"/>
          <w:highlight w:val="none"/>
        </w:rPr>
      </w:pPr>
    </w:p>
    <w:p>
      <w:pPr>
        <w:rPr>
          <w:color w:val="auto"/>
          <w:highlight w:val="none"/>
        </w:rPr>
      </w:pPr>
      <w:r>
        <w:rPr>
          <w:rFonts w:hint="eastAsia"/>
          <w:color w:val="auto"/>
          <w:highlight w:val="none"/>
        </w:rPr>
        <w:br w:type="page"/>
      </w:r>
    </w:p>
    <w:p>
      <w:pPr>
        <w:jc w:val="center"/>
        <w:rPr>
          <w:rFonts w:hint="eastAsia"/>
          <w:b/>
          <w:bCs w:val="0"/>
          <w:color w:val="auto"/>
          <w:sz w:val="28"/>
          <w:szCs w:val="28"/>
          <w:highlight w:val="none"/>
        </w:rPr>
      </w:pPr>
      <w:r>
        <w:rPr>
          <w:rFonts w:hint="eastAsia"/>
          <w:b/>
          <w:bCs w:val="0"/>
          <w:color w:val="auto"/>
          <w:sz w:val="28"/>
          <w:szCs w:val="28"/>
          <w:highlight w:val="none"/>
        </w:rPr>
        <w:t>8-3自然人授权委托书</w:t>
      </w:r>
    </w:p>
    <w:p>
      <w:pPr>
        <w:rPr>
          <w:color w:val="auto"/>
          <w:highlight w:val="none"/>
        </w:rPr>
      </w:pPr>
      <w:r>
        <w:rPr>
          <w:rFonts w:hint="eastAsia"/>
          <w:color w:val="auto"/>
          <w:highlight w:val="none"/>
        </w:rPr>
        <w:t>(适用于自然人投标)</w:t>
      </w:r>
    </w:p>
    <w:p>
      <w:pPr>
        <w:pStyle w:val="NormalWeb"/>
        <w:rPr>
          <w:color w:val="auto"/>
          <w:highlight w:val="none"/>
        </w:rPr>
      </w:pPr>
    </w:p>
    <w:p>
      <w:pPr>
        <w:jc w:val="left"/>
        <w:rPr>
          <w:color w:val="auto"/>
          <w:highlight w:val="none"/>
        </w:rPr>
      </w:pPr>
      <w:r>
        <w:rPr>
          <w:rFonts w:cs="宋体" w:hint="eastAsia"/>
          <w:color w:val="auto"/>
          <w:highlight w:val="none"/>
        </w:rPr>
        <w:t>致</w:t>
      </w:r>
      <w:r>
        <w:rPr>
          <w:color w:val="auto"/>
          <w:highlight w:val="none"/>
        </w:rPr>
        <w:t>____________(</w:t>
      </w:r>
      <w:r>
        <w:rPr>
          <w:rFonts w:cs="宋体" w:hint="eastAsia"/>
          <w:color w:val="auto"/>
          <w:highlight w:val="none"/>
        </w:rPr>
        <w:t>采购人或采购代理机构</w:t>
      </w:r>
      <w:r>
        <w:rPr>
          <w:color w:val="auto"/>
          <w:highlight w:val="none"/>
        </w:rPr>
        <w:t>)</w:t>
      </w:r>
      <w:r>
        <w:rPr>
          <w:rFonts w:cs="宋体" w:hint="eastAsia"/>
          <w:color w:val="auto"/>
          <w:highlight w:val="none"/>
        </w:rPr>
        <w:t>：</w:t>
      </w:r>
    </w:p>
    <w:p>
      <w:pPr>
        <w:ind w:firstLine="420" w:firstLineChars="200"/>
        <w:jc w:val="left"/>
        <w:rPr>
          <w:color w:val="auto"/>
          <w:highlight w:val="none"/>
        </w:rPr>
      </w:pPr>
      <w:r>
        <w:rPr>
          <w:rFonts w:hint="eastAsia"/>
          <w:color w:val="auto"/>
          <w:highlight w:val="none"/>
        </w:rPr>
        <w:t>本授权书声明：我</w:t>
      </w:r>
      <w:r>
        <w:rPr>
          <w:color w:val="auto"/>
          <w:highlight w:val="none"/>
        </w:rPr>
        <w:t>________(</w:t>
      </w:r>
      <w:r>
        <w:rPr>
          <w:rFonts w:hint="eastAsia"/>
          <w:color w:val="auto"/>
          <w:highlight w:val="none"/>
        </w:rPr>
        <w:t>姓名、身份证号码</w:t>
      </w:r>
      <w:r>
        <w:rPr>
          <w:color w:val="auto"/>
          <w:highlight w:val="none"/>
        </w:rPr>
        <w:t>)</w:t>
      </w:r>
      <w:r>
        <w:rPr>
          <w:rFonts w:hint="eastAsia"/>
          <w:color w:val="auto"/>
          <w:highlight w:val="none"/>
        </w:rPr>
        <w:t>系自然人，现授权委托</w:t>
      </w:r>
      <w:r>
        <w:rPr>
          <w:color w:val="auto"/>
          <w:highlight w:val="none"/>
        </w:rPr>
        <w:t>____________(</w:t>
      </w:r>
      <w:r>
        <w:rPr>
          <w:rFonts w:hint="eastAsia"/>
          <w:color w:val="auto"/>
          <w:highlight w:val="none"/>
        </w:rPr>
        <w:t>姓名、身份证号码</w:t>
      </w:r>
      <w:r>
        <w:rPr>
          <w:color w:val="auto"/>
          <w:highlight w:val="none"/>
        </w:rPr>
        <w:t>)</w:t>
      </w:r>
      <w:r>
        <w:rPr>
          <w:rFonts w:hint="eastAsia"/>
          <w:color w:val="auto"/>
          <w:highlight w:val="none"/>
        </w:rPr>
        <w:t>以本人名义参加《</w:t>
      </w:r>
      <w:r>
        <w:rPr>
          <w:rFonts w:hint="eastAsia"/>
          <w:color w:val="auto"/>
          <w:highlight w:val="none"/>
          <w:u w:val="single"/>
          <w:lang w:val="en-US" w:eastAsia="zh-CN"/>
        </w:rPr>
        <w:t xml:space="preserve">  </w:t>
      </w:r>
      <w:r>
        <w:rPr>
          <w:rFonts w:hint="eastAsia"/>
          <w:color w:val="auto"/>
          <w:highlight w:val="none"/>
        </w:rPr>
        <w:t>项目》（项目编号：</w:t>
      </w:r>
      <w:r>
        <w:rPr>
          <w:rFonts w:hint="eastAsia"/>
          <w:color w:val="auto"/>
          <w:highlight w:val="none"/>
          <w:u w:val="single"/>
          <w:lang w:val="en-US" w:eastAsia="zh-CN"/>
        </w:rPr>
        <w:t xml:space="preserve">  </w:t>
      </w:r>
      <w:r>
        <w:rPr>
          <w:rFonts w:hint="eastAsia"/>
          <w:color w:val="auto"/>
          <w:highlight w:val="none"/>
        </w:rPr>
        <w:t>）的投标活动，并代表本人全权办理针对上述项目的投标、签约等具体事务和签署相关文件。</w:t>
      </w:r>
    </w:p>
    <w:p>
      <w:pPr>
        <w:ind w:firstLine="420" w:firstLineChars="200"/>
        <w:jc w:val="left"/>
        <w:rPr>
          <w:color w:val="auto"/>
          <w:highlight w:val="none"/>
        </w:rPr>
      </w:pPr>
      <w:r>
        <w:rPr>
          <w:rFonts w:hint="eastAsia"/>
          <w:color w:val="auto"/>
          <w:highlight w:val="none"/>
        </w:rPr>
        <w:t>本人对被授权人的签字事项负全部责任。</w:t>
      </w:r>
    </w:p>
    <w:p>
      <w:pPr>
        <w:ind w:firstLine="420" w:firstLineChars="200"/>
        <w:jc w:val="left"/>
        <w:rPr>
          <w:color w:val="auto"/>
          <w:highlight w:val="none"/>
        </w:rPr>
      </w:pPr>
      <w:r>
        <w:rPr>
          <w:rFonts w:hint="eastAsia"/>
          <w:color w:val="auto"/>
          <w:highlight w:val="none"/>
        </w:rPr>
        <w:t>授权委托代理期限：从</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日起至</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日止。</w:t>
      </w:r>
    </w:p>
    <w:p>
      <w:pPr>
        <w:jc w:val="left"/>
        <w:rPr>
          <w:color w:val="auto"/>
          <w:highlight w:val="none"/>
        </w:rPr>
      </w:pPr>
    </w:p>
    <w:p>
      <w:pPr>
        <w:ind w:firstLine="420" w:firstLineChars="200"/>
        <w:jc w:val="left"/>
        <w:rPr>
          <w:color w:val="auto"/>
          <w:highlight w:val="none"/>
        </w:rPr>
      </w:pPr>
      <w:r>
        <w:rPr>
          <w:rFonts w:hint="eastAsia"/>
          <w:color w:val="auto"/>
          <w:highlight w:val="none"/>
        </w:rPr>
        <w:t>代理人无转委托权，特此委托。</w:t>
      </w:r>
    </w:p>
    <w:p>
      <w:pPr>
        <w:jc w:val="left"/>
        <w:rPr>
          <w:color w:val="auto"/>
          <w:highlight w:val="none"/>
        </w:rPr>
      </w:pPr>
    </w:p>
    <w:p>
      <w:pPr>
        <w:ind w:firstLine="420" w:firstLineChars="200"/>
        <w:jc w:val="left"/>
        <w:rPr>
          <w:color w:val="auto"/>
          <w:highlight w:val="none"/>
        </w:rPr>
      </w:pPr>
      <w:r>
        <w:rPr>
          <w:rFonts w:hint="eastAsia"/>
          <w:color w:val="auto"/>
          <w:highlight w:val="none"/>
        </w:rPr>
        <w:t>我已在下面签字，以资证明。</w:t>
      </w:r>
    </w:p>
    <w:p>
      <w:pPr>
        <w:jc w:val="left"/>
        <w:rPr>
          <w:color w:val="auto"/>
          <w:highlight w:val="none"/>
        </w:rPr>
      </w:pPr>
    </w:p>
    <w:p>
      <w:pPr>
        <w:ind w:firstLine="420" w:firstLineChars="200"/>
        <w:jc w:val="left"/>
        <w:rPr>
          <w:color w:val="auto"/>
          <w:highlight w:val="none"/>
        </w:rPr>
      </w:pPr>
      <w:r>
        <w:rPr>
          <w:rFonts w:hint="eastAsia"/>
          <w:color w:val="auto"/>
          <w:highlight w:val="none"/>
        </w:rPr>
        <w:t>自然人签字并在签名处加盖食指指印：</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NormalWeb"/>
        <w:jc w:val="left"/>
        <w:rPr>
          <w:color w:val="auto"/>
          <w:highlight w:val="none"/>
        </w:rPr>
      </w:pPr>
    </w:p>
    <w:p>
      <w:pPr>
        <w:jc w:val="left"/>
        <w:rPr>
          <w:color w:val="auto"/>
          <w:highlight w:val="none"/>
        </w:rPr>
      </w:pPr>
    </w:p>
    <w:p>
      <w:pPr>
        <w:jc w:val="left"/>
        <w:rPr>
          <w:i/>
          <w:iCs/>
          <w:color w:val="auto"/>
          <w:highlight w:val="none"/>
        </w:rPr>
      </w:pPr>
      <w:r>
        <w:rPr>
          <w:rFonts w:hint="eastAsia"/>
          <w:color w:val="auto"/>
          <w:highlight w:val="none"/>
        </w:rPr>
        <w:t>特别说明：</w:t>
      </w:r>
    </w:p>
    <w:p>
      <w:pPr>
        <w:ind w:firstLine="420" w:firstLineChars="200"/>
        <w:jc w:val="left"/>
        <w:rPr>
          <w:color w:val="auto"/>
          <w:highlight w:val="none"/>
        </w:rPr>
      </w:pPr>
      <w:r>
        <w:rPr>
          <w:rFonts w:hint="eastAsia"/>
          <w:color w:val="auto"/>
          <w:highlight w:val="none"/>
        </w:rPr>
        <w:t>投标人如由</w:t>
      </w:r>
      <w:r>
        <w:rPr>
          <w:rFonts w:hint="eastAsia"/>
          <w:b/>
          <w:color w:val="auto"/>
          <w:highlight w:val="none"/>
        </w:rPr>
        <w:t>被授权人参与投标活动的，</w:t>
      </w:r>
      <w:r>
        <w:rPr>
          <w:rFonts w:hint="eastAsia"/>
          <w:color w:val="auto"/>
          <w:highlight w:val="none"/>
        </w:rPr>
        <w:t>须提供《自然人授权委托书》，《自然人授权委托书》应当按本格式要求签字并由自然人在签名处加盖食指指印。</w:t>
      </w:r>
    </w:p>
    <w:p>
      <w:pPr>
        <w:pStyle w:val="NormalWeb"/>
        <w:rPr>
          <w:color w:val="auto"/>
          <w:highlight w:val="none"/>
        </w:rPr>
      </w:pPr>
    </w:p>
    <w:p>
      <w:pPr>
        <w:pStyle w:val="NormalWeb"/>
        <w:rPr>
          <w:color w:val="auto"/>
          <w:sz w:val="36"/>
          <w:szCs w:val="36"/>
          <w:highlight w:val="none"/>
        </w:rPr>
      </w:pPr>
      <w:r>
        <w:rPr>
          <w:color w:val="auto"/>
          <w:kern w:val="2"/>
          <w:highlight w:val="none"/>
        </w:rPr>
        <w:br w:type="page"/>
      </w:r>
    </w:p>
    <w:p>
      <w:pPr>
        <w:jc w:val="center"/>
        <w:rPr>
          <w:rFonts w:hint="eastAsia"/>
          <w:b/>
          <w:bCs w:val="0"/>
          <w:color w:val="auto"/>
          <w:sz w:val="28"/>
          <w:szCs w:val="28"/>
          <w:highlight w:val="none"/>
        </w:rPr>
      </w:pPr>
      <w:r>
        <w:rPr>
          <w:rFonts w:hint="eastAsia"/>
          <w:b/>
          <w:bCs w:val="0"/>
          <w:color w:val="auto"/>
          <w:sz w:val="28"/>
          <w:szCs w:val="28"/>
          <w:highlight w:val="none"/>
        </w:rPr>
        <w:t>格式9  投标函</w:t>
      </w:r>
    </w:p>
    <w:p>
      <w:pPr>
        <w:jc w:val="left"/>
        <w:rPr>
          <w:color w:val="auto"/>
          <w:highlight w:val="none"/>
        </w:rPr>
      </w:pPr>
      <w:r>
        <w:rPr>
          <w:rFonts w:hint="eastAsia"/>
          <w:color w:val="auto"/>
          <w:highlight w:val="none"/>
        </w:rPr>
        <w:t>致________（采购人或采购代理机构）：</w:t>
      </w:r>
    </w:p>
    <w:p>
      <w:pPr>
        <w:ind w:firstLine="420" w:firstLineChars="200"/>
        <w:jc w:val="left"/>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根据______（项目名称）（项目编号：______）的招标公告，______（姓名、职务）代表投标人______（投标人名称、地址）参加项目招标的有关活动。据此函，作如下承诺：</w:t>
      </w:r>
    </w:p>
    <w:p>
      <w:pPr>
        <w:ind w:firstLine="420" w:firstLineChars="200"/>
        <w:jc w:val="left"/>
        <w:rPr>
          <w:color w:val="auto"/>
          <w:highlight w:val="none"/>
        </w:rPr>
      </w:pPr>
      <w:r>
        <w:rPr>
          <w:rFonts w:hint="eastAsia"/>
          <w:color w:val="auto"/>
          <w:highlight w:val="none"/>
        </w:rPr>
        <w:t>1.同意在本项目招标文件中规定的开标日起天遵守本投标文件中的承诺，且在期满之前均具有约束力。</w:t>
      </w:r>
    </w:p>
    <w:p>
      <w:pPr>
        <w:ind w:firstLine="420" w:firstLineChars="200"/>
        <w:jc w:val="left"/>
        <w:rPr>
          <w:color w:val="auto"/>
          <w:highlight w:val="none"/>
        </w:rPr>
      </w:pPr>
      <w:r>
        <w:rPr>
          <w:rFonts w:hint="eastAsia"/>
          <w:color w:val="auto"/>
          <w:highlight w:val="none"/>
        </w:rPr>
        <w:t>2.具备政府采购相关法律法规规定的参加政府采购活动的供应商应当具备的条件：</w:t>
      </w:r>
    </w:p>
    <w:p>
      <w:pPr>
        <w:ind w:firstLine="420" w:firstLineChars="200"/>
        <w:jc w:val="left"/>
        <w:rPr>
          <w:color w:val="auto"/>
          <w:highlight w:val="none"/>
        </w:rPr>
      </w:pPr>
      <w:r>
        <w:rPr>
          <w:rFonts w:hint="eastAsia"/>
          <w:color w:val="auto"/>
          <w:highlight w:val="none"/>
        </w:rPr>
        <w:t>（1）具有独立承担民事责任的能力；</w:t>
      </w:r>
    </w:p>
    <w:p>
      <w:pPr>
        <w:ind w:firstLine="420" w:firstLineChars="200"/>
        <w:jc w:val="left"/>
        <w:rPr>
          <w:color w:val="auto"/>
          <w:highlight w:val="none"/>
        </w:rPr>
      </w:pPr>
      <w:r>
        <w:rPr>
          <w:rFonts w:hint="eastAsia"/>
          <w:color w:val="auto"/>
          <w:highlight w:val="none"/>
        </w:rPr>
        <w:t>（2）具有良好的商业信誉和健全的财务会计制度；</w:t>
      </w:r>
    </w:p>
    <w:p>
      <w:pPr>
        <w:ind w:firstLine="420" w:firstLineChars="200"/>
        <w:jc w:val="left"/>
        <w:rPr>
          <w:color w:val="auto"/>
          <w:highlight w:val="none"/>
        </w:rPr>
      </w:pPr>
      <w:r>
        <w:rPr>
          <w:rFonts w:hint="eastAsia"/>
          <w:color w:val="auto"/>
          <w:highlight w:val="none"/>
        </w:rPr>
        <w:t>（3）具有履行合同所必需的设备和专业技术能力；</w:t>
      </w:r>
    </w:p>
    <w:p>
      <w:pPr>
        <w:ind w:firstLine="420" w:firstLineChars="200"/>
        <w:jc w:val="left"/>
        <w:rPr>
          <w:color w:val="auto"/>
          <w:highlight w:val="none"/>
        </w:rPr>
      </w:pPr>
      <w:r>
        <w:rPr>
          <w:rFonts w:hint="eastAsia"/>
          <w:color w:val="auto"/>
          <w:highlight w:val="none"/>
        </w:rPr>
        <w:t>（4）有依法缴纳税收和社会保障资金的良好记录；</w:t>
      </w:r>
    </w:p>
    <w:p>
      <w:pPr>
        <w:ind w:firstLine="420" w:firstLineChars="200"/>
        <w:jc w:val="left"/>
        <w:rPr>
          <w:color w:val="auto"/>
          <w:highlight w:val="none"/>
        </w:rPr>
      </w:pPr>
      <w:r>
        <w:rPr>
          <w:rFonts w:hint="eastAsia"/>
          <w:color w:val="auto"/>
          <w:highlight w:val="none"/>
        </w:rPr>
        <w:t>（5）参加此项采购活动前三年内，在经营活动中没有重大违法记录。</w:t>
      </w:r>
    </w:p>
    <w:p>
      <w:pPr>
        <w:ind w:firstLine="420" w:firstLineChars="200"/>
        <w:jc w:val="left"/>
        <w:rPr>
          <w:color w:val="auto"/>
          <w:highlight w:val="none"/>
        </w:rPr>
      </w:pPr>
      <w:r>
        <w:rPr>
          <w:rFonts w:hint="eastAsia"/>
          <w:color w:val="auto"/>
          <w:highlight w:val="none"/>
        </w:rPr>
        <w:t xml:space="preserve">（6）法律、行政法规规定的其他条件。 </w:t>
      </w:r>
    </w:p>
    <w:p>
      <w:pPr>
        <w:ind w:firstLine="420" w:firstLineChars="200"/>
        <w:jc w:val="left"/>
        <w:rPr>
          <w:color w:val="auto"/>
          <w:highlight w:val="none"/>
        </w:rPr>
      </w:pPr>
      <w:r>
        <w:rPr>
          <w:rFonts w:hint="eastAsia"/>
          <w:color w:val="auto"/>
          <w:highlight w:val="none"/>
        </w:rPr>
        <w:t>3.具备本项目招标文件中规定的其他要求和资质条件。</w:t>
      </w:r>
    </w:p>
    <w:p>
      <w:pPr>
        <w:ind w:firstLine="420" w:firstLineChars="200"/>
        <w:jc w:val="left"/>
        <w:rPr>
          <w:color w:val="auto"/>
          <w:highlight w:val="none"/>
        </w:rPr>
      </w:pPr>
      <w:r>
        <w:rPr>
          <w:rFonts w:hint="eastAsia"/>
          <w:color w:val="auto"/>
          <w:highlight w:val="none"/>
        </w:rPr>
        <w:t>4.提供投标人须知规定的全部投标文件。</w:t>
      </w:r>
    </w:p>
    <w:p>
      <w:pPr>
        <w:ind w:firstLine="420" w:firstLineChars="200"/>
        <w:jc w:val="left"/>
        <w:rPr>
          <w:color w:val="auto"/>
          <w:highlight w:val="none"/>
        </w:rPr>
      </w:pPr>
      <w:r>
        <w:rPr>
          <w:rFonts w:hint="eastAsia"/>
          <w:color w:val="auto"/>
          <w:highlight w:val="none"/>
        </w:rPr>
        <w:t>5.已详细审阅全部招标文件（包括招标文件澄清函），理解投标人须知的所有条款。</w:t>
      </w:r>
    </w:p>
    <w:p>
      <w:pPr>
        <w:ind w:firstLine="420" w:firstLineChars="200"/>
        <w:jc w:val="left"/>
        <w:rPr>
          <w:color w:val="auto"/>
          <w:highlight w:val="none"/>
        </w:rPr>
      </w:pPr>
      <w:r>
        <w:rPr>
          <w:rFonts w:hint="eastAsia"/>
          <w:color w:val="auto"/>
          <w:highlight w:val="none"/>
        </w:rPr>
        <w:t>6.完全理解贵方“最低报价不能作为中标的保证”的规定。</w:t>
      </w:r>
    </w:p>
    <w:p>
      <w:pPr>
        <w:ind w:firstLine="420" w:firstLineChars="200"/>
        <w:jc w:val="left"/>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pPr>
        <w:ind w:firstLine="420" w:firstLineChars="200"/>
        <w:jc w:val="left"/>
        <w:rPr>
          <w:color w:val="auto"/>
          <w:highlight w:val="none"/>
        </w:rPr>
      </w:pPr>
      <w:r>
        <w:rPr>
          <w:rFonts w:hint="eastAsia"/>
          <w:color w:val="auto"/>
          <w:highlight w:val="none"/>
        </w:rPr>
        <w:t>8.完全满足和响应招标文件中的各项商务和技术要求，若有偏差，已在投标文件中明确说明。</w:t>
      </w:r>
    </w:p>
    <w:p>
      <w:pPr>
        <w:ind w:firstLine="420" w:firstLineChars="200"/>
        <w:jc w:val="left"/>
        <w:rPr>
          <w:color w:val="auto"/>
          <w:highlight w:val="none"/>
        </w:rPr>
      </w:pPr>
      <w:r>
        <w:rPr>
          <w:rFonts w:hint="eastAsia"/>
          <w:color w:val="auto"/>
          <w:highlight w:val="none"/>
        </w:rPr>
        <w:t>9.愿意提供任何与投标有关的数据、情况和技术资料等。若贵方需要，愿意提供一切证明材料。</w:t>
      </w:r>
    </w:p>
    <w:p>
      <w:pPr>
        <w:ind w:firstLine="420" w:firstLineChars="200"/>
        <w:jc w:val="left"/>
        <w:rPr>
          <w:color w:val="auto"/>
          <w:highlight w:val="none"/>
        </w:rPr>
      </w:pPr>
      <w:r>
        <w:rPr>
          <w:rFonts w:hint="eastAsia"/>
          <w:color w:val="auto"/>
          <w:highlight w:val="none"/>
        </w:rPr>
        <w:t>10.我方已详细审核全部投标文件、参考资料及有关附件，确认无误。</w:t>
      </w:r>
    </w:p>
    <w:p>
      <w:pPr>
        <w:ind w:firstLine="420" w:firstLineChars="200"/>
        <w:jc w:val="left"/>
        <w:rPr>
          <w:color w:val="auto"/>
          <w:highlight w:val="none"/>
        </w:rPr>
      </w:pPr>
      <w:r>
        <w:rPr>
          <w:rFonts w:hint="eastAsia"/>
          <w:color w:val="auto"/>
          <w:highlight w:val="none"/>
        </w:rPr>
        <w:t>11.对本次招标内容及与本项目有关的知识产权、技术资料、商业秘密及相关信息保密。</w:t>
      </w:r>
    </w:p>
    <w:p>
      <w:pPr>
        <w:ind w:firstLine="420" w:firstLineChars="200"/>
        <w:jc w:val="left"/>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ind w:firstLine="420" w:firstLineChars="200"/>
        <w:jc w:val="left"/>
        <w:rPr>
          <w:color w:val="auto"/>
          <w:highlight w:val="none"/>
        </w:rPr>
      </w:pPr>
      <w:r>
        <w:rPr>
          <w:rFonts w:hint="eastAsia"/>
          <w:color w:val="auto"/>
          <w:highlight w:val="none"/>
        </w:rPr>
        <w:t>投标人名称（公章）：____________</w:t>
      </w:r>
    </w:p>
    <w:p>
      <w:pPr>
        <w:ind w:firstLine="420" w:firstLineChars="200"/>
        <w:jc w:val="left"/>
        <w:rPr>
          <w:color w:val="auto"/>
          <w:highlight w:val="none"/>
        </w:rPr>
      </w:pPr>
      <w:r>
        <w:rPr>
          <w:rFonts w:hint="eastAsia"/>
          <w:color w:val="auto"/>
          <w:highlight w:val="none"/>
        </w:rPr>
        <w:t>法定代表人（签字）/被授权投标代表（签字）：____________</w:t>
      </w:r>
    </w:p>
    <w:p>
      <w:pPr>
        <w:ind w:firstLine="420" w:firstLineChars="200"/>
        <w:jc w:val="left"/>
        <w:rPr>
          <w:color w:val="auto"/>
          <w:highlight w:val="none"/>
        </w:rPr>
      </w:pPr>
      <w:r>
        <w:rPr>
          <w:rFonts w:hint="eastAsia"/>
          <w:color w:val="auto"/>
          <w:highlight w:val="none"/>
        </w:rPr>
        <w:t>投标人地址：____________</w:t>
      </w:r>
    </w:p>
    <w:p>
      <w:pPr>
        <w:ind w:firstLine="420" w:firstLineChars="200"/>
        <w:jc w:val="left"/>
        <w:rPr>
          <w:color w:val="auto"/>
          <w:highlight w:val="none"/>
        </w:rPr>
      </w:pPr>
      <w:r>
        <w:rPr>
          <w:rFonts w:hint="eastAsia"/>
          <w:color w:val="auto"/>
          <w:highlight w:val="none"/>
        </w:rPr>
        <w:t>邮编：____________</w:t>
      </w:r>
    </w:p>
    <w:p>
      <w:pPr>
        <w:ind w:firstLine="420" w:firstLineChars="200"/>
        <w:jc w:val="left"/>
        <w:rPr>
          <w:color w:val="auto"/>
          <w:highlight w:val="none"/>
        </w:rPr>
      </w:pPr>
      <w:r>
        <w:rPr>
          <w:rFonts w:hint="eastAsia"/>
          <w:color w:val="auto"/>
          <w:highlight w:val="none"/>
        </w:rPr>
        <w:t>电话：____________</w:t>
      </w:r>
    </w:p>
    <w:p>
      <w:pPr>
        <w:ind w:firstLine="420" w:firstLineChars="200"/>
        <w:jc w:val="left"/>
        <w:rPr>
          <w:color w:val="auto"/>
          <w:highlight w:val="none"/>
        </w:rPr>
      </w:pPr>
      <w:r>
        <w:rPr>
          <w:rFonts w:hint="eastAsia"/>
          <w:color w:val="auto"/>
          <w:highlight w:val="none"/>
        </w:rPr>
        <w:t>传真：____________</w:t>
      </w:r>
    </w:p>
    <w:p>
      <w:pPr>
        <w:ind w:firstLine="420" w:firstLineChars="200"/>
        <w:jc w:val="left"/>
        <w:rPr>
          <w:color w:val="auto"/>
          <w:highlight w:val="none"/>
        </w:rPr>
      </w:pPr>
      <w:r>
        <w:rPr>
          <w:rFonts w:hint="eastAsia"/>
          <w:color w:val="auto"/>
          <w:highlight w:val="none"/>
        </w:rPr>
        <w:t xml:space="preserve">日  期：____________          </w:t>
      </w:r>
    </w:p>
    <w:p>
      <w:pPr>
        <w:jc w:val="left"/>
        <w:rPr>
          <w:color w:val="auto"/>
          <w:highlight w:val="none"/>
        </w:rPr>
      </w:pPr>
    </w:p>
    <w:p>
      <w:pPr>
        <w:jc w:val="left"/>
        <w:rPr>
          <w:color w:val="auto"/>
          <w:highlight w:val="none"/>
        </w:rPr>
      </w:pPr>
    </w:p>
    <w:p>
      <w:pPr>
        <w:ind w:firstLine="210" w:firstLineChars="100"/>
        <w:jc w:val="left"/>
        <w:rPr>
          <w:color w:val="auto"/>
          <w:highlight w:val="none"/>
        </w:rPr>
      </w:pPr>
      <w:r>
        <w:rPr>
          <w:rFonts w:hint="eastAsia"/>
          <w:color w:val="auto"/>
          <w:highlight w:val="none"/>
        </w:rPr>
        <w:t>特别说明：</w:t>
      </w:r>
    </w:p>
    <w:p>
      <w:pPr>
        <w:ind w:firstLine="420" w:firstLineChars="200"/>
        <w:jc w:val="left"/>
        <w:rPr>
          <w:color w:val="auto"/>
          <w:highlight w:val="none"/>
        </w:rPr>
      </w:pPr>
      <w:r>
        <w:rPr>
          <w:rFonts w:hint="eastAsia"/>
          <w:color w:val="auto"/>
          <w:highlight w:val="none"/>
        </w:rPr>
        <w:t>投标人应当按上述格式要求加盖与投标人名称全称一致的标准公章，并签署法定代表人或被授权投标代表的全名，线上采购项目应上传扫描件。</w:t>
      </w:r>
    </w:p>
    <w:p>
      <w:pPr>
        <w:jc w:val="left"/>
        <w:rPr>
          <w:rFonts w:ascii="宋体"/>
          <w:color w:val="auto"/>
          <w:highlight w:val="none"/>
        </w:rPr>
      </w:pPr>
      <w:r>
        <w:rPr>
          <w:color w:val="auto"/>
          <w:highlight w:val="none"/>
        </w:rPr>
        <w:br w:type="page"/>
      </w:r>
    </w:p>
    <w:p>
      <w:pPr>
        <w:jc w:val="center"/>
        <w:rPr>
          <w:rFonts w:hint="eastAsia"/>
          <w:b/>
          <w:bCs w:val="0"/>
          <w:color w:val="auto"/>
          <w:sz w:val="28"/>
          <w:szCs w:val="28"/>
          <w:highlight w:val="none"/>
        </w:rPr>
      </w:pPr>
      <w:r>
        <w:rPr>
          <w:rFonts w:hint="eastAsia"/>
          <w:b/>
          <w:bCs w:val="0"/>
          <w:color w:val="auto"/>
          <w:sz w:val="28"/>
          <w:szCs w:val="28"/>
          <w:highlight w:val="none"/>
        </w:rPr>
        <w:t>格式10  商务条款偏离表</w:t>
      </w:r>
    </w:p>
    <w:tbl>
      <w:tblPr>
        <w:tblStyle w:val="TableNormal"/>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1"/>
        <w:gridCol w:w="1798"/>
        <w:gridCol w:w="1545"/>
        <w:gridCol w:w="1530"/>
        <w:gridCol w:w="1515"/>
        <w:gridCol w:w="1086"/>
      </w:tblGrid>
      <w:tr>
        <w:tblPrEx>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67"/>
          <w:jc w:val="center"/>
        </w:trPr>
        <w:tc>
          <w:tcPr>
            <w:tcW w:w="88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序号</w:t>
            </w:r>
          </w:p>
        </w:tc>
        <w:tc>
          <w:tcPr>
            <w:tcW w:w="1798"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招标文件条目号</w:t>
            </w:r>
          </w:p>
        </w:tc>
        <w:tc>
          <w:tcPr>
            <w:tcW w:w="154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招标文件</w:t>
            </w:r>
          </w:p>
          <w:p>
            <w:pPr>
              <w:rPr>
                <w:color w:val="auto"/>
                <w:highlight w:val="none"/>
              </w:rPr>
            </w:pPr>
            <w:r>
              <w:rPr>
                <w:color w:val="auto"/>
                <w:highlight w:val="none"/>
              </w:rPr>
              <w:t>商务条款</w:t>
            </w:r>
          </w:p>
        </w:tc>
        <w:tc>
          <w:tcPr>
            <w:tcW w:w="1530"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投标文件</w:t>
            </w:r>
          </w:p>
          <w:p>
            <w:pPr>
              <w:rPr>
                <w:color w:val="auto"/>
                <w:highlight w:val="none"/>
              </w:rPr>
            </w:pPr>
            <w:r>
              <w:rPr>
                <w:color w:val="auto"/>
                <w:highlight w:val="none"/>
              </w:rPr>
              <w:t>商务条款</w:t>
            </w:r>
          </w:p>
        </w:tc>
        <w:tc>
          <w:tcPr>
            <w:tcW w:w="151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偏离</w:t>
            </w:r>
          </w:p>
          <w:p>
            <w:pPr>
              <w:rPr>
                <w:color w:val="auto"/>
                <w:highlight w:val="none"/>
              </w:rPr>
            </w:pPr>
            <w:r>
              <w:rPr>
                <w:color w:val="auto"/>
                <w:highlight w:val="none"/>
              </w:rPr>
              <w:t>（无/正/负）</w:t>
            </w:r>
          </w:p>
        </w:tc>
        <w:tc>
          <w:tcPr>
            <w:tcW w:w="108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说明</w:t>
            </w:r>
          </w:p>
        </w:tc>
      </w:tr>
      <w:tr>
        <w:tblPrEx>
          <w:tblW w:w="8355" w:type="dxa"/>
          <w:jc w:val="center"/>
          <w:tblLayout w:type="fixed"/>
          <w:tblCellMar>
            <w:top w:w="0" w:type="dxa"/>
            <w:left w:w="108" w:type="dxa"/>
            <w:bottom w:w="0" w:type="dxa"/>
            <w:right w:w="108" w:type="dxa"/>
          </w:tblCellMar>
        </w:tblPrEx>
        <w:trPr>
          <w:trHeight w:val="567"/>
          <w:jc w:val="center"/>
        </w:trPr>
        <w:tc>
          <w:tcPr>
            <w:tcW w:w="88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1</w:t>
            </w:r>
          </w:p>
        </w:tc>
        <w:tc>
          <w:tcPr>
            <w:tcW w:w="1798"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086"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r>
      <w:tr>
        <w:tblPrEx>
          <w:tblW w:w="8355" w:type="dxa"/>
          <w:jc w:val="center"/>
          <w:tblLayout w:type="fixed"/>
          <w:tblCellMar>
            <w:top w:w="0" w:type="dxa"/>
            <w:left w:w="108" w:type="dxa"/>
            <w:bottom w:w="0" w:type="dxa"/>
            <w:right w:w="108" w:type="dxa"/>
          </w:tblCellMar>
        </w:tblPrEx>
        <w:trPr>
          <w:trHeight w:val="567"/>
          <w:jc w:val="center"/>
        </w:trPr>
        <w:tc>
          <w:tcPr>
            <w:tcW w:w="88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2</w:t>
            </w:r>
          </w:p>
        </w:tc>
        <w:tc>
          <w:tcPr>
            <w:tcW w:w="1798"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086"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r>
      <w:tr>
        <w:tblPrEx>
          <w:tblW w:w="8355" w:type="dxa"/>
          <w:jc w:val="center"/>
          <w:tblLayout w:type="fixed"/>
          <w:tblCellMar>
            <w:top w:w="0" w:type="dxa"/>
            <w:left w:w="108" w:type="dxa"/>
            <w:bottom w:w="0" w:type="dxa"/>
            <w:right w:w="108" w:type="dxa"/>
          </w:tblCellMar>
        </w:tblPrEx>
        <w:trPr>
          <w:trHeight w:val="567"/>
          <w:jc w:val="center"/>
        </w:trPr>
        <w:tc>
          <w:tcPr>
            <w:tcW w:w="88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3</w:t>
            </w:r>
          </w:p>
        </w:tc>
        <w:tc>
          <w:tcPr>
            <w:tcW w:w="1798"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086"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r>
      <w:tr>
        <w:tblPrEx>
          <w:tblW w:w="8355" w:type="dxa"/>
          <w:jc w:val="center"/>
          <w:tblLayout w:type="fixed"/>
          <w:tblCellMar>
            <w:top w:w="0" w:type="dxa"/>
            <w:left w:w="108" w:type="dxa"/>
            <w:bottom w:w="0" w:type="dxa"/>
            <w:right w:w="108" w:type="dxa"/>
          </w:tblCellMar>
        </w:tblPrEx>
        <w:trPr>
          <w:trHeight w:val="567"/>
          <w:jc w:val="center"/>
        </w:trPr>
        <w:tc>
          <w:tcPr>
            <w:tcW w:w="88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4</w:t>
            </w:r>
          </w:p>
        </w:tc>
        <w:tc>
          <w:tcPr>
            <w:tcW w:w="1798"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086"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r>
      <w:tr>
        <w:tblPrEx>
          <w:tblW w:w="8355" w:type="dxa"/>
          <w:jc w:val="center"/>
          <w:tblLayout w:type="fixed"/>
          <w:tblCellMar>
            <w:top w:w="0" w:type="dxa"/>
            <w:left w:w="108" w:type="dxa"/>
            <w:bottom w:w="0" w:type="dxa"/>
            <w:right w:w="108" w:type="dxa"/>
          </w:tblCellMar>
        </w:tblPrEx>
        <w:trPr>
          <w:trHeight w:val="567"/>
          <w:jc w:val="center"/>
        </w:trPr>
        <w:tc>
          <w:tcPr>
            <w:tcW w:w="88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w:t>
            </w:r>
          </w:p>
        </w:tc>
        <w:tc>
          <w:tcPr>
            <w:tcW w:w="1798"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4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30"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515"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1086"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r>
    </w:tbl>
    <w:p>
      <w:pPr>
        <w:jc w:val="left"/>
        <w:rPr>
          <w:color w:val="auto"/>
          <w:highlight w:val="none"/>
        </w:rPr>
      </w:pPr>
      <w:r>
        <w:rPr>
          <w:color w:val="auto"/>
          <w:highlight w:val="none"/>
        </w:rPr>
        <w:t>特别说明：</w:t>
      </w:r>
    </w:p>
    <w:p>
      <w:pPr>
        <w:ind w:firstLine="420" w:firstLineChars="200"/>
        <w:jc w:val="left"/>
        <w:rPr>
          <w:color w:val="auto"/>
          <w:highlight w:val="none"/>
        </w:rPr>
      </w:pPr>
      <w:r>
        <w:rPr>
          <w:rFonts w:hint="eastAsia"/>
          <w:color w:val="auto"/>
          <w:highlight w:val="none"/>
        </w:rPr>
        <w:t>1.投标人应按招标文件《第六章　项目采购需求》中的</w:t>
      </w:r>
      <w:r>
        <w:rPr>
          <w:rFonts w:hint="eastAsia"/>
          <w:color w:val="auto"/>
          <w:highlight w:val="none"/>
          <w:lang w:eastAsia="zh-CN"/>
        </w:rPr>
        <w:t>“</w:t>
      </w:r>
      <w:r>
        <w:rPr>
          <w:rFonts w:hint="eastAsia"/>
          <w:color w:val="auto"/>
          <w:highlight w:val="none"/>
        </w:rPr>
        <w:t>商务要求</w:t>
      </w:r>
      <w:r>
        <w:rPr>
          <w:rFonts w:hint="eastAsia"/>
          <w:color w:val="auto"/>
          <w:highlight w:val="none"/>
          <w:lang w:eastAsia="zh-CN"/>
        </w:rPr>
        <w:t>”</w:t>
      </w:r>
      <w:r>
        <w:rPr>
          <w:rFonts w:hint="eastAsia"/>
          <w:color w:val="auto"/>
          <w:highlight w:val="none"/>
        </w:rPr>
        <w:t>，结合自身投标情况对商务条款逐条响应，未逐条响应的视为投标无效。</w:t>
      </w:r>
    </w:p>
    <w:p>
      <w:pPr>
        <w:ind w:firstLine="420" w:firstLineChars="200"/>
        <w:jc w:val="left"/>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pPr>
        <w:ind w:firstLine="420" w:firstLineChars="200"/>
        <w:jc w:val="left"/>
        <w:rPr>
          <w:color w:val="auto"/>
          <w:highlight w:val="none"/>
        </w:rPr>
      </w:pPr>
      <w:r>
        <w:rPr>
          <w:rFonts w:hint="eastAsia"/>
          <w:color w:val="auto"/>
          <w:highlight w:val="none"/>
        </w:rPr>
        <w:t>3.本表可扩展。</w:t>
      </w:r>
    </w:p>
    <w:p>
      <w:pPr>
        <w:jc w:val="left"/>
        <w:rPr>
          <w:color w:val="auto"/>
          <w:highlight w:val="none"/>
        </w:rPr>
      </w:pPr>
    </w:p>
    <w:p>
      <w:pPr>
        <w:jc w:val="left"/>
        <w:rPr>
          <w:rFonts w:cs="宋体"/>
          <w:color w:val="auto"/>
          <w:highlight w:val="none"/>
        </w:rPr>
      </w:pPr>
      <w:r>
        <w:rPr>
          <w:rFonts w:cs="宋体" w:hint="eastAsia"/>
          <w:color w:val="auto"/>
          <w:highlight w:val="none"/>
        </w:rPr>
        <w:t>投标人</w:t>
      </w:r>
      <w:r>
        <w:rPr>
          <w:color w:val="auto"/>
          <w:highlight w:val="none"/>
        </w:rPr>
        <w:t>（全称并加盖公章</w:t>
      </w:r>
      <w:r>
        <w:rPr>
          <w:rFonts w:cs="宋体" w:hint="eastAsia"/>
          <w:color w:val="auto"/>
          <w:highlight w:val="none"/>
        </w:rPr>
        <w:t>）：</w:t>
      </w:r>
    </w:p>
    <w:p>
      <w:pPr>
        <w:jc w:val="left"/>
        <w:rPr>
          <w:rFonts w:cs="宋体"/>
          <w:color w:val="auto"/>
          <w:highlight w:val="none"/>
        </w:rPr>
      </w:pPr>
      <w:r>
        <w:rPr>
          <w:rFonts w:hint="eastAsia"/>
          <w:color w:val="auto"/>
          <w:highlight w:val="none"/>
        </w:rPr>
        <w:t>投标人代表（签字）</w:t>
      </w:r>
      <w:r>
        <w:rPr>
          <w:rFonts w:cs="宋体" w:hint="eastAsia"/>
          <w:color w:val="auto"/>
          <w:highlight w:val="none"/>
        </w:rPr>
        <w:t>：</w:t>
      </w:r>
    </w:p>
    <w:p>
      <w:pPr>
        <w:jc w:val="left"/>
        <w:rPr>
          <w:color w:val="auto"/>
          <w:highlight w:val="none"/>
        </w:rPr>
      </w:pPr>
      <w:r>
        <w:rPr>
          <w:rFonts w:hint="eastAsia"/>
          <w:color w:val="auto"/>
          <w:highlight w:val="none"/>
        </w:rPr>
        <w:t>日期：</w:t>
      </w:r>
    </w:p>
    <w:p>
      <w:pPr>
        <w:jc w:val="left"/>
        <w:rPr>
          <w:color w:val="auto"/>
          <w:highlight w:val="none"/>
        </w:rPr>
      </w:pPr>
    </w:p>
    <w:p>
      <w:pPr>
        <w:rPr>
          <w:rFonts w:hint="eastAsia"/>
          <w:b/>
          <w:bCs w:val="0"/>
          <w:color w:val="auto"/>
          <w:sz w:val="28"/>
          <w:szCs w:val="28"/>
          <w:highlight w:val="none"/>
        </w:rPr>
      </w:pPr>
      <w:r>
        <w:rPr>
          <w:color w:val="auto"/>
          <w:highlight w:val="none"/>
        </w:rPr>
        <w:br w:type="page"/>
      </w:r>
      <w:r>
        <w:rPr>
          <w:rFonts w:hint="eastAsia"/>
          <w:b/>
          <w:bCs w:val="0"/>
          <w:color w:val="auto"/>
          <w:sz w:val="28"/>
          <w:szCs w:val="28"/>
          <w:highlight w:val="none"/>
        </w:rPr>
        <w:t>格式11中小企业声明函</w:t>
      </w:r>
    </w:p>
    <w:p>
      <w:pPr>
        <w:rPr>
          <w:rFonts w:hint="eastAsia"/>
          <w:b/>
          <w:bCs w:val="0"/>
          <w:color w:val="auto"/>
          <w:sz w:val="28"/>
          <w:szCs w:val="28"/>
          <w:highlight w:val="none"/>
        </w:rPr>
      </w:pPr>
      <w:r>
        <w:rPr>
          <w:rFonts w:hint="eastAsia"/>
          <w:b/>
          <w:bCs w:val="0"/>
          <w:color w:val="auto"/>
          <w:sz w:val="28"/>
          <w:szCs w:val="28"/>
          <w:highlight w:val="none"/>
        </w:rPr>
        <w:t>中小企业声明函（服务）</w:t>
      </w:r>
    </w:p>
    <w:p>
      <w:pPr>
        <w:rPr>
          <w:rFonts w:hint="eastAsia"/>
          <w:b/>
          <w:bCs w:val="0"/>
          <w:color w:val="auto"/>
          <w:sz w:val="28"/>
          <w:szCs w:val="28"/>
          <w:highlight w:val="none"/>
        </w:rPr>
      </w:pPr>
    </w:p>
    <w:p>
      <w:pPr>
        <w:pStyle w:val="NormalWeb"/>
        <w:ind w:firstLine="630" w:firstLineChars="300"/>
        <w:rPr>
          <w:color w:val="auto"/>
          <w:sz w:val="21"/>
          <w:szCs w:val="21"/>
          <w:highlight w:val="none"/>
        </w:rPr>
      </w:pPr>
      <w:r>
        <w:rPr>
          <w:rFonts w:hint="eastAsia"/>
          <w:color w:val="auto"/>
          <w:kern w:val="2"/>
          <w:sz w:val="21"/>
          <w:szCs w:val="21"/>
          <w:highlight w:val="none"/>
        </w:rPr>
        <w:t>本公司（联合体）</w:t>
      </w:r>
      <w:r>
        <w:rPr>
          <w:rFonts w:hint="eastAsia"/>
          <w:color w:val="auto"/>
          <w:kern w:val="2"/>
          <w:sz w:val="21"/>
          <w:szCs w:val="21"/>
          <w:highlight w:val="none"/>
          <w:u w:val="single"/>
          <w:lang w:val="en-US" w:eastAsia="zh-CN"/>
        </w:rPr>
        <w:t xml:space="preserve">      </w:t>
      </w:r>
      <w:r>
        <w:rPr>
          <w:rFonts w:hint="eastAsia"/>
          <w:color w:val="auto"/>
          <w:kern w:val="2"/>
          <w:sz w:val="21"/>
          <w:szCs w:val="21"/>
          <w:highlight w:val="none"/>
        </w:rPr>
        <w:t>郑重声明，根据《政府采购促进中小企业发展管理办法》（财库﹝</w:t>
      </w:r>
      <w:r>
        <w:rPr>
          <w:color w:val="auto"/>
          <w:kern w:val="2"/>
          <w:sz w:val="21"/>
          <w:szCs w:val="21"/>
          <w:highlight w:val="none"/>
        </w:rPr>
        <w:t>2020</w:t>
      </w:r>
      <w:r>
        <w:rPr>
          <w:rFonts w:hint="eastAsia"/>
          <w:color w:val="auto"/>
          <w:kern w:val="2"/>
          <w:sz w:val="21"/>
          <w:szCs w:val="21"/>
          <w:highlight w:val="none"/>
        </w:rPr>
        <w:t>﹞</w:t>
      </w:r>
      <w:r>
        <w:rPr>
          <w:color w:val="auto"/>
          <w:kern w:val="2"/>
          <w:sz w:val="21"/>
          <w:szCs w:val="21"/>
          <w:highlight w:val="none"/>
        </w:rPr>
        <w:t xml:space="preserve">46 </w:t>
      </w:r>
      <w:r>
        <w:rPr>
          <w:rFonts w:hint="eastAsia"/>
          <w:color w:val="auto"/>
          <w:kern w:val="2"/>
          <w:sz w:val="21"/>
          <w:szCs w:val="21"/>
          <w:highlight w:val="none"/>
        </w:rPr>
        <w:t>号）的规定，本公司（联合体）参加</w:t>
      </w:r>
      <w:r>
        <w:rPr>
          <w:rFonts w:hint="eastAsia"/>
          <w:color w:val="auto"/>
          <w:sz w:val="21"/>
          <w:szCs w:val="21"/>
          <w:highlight w:val="none"/>
          <w:u w:val="single"/>
          <w:lang w:eastAsia="zh-CN"/>
        </w:rPr>
        <w:t>国家税务总局广西壮族自治区税务局金税工程运维服务管理平台2024年运维服务项目</w:t>
      </w:r>
      <w:r>
        <w:rPr>
          <w:rFonts w:hint="eastAsia"/>
          <w:color w:val="auto"/>
          <w:kern w:val="2"/>
          <w:sz w:val="21"/>
          <w:szCs w:val="21"/>
          <w:highlight w:val="none"/>
        </w:rPr>
        <w:t>采购活动，服务全部由符合政策要求的中小企业承接。相关企业（含联合体中的中小企业、签订分包意向协议的中小企业）的具体情况如下：</w:t>
      </w:r>
    </w:p>
    <w:p>
      <w:pPr>
        <w:pStyle w:val="NormalWeb"/>
        <w:ind w:firstLine="420" w:firstLineChars="200"/>
        <w:rPr>
          <w:color w:val="auto"/>
          <w:sz w:val="21"/>
          <w:szCs w:val="21"/>
          <w:highlight w:val="none"/>
        </w:rPr>
      </w:pPr>
      <w:r>
        <w:rPr>
          <w:color w:val="auto"/>
          <w:kern w:val="2"/>
          <w:sz w:val="21"/>
          <w:szCs w:val="21"/>
          <w:highlight w:val="none"/>
        </w:rPr>
        <w:t>1.</w:t>
      </w:r>
      <w:r>
        <w:rPr>
          <w:rFonts w:hint="eastAsia"/>
          <w:color w:val="auto"/>
          <w:kern w:val="2"/>
          <w:sz w:val="21"/>
          <w:szCs w:val="21"/>
          <w:highlight w:val="none"/>
          <w:u w:val="single"/>
          <w:lang w:eastAsia="zh-CN"/>
        </w:rPr>
        <w:t>国家税务总局广西壮族自治区税务局金税工程运维服务管理平台2024年运维服务项目</w:t>
      </w:r>
      <w:r>
        <w:rPr>
          <w:rFonts w:hint="eastAsia"/>
          <w:color w:val="auto"/>
          <w:kern w:val="2"/>
          <w:sz w:val="21"/>
          <w:szCs w:val="21"/>
          <w:highlight w:val="none"/>
        </w:rPr>
        <w:t>，属于</w:t>
      </w:r>
      <w:r>
        <w:rPr>
          <w:rFonts w:hint="eastAsia"/>
          <w:color w:val="auto"/>
          <w:kern w:val="2"/>
          <w:sz w:val="21"/>
          <w:szCs w:val="21"/>
          <w:highlight w:val="none"/>
          <w:u w:val="single"/>
        </w:rPr>
        <w:t>软件和信息技术服务业</w:t>
      </w:r>
      <w:r>
        <w:rPr>
          <w:rFonts w:hint="eastAsia"/>
          <w:color w:val="auto"/>
          <w:kern w:val="2"/>
          <w:sz w:val="21"/>
          <w:szCs w:val="21"/>
          <w:highlight w:val="none"/>
        </w:rPr>
        <w:t>；承建（承接）企业为</w:t>
      </w:r>
      <w:r>
        <w:rPr>
          <w:rFonts w:hint="eastAsia"/>
          <w:color w:val="auto"/>
          <w:kern w:val="2"/>
          <w:sz w:val="21"/>
          <w:szCs w:val="21"/>
          <w:highlight w:val="none"/>
          <w:u w:val="single"/>
        </w:rPr>
        <w:t>（企业名称）</w:t>
      </w:r>
      <w:r>
        <w:rPr>
          <w:rFonts w:hint="eastAsia"/>
          <w:color w:val="auto"/>
          <w:kern w:val="2"/>
          <w:sz w:val="21"/>
          <w:szCs w:val="21"/>
          <w:highlight w:val="none"/>
          <w:u w:val="single"/>
          <w:lang w:val="en-US" w:eastAsia="zh-CN"/>
        </w:rPr>
        <w:t xml:space="preserve">    </w:t>
      </w:r>
      <w:r>
        <w:rPr>
          <w:rFonts w:hint="eastAsia"/>
          <w:color w:val="auto"/>
          <w:kern w:val="2"/>
          <w:sz w:val="21"/>
          <w:szCs w:val="21"/>
          <w:highlight w:val="none"/>
        </w:rPr>
        <w:t>，从业人员</w:t>
      </w:r>
      <w:r>
        <w:rPr>
          <w:color w:val="auto"/>
          <w:kern w:val="2"/>
          <w:sz w:val="21"/>
          <w:szCs w:val="21"/>
          <w:highlight w:val="none"/>
          <w:u w:val="single"/>
        </w:rPr>
        <w:tab/>
      </w:r>
      <w:r>
        <w:rPr>
          <w:rFonts w:hint="eastAsia"/>
          <w:color w:val="auto"/>
          <w:kern w:val="2"/>
          <w:sz w:val="21"/>
          <w:szCs w:val="21"/>
          <w:highlight w:val="none"/>
          <w:u w:val="single"/>
          <w:lang w:val="en-US" w:eastAsia="zh-CN"/>
        </w:rPr>
        <w:t xml:space="preserve">   </w:t>
      </w:r>
      <w:r>
        <w:rPr>
          <w:rFonts w:hint="eastAsia"/>
          <w:color w:val="auto"/>
          <w:kern w:val="2"/>
          <w:sz w:val="21"/>
          <w:szCs w:val="21"/>
          <w:highlight w:val="none"/>
        </w:rPr>
        <w:t>人，营业收入为</w:t>
      </w:r>
      <w:r>
        <w:rPr>
          <w:color w:val="auto"/>
          <w:kern w:val="2"/>
          <w:sz w:val="21"/>
          <w:szCs w:val="21"/>
          <w:highlight w:val="none"/>
          <w:u w:val="single"/>
        </w:rPr>
        <w:tab/>
      </w:r>
      <w:r>
        <w:rPr>
          <w:rFonts w:hint="eastAsia"/>
          <w:color w:val="auto"/>
          <w:kern w:val="2"/>
          <w:sz w:val="21"/>
          <w:szCs w:val="21"/>
          <w:highlight w:val="none"/>
          <w:u w:val="single"/>
          <w:lang w:val="en-US" w:eastAsia="zh-CN"/>
        </w:rPr>
        <w:t xml:space="preserve">   </w:t>
      </w:r>
      <w:r>
        <w:rPr>
          <w:rFonts w:hint="eastAsia"/>
          <w:color w:val="auto"/>
          <w:kern w:val="2"/>
          <w:sz w:val="21"/>
          <w:szCs w:val="21"/>
          <w:highlight w:val="none"/>
        </w:rPr>
        <w:t>万元，资产总额为</w:t>
      </w:r>
      <w:r>
        <w:rPr>
          <w:color w:val="auto"/>
          <w:kern w:val="2"/>
          <w:sz w:val="21"/>
          <w:szCs w:val="21"/>
          <w:highlight w:val="none"/>
          <w:u w:val="single"/>
        </w:rPr>
        <w:tab/>
      </w:r>
      <w:r>
        <w:rPr>
          <w:rFonts w:hint="eastAsia"/>
          <w:color w:val="auto"/>
          <w:kern w:val="2"/>
          <w:sz w:val="21"/>
          <w:szCs w:val="21"/>
          <w:highlight w:val="none"/>
          <w:u w:val="single"/>
          <w:lang w:val="en-US" w:eastAsia="zh-CN"/>
        </w:rPr>
        <w:t xml:space="preserve">     </w:t>
      </w:r>
      <w:r>
        <w:rPr>
          <w:rFonts w:hint="eastAsia"/>
          <w:color w:val="auto"/>
          <w:kern w:val="2"/>
          <w:sz w:val="21"/>
          <w:szCs w:val="21"/>
          <w:highlight w:val="none"/>
        </w:rPr>
        <w:t>万元</w:t>
      </w:r>
      <w:r>
        <w:rPr>
          <w:color w:val="auto"/>
          <w:kern w:val="2"/>
          <w:sz w:val="21"/>
          <w:szCs w:val="21"/>
          <w:highlight w:val="none"/>
          <w:vertAlign w:val="superscript"/>
        </w:rPr>
        <w:t>1</w:t>
      </w:r>
      <w:r>
        <w:rPr>
          <w:rFonts w:hint="eastAsia"/>
          <w:color w:val="auto"/>
          <w:kern w:val="2"/>
          <w:sz w:val="21"/>
          <w:szCs w:val="21"/>
          <w:highlight w:val="none"/>
        </w:rPr>
        <w:t>，属</w:t>
      </w:r>
      <w:r>
        <w:rPr>
          <w:rFonts w:hint="eastAsia"/>
          <w:color w:val="auto"/>
          <w:kern w:val="2"/>
          <w:sz w:val="21"/>
          <w:szCs w:val="21"/>
          <w:highlight w:val="none"/>
          <w:u w:val="single"/>
        </w:rPr>
        <w:t>于</w:t>
      </w:r>
      <w:r>
        <w:rPr>
          <w:rFonts w:hint="eastAsia"/>
          <w:color w:val="auto"/>
          <w:kern w:val="2"/>
          <w:sz w:val="21"/>
          <w:szCs w:val="21"/>
          <w:highlight w:val="none"/>
          <w:u w:val="single"/>
          <w:lang w:val="en-US" w:eastAsia="zh-CN"/>
        </w:rPr>
        <w:t xml:space="preserve">          </w:t>
      </w:r>
      <w:r>
        <w:rPr>
          <w:rFonts w:hint="eastAsia"/>
          <w:color w:val="auto"/>
          <w:kern w:val="2"/>
          <w:sz w:val="21"/>
          <w:szCs w:val="21"/>
          <w:highlight w:val="none"/>
          <w:u w:val="single"/>
        </w:rPr>
        <w:t>（中型企业、小型企业、微型企业）</w:t>
      </w:r>
      <w:r>
        <w:rPr>
          <w:rFonts w:hint="eastAsia"/>
          <w:color w:val="auto"/>
          <w:kern w:val="2"/>
          <w:sz w:val="21"/>
          <w:szCs w:val="21"/>
          <w:highlight w:val="none"/>
        </w:rPr>
        <w:t>；</w:t>
      </w:r>
    </w:p>
    <w:p>
      <w:pPr>
        <w:pStyle w:val="NormalWeb"/>
        <w:ind w:firstLine="420" w:firstLineChars="200"/>
        <w:rPr>
          <w:color w:val="auto"/>
          <w:sz w:val="21"/>
          <w:szCs w:val="21"/>
          <w:highlight w:val="none"/>
        </w:rPr>
      </w:pPr>
      <w:r>
        <w:rPr>
          <w:color w:val="auto"/>
          <w:kern w:val="2"/>
          <w:sz w:val="21"/>
          <w:szCs w:val="21"/>
          <w:highlight w:val="none"/>
        </w:rPr>
        <w:t>2.</w:t>
      </w:r>
      <w:r>
        <w:rPr>
          <w:rFonts w:hint="eastAsia"/>
          <w:color w:val="auto"/>
          <w:kern w:val="2"/>
          <w:sz w:val="21"/>
          <w:szCs w:val="21"/>
          <w:highlight w:val="none"/>
          <w:u w:val="single"/>
          <w:lang w:val="en-US" w:eastAsia="zh-CN"/>
        </w:rPr>
        <w:t xml:space="preserve">             </w:t>
      </w:r>
      <w:r>
        <w:rPr>
          <w:rFonts w:hint="eastAsia"/>
          <w:color w:val="auto"/>
          <w:kern w:val="2"/>
          <w:sz w:val="21"/>
          <w:szCs w:val="21"/>
          <w:highlight w:val="none"/>
        </w:rPr>
        <w:t>（标的名称），属于（</w:t>
      </w:r>
      <w:r>
        <w:rPr>
          <w:rFonts w:hint="eastAsia"/>
          <w:color w:val="auto"/>
          <w:kern w:val="2"/>
          <w:sz w:val="21"/>
          <w:szCs w:val="21"/>
          <w:highlight w:val="none"/>
          <w:u w:val="single"/>
        </w:rPr>
        <w:t>采购文件中明确的所属行业）</w:t>
      </w:r>
      <w:r>
        <w:rPr>
          <w:rFonts w:hint="eastAsia"/>
          <w:color w:val="auto"/>
          <w:kern w:val="2"/>
          <w:sz w:val="21"/>
          <w:szCs w:val="21"/>
          <w:highlight w:val="none"/>
        </w:rPr>
        <w:t>；承建（承接）企业为</w:t>
      </w:r>
      <w:r>
        <w:rPr>
          <w:rFonts w:hint="eastAsia"/>
          <w:color w:val="auto"/>
          <w:kern w:val="2"/>
          <w:sz w:val="21"/>
          <w:szCs w:val="21"/>
          <w:highlight w:val="none"/>
          <w:u w:val="single"/>
        </w:rPr>
        <w:t>（企业名称）</w:t>
      </w:r>
      <w:r>
        <w:rPr>
          <w:rFonts w:hint="eastAsia"/>
          <w:color w:val="auto"/>
          <w:kern w:val="2"/>
          <w:sz w:val="21"/>
          <w:szCs w:val="21"/>
          <w:highlight w:val="none"/>
        </w:rPr>
        <w:t>，从业人员</w:t>
      </w:r>
      <w:r>
        <w:rPr>
          <w:color w:val="auto"/>
          <w:kern w:val="2"/>
          <w:sz w:val="21"/>
          <w:szCs w:val="21"/>
          <w:highlight w:val="none"/>
          <w:u w:val="single"/>
        </w:rPr>
        <w:tab/>
      </w:r>
      <w:r>
        <w:rPr>
          <w:rFonts w:hint="eastAsia"/>
          <w:color w:val="auto"/>
          <w:kern w:val="2"/>
          <w:sz w:val="21"/>
          <w:szCs w:val="21"/>
          <w:highlight w:val="none"/>
        </w:rPr>
        <w:t>人，营业收入为</w:t>
      </w:r>
      <w:r>
        <w:rPr>
          <w:color w:val="auto"/>
          <w:kern w:val="2"/>
          <w:sz w:val="21"/>
          <w:szCs w:val="21"/>
          <w:highlight w:val="none"/>
          <w:u w:val="single"/>
        </w:rPr>
        <w:tab/>
      </w:r>
      <w:r>
        <w:rPr>
          <w:rFonts w:hint="eastAsia"/>
          <w:color w:val="auto"/>
          <w:kern w:val="2"/>
          <w:sz w:val="21"/>
          <w:szCs w:val="21"/>
          <w:highlight w:val="none"/>
        </w:rPr>
        <w:t>万元，资产总额为</w:t>
      </w:r>
      <w:r>
        <w:rPr>
          <w:color w:val="auto"/>
          <w:kern w:val="2"/>
          <w:sz w:val="21"/>
          <w:szCs w:val="21"/>
          <w:highlight w:val="none"/>
          <w:u w:val="single"/>
        </w:rPr>
        <w:tab/>
      </w:r>
      <w:r>
        <w:rPr>
          <w:rFonts w:hint="eastAsia"/>
          <w:color w:val="auto"/>
          <w:kern w:val="2"/>
          <w:sz w:val="21"/>
          <w:szCs w:val="21"/>
          <w:highlight w:val="none"/>
        </w:rPr>
        <w:t>万元</w:t>
      </w:r>
      <w:r>
        <w:rPr>
          <w:color w:val="auto"/>
          <w:kern w:val="2"/>
          <w:sz w:val="21"/>
          <w:szCs w:val="21"/>
          <w:highlight w:val="none"/>
          <w:vertAlign w:val="superscript"/>
        </w:rPr>
        <w:t>1</w:t>
      </w:r>
      <w:r>
        <w:rPr>
          <w:rFonts w:hint="eastAsia"/>
          <w:color w:val="auto"/>
          <w:kern w:val="2"/>
          <w:sz w:val="21"/>
          <w:szCs w:val="21"/>
          <w:highlight w:val="none"/>
        </w:rPr>
        <w:t>，属于</w:t>
      </w:r>
      <w:r>
        <w:rPr>
          <w:rFonts w:hint="eastAsia"/>
          <w:color w:val="auto"/>
          <w:kern w:val="2"/>
          <w:sz w:val="21"/>
          <w:szCs w:val="21"/>
          <w:highlight w:val="none"/>
          <w:u w:val="single"/>
        </w:rPr>
        <w:t>（中型企业、小型企业、微型企业）</w:t>
      </w:r>
      <w:r>
        <w:rPr>
          <w:rFonts w:hint="eastAsia"/>
          <w:color w:val="auto"/>
          <w:kern w:val="2"/>
          <w:sz w:val="21"/>
          <w:szCs w:val="21"/>
          <w:highlight w:val="none"/>
        </w:rPr>
        <w:t>；</w:t>
      </w:r>
    </w:p>
    <w:p>
      <w:pPr>
        <w:pStyle w:val="NormalWeb"/>
        <w:rPr>
          <w:color w:val="auto"/>
          <w:sz w:val="21"/>
          <w:szCs w:val="21"/>
          <w:highlight w:val="none"/>
        </w:rPr>
      </w:pPr>
      <w:r>
        <w:rPr>
          <w:color w:val="auto"/>
          <w:kern w:val="2"/>
          <w:sz w:val="21"/>
          <w:szCs w:val="21"/>
          <w:highlight w:val="none"/>
        </w:rPr>
        <w:t>……</w:t>
      </w:r>
    </w:p>
    <w:p>
      <w:pPr>
        <w:pStyle w:val="NormalWeb"/>
        <w:ind w:firstLine="420" w:firstLineChars="200"/>
        <w:rPr>
          <w:color w:val="auto"/>
          <w:sz w:val="21"/>
          <w:szCs w:val="21"/>
          <w:highlight w:val="none"/>
        </w:rPr>
      </w:pPr>
      <w:r>
        <w:rPr>
          <w:rFonts w:hint="eastAsia"/>
          <w:color w:val="auto"/>
          <w:kern w:val="2"/>
          <w:sz w:val="21"/>
          <w:szCs w:val="21"/>
          <w:highlight w:val="none"/>
        </w:rPr>
        <w:t>以上企业，不属于大企业的分支机构，不存在控股股东为大企业的情形，也不存在与大企业的负责人为同一人的情形。</w:t>
      </w:r>
    </w:p>
    <w:p>
      <w:pPr>
        <w:pStyle w:val="NormalWeb"/>
        <w:ind w:firstLine="420" w:firstLineChars="200"/>
        <w:rPr>
          <w:color w:val="auto"/>
          <w:sz w:val="21"/>
          <w:szCs w:val="21"/>
          <w:highlight w:val="none"/>
        </w:rPr>
      </w:pPr>
      <w:r>
        <w:rPr>
          <w:rFonts w:hint="eastAsia"/>
          <w:color w:val="auto"/>
          <w:kern w:val="2"/>
          <w:sz w:val="21"/>
          <w:szCs w:val="21"/>
          <w:highlight w:val="none"/>
        </w:rPr>
        <w:t>本企业对上述声明内容的真实性负责。如有虚假，将依法承担相应责任。</w:t>
      </w:r>
    </w:p>
    <w:p>
      <w:pPr>
        <w:pStyle w:val="NormalWeb"/>
        <w:rPr>
          <w:color w:val="auto"/>
          <w:sz w:val="21"/>
          <w:szCs w:val="21"/>
          <w:highlight w:val="none"/>
        </w:rPr>
      </w:pPr>
    </w:p>
    <w:p>
      <w:pPr>
        <w:pStyle w:val="NormalWeb"/>
        <w:rPr>
          <w:color w:val="auto"/>
          <w:sz w:val="21"/>
          <w:szCs w:val="21"/>
          <w:highlight w:val="none"/>
        </w:rPr>
      </w:pPr>
    </w:p>
    <w:p>
      <w:pPr>
        <w:rPr>
          <w:color w:val="auto"/>
          <w:sz w:val="21"/>
          <w:szCs w:val="21"/>
          <w:highlight w:val="none"/>
        </w:rPr>
      </w:pPr>
      <w:r>
        <w:rPr>
          <w:rFonts w:hint="eastAsia"/>
          <w:color w:val="auto"/>
          <w:sz w:val="21"/>
          <w:szCs w:val="21"/>
          <w:highlight w:val="none"/>
        </w:rPr>
        <w:t>投标人（全称并加盖公章）：</w:t>
      </w:r>
    </w:p>
    <w:p>
      <w:pPr>
        <w:rPr>
          <w:color w:val="auto"/>
          <w:sz w:val="21"/>
          <w:szCs w:val="21"/>
          <w:highlight w:val="none"/>
        </w:rPr>
      </w:pPr>
      <w:r>
        <w:rPr>
          <w:rFonts w:hint="eastAsia"/>
          <w:color w:val="auto"/>
          <w:sz w:val="21"/>
          <w:szCs w:val="21"/>
          <w:highlight w:val="none"/>
        </w:rPr>
        <w:t>日期：</w:t>
      </w:r>
    </w:p>
    <w:p>
      <w:pPr>
        <w:rPr>
          <w:color w:val="auto"/>
          <w:highlight w:val="none"/>
        </w:rPr>
      </w:pPr>
    </w:p>
    <w:p>
      <w:pPr>
        <w:rPr>
          <w:color w:val="auto"/>
          <w:highlight w:val="none"/>
        </w:rPr>
      </w:pPr>
      <w:r>
        <w:rPr>
          <w:rFonts w:hint="eastAsia"/>
          <w:color w:val="auto"/>
          <w:highlight w:val="none"/>
        </w:rPr>
        <w:t>1从业人员、营业收入、资产总额填报上一年度数据，无上一年度数据的新成立企业可不填报。</w:t>
      </w:r>
    </w:p>
    <w:p>
      <w:pPr>
        <w:pStyle w:val="NormalWeb"/>
        <w:rPr>
          <w:color w:val="auto"/>
          <w:highlight w:val="none"/>
        </w:rPr>
      </w:pPr>
    </w:p>
    <w:p>
      <w:pPr>
        <w:rPr>
          <w:rFonts w:hAnsi="宋体" w:cs="宋体"/>
          <w:color w:val="auto"/>
          <w:sz w:val="28"/>
          <w:szCs w:val="28"/>
          <w:highlight w:val="none"/>
        </w:rPr>
      </w:pPr>
      <w:r>
        <w:rPr>
          <w:color w:val="auto"/>
          <w:highlight w:val="none"/>
        </w:rPr>
        <w:br w:type="page"/>
      </w:r>
    </w:p>
    <w:p>
      <w:pPr>
        <w:pStyle w:val="PlainText"/>
        <w:rPr>
          <w:rFonts w:asciiTheme="minorEastAsia" w:eastAsiaTheme="minorEastAsia" w:hAnsiTheme="minorEastAsia" w:cstheme="minorEastAsia" w:hint="eastAsia"/>
          <w:b/>
          <w:bCs w:val="0"/>
          <w:color w:val="auto"/>
          <w:sz w:val="28"/>
          <w:szCs w:val="28"/>
          <w:highlight w:val="none"/>
          <w:lang w:val="en-US" w:eastAsia="zh-CN" w:bidi="ar-SA"/>
        </w:rPr>
      </w:pPr>
      <w:r>
        <w:rPr>
          <w:rFonts w:asciiTheme="minorEastAsia" w:eastAsiaTheme="minorEastAsia" w:hAnsiTheme="minorEastAsia" w:cstheme="minorEastAsia" w:hint="eastAsia"/>
          <w:b/>
          <w:bCs w:val="0"/>
          <w:color w:val="auto"/>
          <w:sz w:val="28"/>
          <w:szCs w:val="28"/>
          <w:highlight w:val="none"/>
          <w:lang w:val="en-US" w:eastAsia="zh-CN" w:bidi="ar-SA"/>
        </w:rPr>
        <w:t>格式12  监狱企业的证明材料文件</w:t>
      </w:r>
    </w:p>
    <w:p>
      <w:pPr>
        <w:pStyle w:val="PlainText"/>
        <w:jc w:val="left"/>
        <w:rPr>
          <w:color w:val="auto"/>
          <w:highlight w:val="none"/>
        </w:rPr>
      </w:pPr>
      <w:r>
        <w:rPr>
          <w:rFonts w:hint="eastAsia"/>
          <w:color w:val="auto"/>
          <w:highlight w:val="none"/>
        </w:rPr>
        <w:t>说明：</w:t>
      </w:r>
    </w:p>
    <w:p>
      <w:pPr>
        <w:pStyle w:val="PlainText"/>
        <w:ind w:firstLine="420" w:firstLineChars="200"/>
        <w:jc w:val="left"/>
        <w:rPr>
          <w:color w:val="auto"/>
          <w:highlight w:val="none"/>
        </w:rPr>
      </w:pPr>
      <w:r>
        <w:rPr>
          <w:rFonts w:hint="eastAsia"/>
          <w:color w:val="auto"/>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PlainText"/>
        <w:ind w:firstLine="420" w:firstLineChars="200"/>
        <w:jc w:val="left"/>
        <w:rPr>
          <w:color w:val="auto"/>
          <w:highlight w:val="none"/>
        </w:rPr>
      </w:pPr>
      <w:r>
        <w:rPr>
          <w:rFonts w:hint="eastAsia"/>
          <w:color w:val="auto"/>
          <w:highlight w:val="none"/>
        </w:rPr>
        <w:t>2.未按上述要求提供、填写的，评标时不予以考虑。</w:t>
      </w:r>
    </w:p>
    <w:p>
      <w:pPr>
        <w:pStyle w:val="PlainText"/>
        <w:ind w:firstLine="840" w:firstLineChars="400"/>
        <w:jc w:val="left"/>
        <w:rPr>
          <w:color w:val="auto"/>
          <w:highlight w:val="none"/>
        </w:rPr>
      </w:pPr>
      <w:r>
        <w:rPr>
          <w:color w:val="auto"/>
          <w:highlight w:val="none"/>
        </w:rPr>
        <w:t>(</w:t>
      </w:r>
      <w:r>
        <w:rPr>
          <w:rFonts w:hint="eastAsia"/>
          <w:color w:val="auto"/>
          <w:highlight w:val="none"/>
        </w:rPr>
        <w:t>示例略</w:t>
      </w:r>
      <w:r>
        <w:rPr>
          <w:color w:val="auto"/>
          <w:highlight w:val="none"/>
        </w:rPr>
        <w:t>)</w:t>
      </w:r>
    </w:p>
    <w:p>
      <w:pPr>
        <w:rPr>
          <w:color w:val="auto"/>
          <w:highlight w:val="none"/>
        </w:rPr>
      </w:pPr>
      <w:r>
        <w:rPr>
          <w:rFonts w:hint="eastAsia"/>
          <w:color w:val="auto"/>
          <w:highlight w:val="none"/>
        </w:rPr>
        <w:br w:type="page"/>
      </w:r>
    </w:p>
    <w:p>
      <w:pPr>
        <w:pStyle w:val="PlainText"/>
        <w:rPr>
          <w:rFonts w:asciiTheme="minorEastAsia" w:eastAsiaTheme="minorEastAsia" w:hAnsiTheme="minorEastAsia" w:cstheme="minorEastAsia" w:hint="eastAsia"/>
          <w:b/>
          <w:bCs w:val="0"/>
          <w:color w:val="auto"/>
          <w:sz w:val="28"/>
          <w:szCs w:val="28"/>
          <w:highlight w:val="none"/>
          <w:lang w:val="en-US" w:eastAsia="zh-CN" w:bidi="ar-SA"/>
        </w:rPr>
      </w:pPr>
      <w:r>
        <w:rPr>
          <w:rFonts w:asciiTheme="minorEastAsia" w:eastAsiaTheme="minorEastAsia" w:hAnsiTheme="minorEastAsia" w:cstheme="minorEastAsia" w:hint="eastAsia"/>
          <w:b/>
          <w:bCs w:val="0"/>
          <w:color w:val="auto"/>
          <w:sz w:val="28"/>
          <w:szCs w:val="28"/>
          <w:highlight w:val="none"/>
          <w:lang w:val="en-US" w:eastAsia="zh-CN" w:bidi="ar-SA"/>
        </w:rPr>
        <w:t>格式13  残疾人福利性单位声明函</w:t>
      </w:r>
    </w:p>
    <w:p>
      <w:pPr>
        <w:jc w:val="left"/>
        <w:rPr>
          <w:color w:val="auto"/>
          <w:highlight w:val="none"/>
        </w:rPr>
      </w:pPr>
      <w:r>
        <w:rPr>
          <w:rFonts w:hint="eastAsia"/>
          <w:color w:val="auto"/>
          <w:highlight w:val="none"/>
          <w:lang w:val="en-US" w:eastAsia="zh-CN"/>
        </w:rPr>
        <w:t xml:space="preserve">   </w:t>
      </w: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jc w:val="left"/>
        <w:rPr>
          <w:color w:val="auto"/>
          <w:highlight w:val="none"/>
        </w:rPr>
      </w:pPr>
      <w:r>
        <w:rPr>
          <w:rFonts w:hint="eastAsia"/>
          <w:color w:val="auto"/>
          <w:highlight w:val="none"/>
        </w:rPr>
        <w:t>本单位对上述声明的真实性负责。如有虚假，将依法承担相应责任。</w:t>
      </w:r>
    </w:p>
    <w:p>
      <w:pPr>
        <w:jc w:val="left"/>
        <w:rPr>
          <w:color w:val="auto"/>
          <w:highlight w:val="none"/>
        </w:rPr>
      </w:pPr>
    </w:p>
    <w:p>
      <w:pPr>
        <w:ind w:firstLine="420" w:firstLineChars="200"/>
        <w:jc w:val="left"/>
        <w:rPr>
          <w:color w:val="auto"/>
          <w:highlight w:val="none"/>
        </w:rPr>
      </w:pPr>
      <w:r>
        <w:rPr>
          <w:rFonts w:hint="eastAsia"/>
          <w:color w:val="auto"/>
          <w:highlight w:val="none"/>
        </w:rPr>
        <w:t>投标人（全称并加盖公章）：</w:t>
      </w:r>
    </w:p>
    <w:p>
      <w:pPr>
        <w:ind w:firstLine="420" w:firstLineChars="200"/>
        <w:jc w:val="left"/>
        <w:rPr>
          <w:color w:val="auto"/>
          <w:highlight w:val="none"/>
        </w:rPr>
      </w:pPr>
      <w:r>
        <w:rPr>
          <w:rFonts w:hint="eastAsia"/>
          <w:color w:val="auto"/>
          <w:highlight w:val="none"/>
        </w:rPr>
        <w:t>日期：</w:t>
      </w:r>
    </w:p>
    <w:p>
      <w:pPr>
        <w:rPr>
          <w:color w:val="auto"/>
          <w:highlight w:val="none"/>
        </w:rPr>
      </w:pPr>
    </w:p>
    <w:p>
      <w:pPr>
        <w:pStyle w:val="1"/>
        <w:rPr>
          <w:rFonts w:ascii="Times New Roman" w:hAnsi="Times New Roman"/>
          <w:color w:val="auto"/>
          <w:highlight w:val="none"/>
        </w:rPr>
      </w:pPr>
      <w:r>
        <w:rPr>
          <w:rFonts w:cs="宋体" w:hint="eastAsia"/>
          <w:color w:val="auto"/>
          <w:highlight w:val="none"/>
        </w:rPr>
        <w:br w:type="page"/>
      </w:r>
      <w:r>
        <w:rPr>
          <w:rFonts w:asciiTheme="minorEastAsia" w:eastAsiaTheme="minorEastAsia" w:hAnsiTheme="minorEastAsia" w:cstheme="minorEastAsia" w:hint="eastAsia"/>
          <w:b/>
          <w:bCs w:val="0"/>
          <w:color w:val="auto"/>
          <w:sz w:val="28"/>
          <w:szCs w:val="28"/>
          <w:highlight w:val="none"/>
          <w:lang w:val="en-US" w:eastAsia="zh-CN" w:bidi="ar-SA"/>
        </w:rPr>
        <w:t>格式14  成功案例一览表</w:t>
      </w:r>
    </w:p>
    <w:p>
      <w:pPr>
        <w:rPr>
          <w:color w:val="auto"/>
          <w:highlight w:val="none"/>
        </w:rPr>
      </w:pPr>
      <w:r>
        <w:rPr>
          <w:rFonts w:hint="eastAsia"/>
          <w:color w:val="auto"/>
          <w:highlight w:val="none"/>
        </w:rPr>
        <w:t>（根据招标文件要求调整）</w:t>
      </w:r>
    </w:p>
    <w:tbl>
      <w:tblPr>
        <w:tblStyle w:val="TableNormal"/>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265"/>
      </w:tblGrid>
      <w:tr>
        <w:tblPrEx>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序号</w:t>
            </w:r>
          </w:p>
        </w:tc>
        <w:tc>
          <w:tcPr>
            <w:tcW w:w="81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合同</w:t>
            </w:r>
          </w:p>
          <w:p>
            <w:pPr>
              <w:rPr>
                <w:color w:val="auto"/>
                <w:highlight w:val="none"/>
              </w:rPr>
            </w:pPr>
            <w:r>
              <w:rPr>
                <w:color w:val="auto"/>
                <w:highlight w:val="none"/>
              </w:rPr>
              <w:t>名称</w:t>
            </w:r>
          </w:p>
        </w:tc>
        <w:tc>
          <w:tcPr>
            <w:tcW w:w="86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合同</w:t>
            </w:r>
          </w:p>
          <w:p>
            <w:pPr>
              <w:rPr>
                <w:color w:val="auto"/>
                <w:highlight w:val="none"/>
              </w:rPr>
            </w:pPr>
            <w:r>
              <w:rPr>
                <w:color w:val="auto"/>
                <w:highlight w:val="none"/>
              </w:rPr>
              <w:t>甲方</w:t>
            </w:r>
          </w:p>
        </w:tc>
        <w:tc>
          <w:tcPr>
            <w:tcW w:w="70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合同时间</w:t>
            </w:r>
          </w:p>
        </w:tc>
        <w:tc>
          <w:tcPr>
            <w:tcW w:w="74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合同</w:t>
            </w:r>
          </w:p>
          <w:p>
            <w:pPr>
              <w:rPr>
                <w:color w:val="auto"/>
                <w:highlight w:val="none"/>
              </w:rPr>
            </w:pPr>
            <w:r>
              <w:rPr>
                <w:color w:val="auto"/>
                <w:highlight w:val="none"/>
              </w:rPr>
              <w:t>金额</w:t>
            </w:r>
          </w:p>
        </w:tc>
        <w:tc>
          <w:tcPr>
            <w:tcW w:w="122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合同主要</w:t>
            </w:r>
          </w:p>
          <w:p>
            <w:pPr>
              <w:rPr>
                <w:color w:val="auto"/>
                <w:highlight w:val="none"/>
              </w:rPr>
            </w:pPr>
            <w:r>
              <w:rPr>
                <w:color w:val="auto"/>
                <w:highlight w:val="none"/>
              </w:rPr>
              <w:t>内容</w:t>
            </w:r>
          </w:p>
        </w:tc>
        <w:tc>
          <w:tcPr>
            <w:tcW w:w="116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用  户</w:t>
            </w:r>
          </w:p>
          <w:p>
            <w:pPr>
              <w:rPr>
                <w:color w:val="auto"/>
                <w:highlight w:val="none"/>
              </w:rPr>
            </w:pPr>
            <w:r>
              <w:rPr>
                <w:color w:val="auto"/>
                <w:highlight w:val="none"/>
              </w:rPr>
              <w:t>联系人</w:t>
            </w:r>
          </w:p>
        </w:tc>
        <w:tc>
          <w:tcPr>
            <w:tcW w:w="10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用户联</w:t>
            </w:r>
          </w:p>
          <w:p>
            <w:pPr>
              <w:rPr>
                <w:color w:val="auto"/>
                <w:highlight w:val="none"/>
              </w:rPr>
            </w:pPr>
            <w:r>
              <w:rPr>
                <w:color w:val="auto"/>
                <w:highlight w:val="none"/>
              </w:rPr>
              <w:t>系电话</w:t>
            </w:r>
          </w:p>
        </w:tc>
        <w:tc>
          <w:tcPr>
            <w:tcW w:w="12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备注</w:t>
            </w:r>
          </w:p>
        </w:tc>
      </w:tr>
      <w:tr>
        <w:tblPrEx>
          <w:tblW w:w="8686"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1</w:t>
            </w:r>
          </w:p>
        </w:tc>
        <w:tc>
          <w:tcPr>
            <w:tcW w:w="81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707"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686"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2</w:t>
            </w:r>
          </w:p>
        </w:tc>
        <w:tc>
          <w:tcPr>
            <w:tcW w:w="81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707"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686"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3</w:t>
            </w:r>
          </w:p>
        </w:tc>
        <w:tc>
          <w:tcPr>
            <w:tcW w:w="81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707"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686"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4</w:t>
            </w:r>
          </w:p>
        </w:tc>
        <w:tc>
          <w:tcPr>
            <w:tcW w:w="81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707"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686"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5</w:t>
            </w:r>
          </w:p>
        </w:tc>
        <w:tc>
          <w:tcPr>
            <w:tcW w:w="81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707"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686" w:type="dxa"/>
          <w:jc w:val="center"/>
          <w:tblLayout w:type="fixed"/>
          <w:tblCellMar>
            <w:top w:w="0" w:type="dxa"/>
            <w:left w:w="108" w:type="dxa"/>
            <w:bottom w:w="0" w:type="dxa"/>
            <w:right w:w="108" w:type="dxa"/>
          </w:tblCellMar>
        </w:tblPrEx>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w:t>
            </w:r>
          </w:p>
        </w:tc>
        <w:tc>
          <w:tcPr>
            <w:tcW w:w="81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86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707" w:type="dxa"/>
            <w:tcBorders>
              <w:top w:val="single" w:sz="4" w:space="0" w:color="auto"/>
              <w:left w:val="single" w:sz="4" w:space="0" w:color="auto"/>
              <w:bottom w:val="single" w:sz="4" w:space="0" w:color="auto"/>
              <w:right w:val="single" w:sz="4" w:space="0" w:color="auto"/>
            </w:tcBorders>
            <w:noWrap/>
          </w:tcPr>
          <w:p>
            <w:pPr>
              <w:rPr>
                <w:color w:val="auto"/>
                <w:highlight w:val="none"/>
              </w:rPr>
            </w:pPr>
          </w:p>
        </w:tc>
        <w:tc>
          <w:tcPr>
            <w:tcW w:w="74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2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61"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0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6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bl>
    <w:p>
      <w:pPr>
        <w:jc w:val="left"/>
        <w:rPr>
          <w:color w:val="auto"/>
          <w:highlight w:val="none"/>
        </w:rPr>
      </w:pPr>
      <w:r>
        <w:rPr>
          <w:color w:val="auto"/>
          <w:highlight w:val="none"/>
        </w:rPr>
        <w:t>特别说明：</w:t>
      </w:r>
    </w:p>
    <w:p>
      <w:pPr>
        <w:ind w:firstLine="420" w:firstLineChars="200"/>
        <w:jc w:val="left"/>
        <w:rPr>
          <w:color w:val="auto"/>
          <w:highlight w:val="none"/>
        </w:rPr>
      </w:pPr>
      <w:r>
        <w:rPr>
          <w:rFonts w:hint="eastAsia"/>
          <w:color w:val="auto"/>
          <w:highlight w:val="none"/>
        </w:rPr>
        <w:t>1.提供2021年</w:t>
      </w:r>
      <w:r>
        <w:rPr>
          <w:rFonts w:hint="eastAsia"/>
          <w:color w:val="auto"/>
          <w:highlight w:val="none"/>
          <w:lang w:val="en-US" w:eastAsia="zh-CN"/>
        </w:rPr>
        <w:t>8</w:t>
      </w:r>
      <w:r>
        <w:rPr>
          <w:rFonts w:hint="eastAsia"/>
          <w:color w:val="auto"/>
          <w:highlight w:val="none"/>
        </w:rPr>
        <w:t>月1日以来（以合同签订日期为准），投标人独立承担的</w:t>
      </w:r>
      <w:r>
        <w:rPr>
          <w:rFonts w:hint="eastAsia"/>
          <w:b/>
          <w:bCs w:val="0"/>
          <w:color w:val="auto"/>
          <w:highlight w:val="none"/>
        </w:rPr>
        <w:t>信</w:t>
      </w:r>
      <w:r>
        <w:rPr>
          <w:rFonts w:hint="eastAsia"/>
          <w:b/>
          <w:color w:val="auto"/>
          <w:highlight w:val="none"/>
        </w:rPr>
        <w:t>息</w:t>
      </w:r>
      <w:r>
        <w:rPr>
          <w:rFonts w:hint="eastAsia"/>
          <w:b/>
          <w:color w:val="auto"/>
          <w:highlight w:val="none"/>
          <w:lang w:val="en-US" w:eastAsia="zh-CN"/>
        </w:rPr>
        <w:t>化系统开发或</w:t>
      </w:r>
      <w:r>
        <w:rPr>
          <w:rFonts w:hint="eastAsia"/>
          <w:b/>
          <w:color w:val="auto"/>
          <w:highlight w:val="none"/>
        </w:rPr>
        <w:t>运维服务</w:t>
      </w:r>
      <w:r>
        <w:rPr>
          <w:rFonts w:hint="eastAsia"/>
          <w:color w:val="auto"/>
          <w:highlight w:val="none"/>
        </w:rPr>
        <w:t>的项目案例。</w:t>
      </w:r>
    </w:p>
    <w:p>
      <w:pPr>
        <w:ind w:firstLine="420" w:firstLineChars="200"/>
        <w:jc w:val="left"/>
        <w:rPr>
          <w:color w:val="auto"/>
          <w:highlight w:val="none"/>
        </w:rPr>
      </w:pPr>
      <w:r>
        <w:rPr>
          <w:rFonts w:hint="eastAsia"/>
          <w:color w:val="auto"/>
          <w:highlight w:val="none"/>
        </w:rPr>
        <w:t>2.应提供合同复印件（线上采购项目提供扫描件，下同）。合同复印件应能清晰体现合同甲乙双方、合同时间、合同总金额、合同主要内容等，并提供对方联系人及联系方式，否则不能获得相应分值。</w:t>
      </w:r>
    </w:p>
    <w:p>
      <w:pPr>
        <w:pStyle w:val="PlainText"/>
        <w:rPr>
          <w:color w:val="auto"/>
          <w:highlight w:val="none"/>
        </w:rPr>
      </w:pPr>
    </w:p>
    <w:p>
      <w:pPr>
        <w:rPr>
          <w:color w:val="auto"/>
          <w:highlight w:val="none"/>
        </w:rPr>
      </w:pPr>
      <w:r>
        <w:rPr>
          <w:rFonts w:hint="eastAsia"/>
          <w:color w:val="auto"/>
          <w:highlight w:val="none"/>
        </w:rPr>
        <w:br w:type="page"/>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ascii="华文中宋" w:eastAsia="华文中宋" w:hAnsi="华文中宋" w:cs="华文中宋" w:hint="eastAsia"/>
          <w:b w:val="0"/>
          <w:bCs/>
          <w:color w:val="auto"/>
          <w:kern w:val="0"/>
          <w:sz w:val="32"/>
          <w:szCs w:val="32"/>
          <w:highlight w:val="none"/>
        </w:rPr>
      </w:pPr>
      <w:r>
        <w:rPr>
          <w:rFonts w:ascii="华文中宋" w:eastAsia="华文中宋" w:hAnsi="华文中宋" w:cs="华文中宋" w:hint="eastAsia"/>
          <w:b w:val="0"/>
          <w:bCs/>
          <w:color w:val="auto"/>
          <w:kern w:val="0"/>
          <w:sz w:val="32"/>
          <w:szCs w:val="32"/>
          <w:highlight w:val="none"/>
        </w:rPr>
        <w:t>投  标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ascii="华文中宋" w:eastAsia="华文中宋" w:hAnsi="华文中宋" w:cs="华文中宋" w:hint="eastAsia"/>
          <w:b w:val="0"/>
          <w:bCs/>
          <w:color w:val="auto"/>
          <w:kern w:val="0"/>
          <w:sz w:val="32"/>
          <w:szCs w:val="32"/>
          <w:highlight w:val="none"/>
        </w:rPr>
      </w:pPr>
      <w:r>
        <w:rPr>
          <w:rFonts w:ascii="华文中宋" w:eastAsia="华文中宋" w:hAnsi="华文中宋" w:cs="华文中宋" w:hint="eastAsia"/>
          <w:b w:val="0"/>
          <w:bCs/>
          <w:color w:val="auto"/>
          <w:kern w:val="0"/>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heme="minorEastAsia" w:eastAsiaTheme="minorEastAsia" w:hAnsiTheme="minorEastAsia" w:cstheme="minorEastAsia" w:hint="eastAsia"/>
          <w:b w:val="0"/>
          <w:bCs/>
          <w:color w:val="auto"/>
          <w:kern w:val="0"/>
          <w:sz w:val="24"/>
          <w:szCs w:val="24"/>
          <w:highlight w:val="none"/>
        </w:rPr>
      </w:pPr>
      <w:r>
        <w:rPr>
          <w:rFonts w:asciiTheme="minorEastAsia" w:eastAsiaTheme="minorEastAsia" w:hAnsiTheme="minorEastAsia" w:cstheme="minorEastAsia" w:hint="eastAsia"/>
          <w:b w:val="0"/>
          <w:bCs/>
          <w:color w:val="auto"/>
          <w:kern w:val="0"/>
          <w:sz w:val="24"/>
          <w:szCs w:val="24"/>
          <w:highlight w:val="none"/>
        </w:rPr>
        <w:t>（填写正本或副本）</w:t>
      </w:r>
    </w:p>
    <w:p>
      <w:pPr>
        <w:spacing w:line="360" w:lineRule="auto"/>
        <w:ind w:firstLine="480" w:firstLineChars="200"/>
        <w:jc w:val="center"/>
        <w:rPr>
          <w:rFonts w:asciiTheme="minorEastAsia" w:eastAsiaTheme="minorEastAsia" w:hAnsiTheme="minorEastAsia" w:cstheme="minorEastAsia" w:hint="eastAsia"/>
          <w:b w:val="0"/>
          <w:bCs/>
          <w:color w:val="auto"/>
          <w:kern w:val="0"/>
          <w:sz w:val="24"/>
          <w:szCs w:val="24"/>
          <w:highlight w:val="none"/>
        </w:rPr>
      </w:pPr>
    </w:p>
    <w:p>
      <w:pPr>
        <w:pStyle w:val="BodyText"/>
        <w:rPr>
          <w:rFonts w:asciiTheme="minorEastAsia" w:eastAsiaTheme="minorEastAsia" w:hAnsiTheme="minorEastAsia" w:cstheme="minorEastAsia" w:hint="eastAsia"/>
          <w:b w:val="0"/>
          <w:bCs/>
          <w:color w:val="auto"/>
          <w:kern w:val="0"/>
          <w:sz w:val="24"/>
          <w:szCs w:val="24"/>
          <w:highlight w:val="none"/>
        </w:rPr>
      </w:pPr>
    </w:p>
    <w:p>
      <w:pPr>
        <w:rPr>
          <w:rFonts w:asciiTheme="minorEastAsia" w:eastAsiaTheme="minorEastAsia" w:hAnsiTheme="minorEastAsia" w:cstheme="minorEastAsia"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Theme="minorEastAsia" w:eastAsiaTheme="minorEastAsia" w:hAnsiTheme="minorEastAsia" w:cstheme="minorEastAsia" w:hint="eastAsia"/>
          <w:b w:val="0"/>
          <w:bCs/>
          <w:color w:val="auto"/>
          <w:kern w:val="0"/>
          <w:sz w:val="24"/>
          <w:szCs w:val="24"/>
          <w:highlight w:val="none"/>
        </w:rPr>
      </w:pPr>
      <w:r>
        <w:rPr>
          <w:rFonts w:asciiTheme="minorEastAsia" w:eastAsiaTheme="minorEastAsia" w:hAnsiTheme="minorEastAsia" w:cstheme="minorEastAsia" w:hint="eastAsia"/>
          <w:b w:val="0"/>
          <w:bCs/>
          <w:color w:val="auto"/>
          <w:kern w:val="0"/>
          <w:sz w:val="24"/>
          <w:szCs w:val="24"/>
          <w:highlight w:val="none"/>
        </w:rPr>
        <w:t>项目名称：</w:t>
      </w:r>
      <w:r>
        <w:rPr>
          <w:rFonts w:asciiTheme="minorEastAsia" w:eastAsiaTheme="minorEastAsia" w:hAnsiTheme="minorEastAsia" w:cstheme="minorEastAsia" w:hint="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Theme="minorEastAsia" w:eastAsiaTheme="minorEastAsia" w:hAnsiTheme="minorEastAsia" w:cstheme="minorEastAsia" w:hint="eastAsia"/>
          <w:b w:val="0"/>
          <w:bCs/>
          <w:color w:val="auto"/>
          <w:kern w:val="0"/>
          <w:sz w:val="24"/>
          <w:szCs w:val="24"/>
          <w:highlight w:val="none"/>
        </w:rPr>
      </w:pPr>
      <w:r>
        <w:rPr>
          <w:rFonts w:asciiTheme="minorEastAsia" w:eastAsiaTheme="minorEastAsia" w:hAnsiTheme="minorEastAsia" w:cstheme="minorEastAsia" w:hint="eastAsia"/>
          <w:b w:val="0"/>
          <w:bCs/>
          <w:color w:val="auto"/>
          <w:kern w:val="0"/>
          <w:sz w:val="24"/>
          <w:szCs w:val="24"/>
          <w:highlight w:val="none"/>
        </w:rPr>
        <w:t>项目编号：</w:t>
      </w:r>
      <w:r>
        <w:rPr>
          <w:rFonts w:asciiTheme="minorEastAsia" w:eastAsiaTheme="minorEastAsia" w:hAnsiTheme="minorEastAsia" w:cstheme="minorEastAsia" w:hint="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Theme="minorEastAsia" w:eastAsiaTheme="minorEastAsia" w:hAnsiTheme="minorEastAsia" w:cstheme="minorEastAsia" w:hint="eastAsia"/>
          <w:b w:val="0"/>
          <w:bCs/>
          <w:color w:val="auto"/>
          <w:kern w:val="0"/>
          <w:sz w:val="24"/>
          <w:szCs w:val="24"/>
          <w:highlight w:val="none"/>
        </w:rPr>
      </w:pPr>
      <w:r>
        <w:rPr>
          <w:rFonts w:asciiTheme="minorEastAsia" w:eastAsiaTheme="minorEastAsia" w:hAnsiTheme="minorEastAsia" w:cstheme="minorEastAsia" w:hint="eastAsia"/>
          <w:b w:val="0"/>
          <w:bCs/>
          <w:color w:val="auto"/>
          <w:kern w:val="0"/>
          <w:sz w:val="24"/>
          <w:szCs w:val="24"/>
          <w:highlight w:val="none"/>
        </w:rPr>
        <w:t>所投采购包：</w:t>
      </w:r>
      <w:r>
        <w:rPr>
          <w:rFonts w:asciiTheme="minorEastAsia" w:eastAsiaTheme="minorEastAsia" w:hAnsiTheme="minorEastAsia" w:cstheme="minorEastAsia" w:hint="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firstLine="480" w:leftChars="700" w:firstLineChars="200"/>
        <w:jc w:val="center"/>
        <w:textAlignment w:val="auto"/>
        <w:rPr>
          <w:rFonts w:asciiTheme="minorEastAsia" w:eastAsiaTheme="minorEastAsia" w:hAnsiTheme="minorEastAsia" w:cstheme="minorEastAsia" w:hint="eastAsia"/>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Theme="minorEastAsia" w:eastAsiaTheme="minorEastAsia" w:hAnsiTheme="minorEastAsia" w:cstheme="minorEastAsia" w:hint="eastAsia"/>
          <w:b w:val="0"/>
          <w:bCs/>
          <w:color w:val="auto"/>
          <w:kern w:val="0"/>
          <w:sz w:val="24"/>
          <w:szCs w:val="24"/>
          <w:highlight w:val="none"/>
        </w:rPr>
      </w:pPr>
      <w:r>
        <w:rPr>
          <w:rFonts w:asciiTheme="minorEastAsia" w:eastAsiaTheme="minorEastAsia" w:hAnsiTheme="minorEastAsia" w:cstheme="minorEastAsia" w:hint="eastAsia"/>
          <w:b w:val="0"/>
          <w:bCs/>
          <w:color w:val="auto"/>
          <w:kern w:val="0"/>
          <w:sz w:val="24"/>
          <w:szCs w:val="24"/>
          <w:highlight w:val="none"/>
        </w:rPr>
        <w:t>投标人：</w:t>
      </w:r>
      <w:r>
        <w:rPr>
          <w:rFonts w:asciiTheme="minorEastAsia" w:eastAsiaTheme="minorEastAsia" w:hAnsiTheme="minorEastAsia" w:cstheme="minorEastAsia" w:hint="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firstLine="1680" w:leftChars="700" w:firstLineChars="700"/>
        <w:jc w:val="both"/>
        <w:textAlignment w:val="auto"/>
        <w:rPr>
          <w:rFonts w:asciiTheme="minorEastAsia" w:eastAsiaTheme="minorEastAsia" w:hAnsiTheme="minorEastAsia" w:cstheme="minorEastAsia" w:hint="eastAsia"/>
          <w:b w:val="0"/>
          <w:bCs/>
          <w:color w:val="auto"/>
          <w:kern w:val="0"/>
          <w:sz w:val="24"/>
          <w:szCs w:val="24"/>
          <w:highlight w:val="none"/>
        </w:rPr>
      </w:pPr>
      <w:r>
        <w:rPr>
          <w:rFonts w:asciiTheme="minorEastAsia" w:eastAsiaTheme="minorEastAsia" w:hAnsiTheme="minorEastAsia" w:cstheme="minorEastAsia" w:hint="eastAsia"/>
          <w:b w:val="0"/>
          <w:bCs/>
          <w:color w:val="auto"/>
          <w:kern w:val="0"/>
          <w:sz w:val="24"/>
          <w:szCs w:val="24"/>
          <w:highlight w:val="none"/>
        </w:rPr>
        <w:t>日  期：</w:t>
      </w:r>
      <w:r>
        <w:rPr>
          <w:rFonts w:asciiTheme="minorEastAsia" w:eastAsiaTheme="minorEastAsia" w:hAnsiTheme="minorEastAsia" w:cstheme="minorEastAsia" w:hint="eastAsia"/>
          <w:b w:val="0"/>
          <w:bCs/>
          <w:color w:val="auto"/>
          <w:kern w:val="0"/>
          <w:sz w:val="24"/>
          <w:szCs w:val="24"/>
          <w:highlight w:val="none"/>
          <w:u w:val="singl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Theme="minorEastAsia" w:eastAsiaTheme="minorEastAsia" w:hAnsiTheme="minorEastAsia" w:cstheme="minorEastAsia" w:hint="eastAsia"/>
          <w:b/>
          <w:bCs w:val="0"/>
          <w:color w:val="auto"/>
          <w:sz w:val="28"/>
          <w:szCs w:val="28"/>
          <w:highlight w:val="none"/>
          <w:lang w:val="en-US" w:eastAsia="zh-CN" w:bidi="ar-SA"/>
        </w:rPr>
      </w:pPr>
      <w:r>
        <w:rPr>
          <w:rFonts w:asciiTheme="minorEastAsia" w:eastAsiaTheme="minorEastAsia" w:hAnsiTheme="minorEastAsia" w:cstheme="minorEastAsia" w:hint="eastAsia"/>
          <w:b/>
          <w:bCs w:val="0"/>
          <w:color w:val="auto"/>
          <w:sz w:val="28"/>
          <w:szCs w:val="28"/>
          <w:highlight w:val="none"/>
          <w:lang w:val="en-US" w:eastAsia="zh-CN" w:bidi="ar-SA"/>
        </w:rPr>
        <w:t>格式15  技术条款偏离表</w:t>
      </w:r>
    </w:p>
    <w:p>
      <w:pPr>
        <w:rPr>
          <w:rFonts w:asciiTheme="minorEastAsia" w:eastAsiaTheme="minorEastAsia" w:hAnsiTheme="minorEastAsia" w:cstheme="minorEastAsia" w:hint="eastAsia"/>
          <w:b/>
          <w:bCs w:val="0"/>
          <w:color w:val="auto"/>
          <w:sz w:val="28"/>
          <w:szCs w:val="28"/>
          <w:highlight w:val="none"/>
          <w:lang w:val="en-US" w:eastAsia="zh-CN" w:bidi="ar-SA"/>
        </w:rPr>
      </w:pPr>
    </w:p>
    <w:tbl>
      <w:tblPr>
        <w:tblStyle w:val="TableNormal"/>
        <w:tblW w:w="85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
      <w:tblGrid>
        <w:gridCol w:w="627"/>
        <w:gridCol w:w="1516"/>
        <w:gridCol w:w="2116"/>
        <w:gridCol w:w="1684"/>
        <w:gridCol w:w="1879"/>
        <w:gridCol w:w="759"/>
      </w:tblGrid>
      <w:tr>
        <w:tblPrEx>
          <w:tblW w:w="85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trHeight w:val="567"/>
          <w:jc w:val="center"/>
        </w:trPr>
        <w:tc>
          <w:tcPr>
            <w:tcW w:w="627" w:type="dxa"/>
            <w:noWrap/>
            <w:vAlign w:val="center"/>
          </w:tcPr>
          <w:p>
            <w:pPr>
              <w:rPr>
                <w:color w:val="auto"/>
                <w:highlight w:val="none"/>
              </w:rPr>
            </w:pPr>
            <w:r>
              <w:rPr>
                <w:color w:val="auto"/>
                <w:highlight w:val="none"/>
              </w:rPr>
              <w:t>序号</w:t>
            </w:r>
          </w:p>
        </w:tc>
        <w:tc>
          <w:tcPr>
            <w:tcW w:w="1516" w:type="dxa"/>
            <w:noWrap/>
          </w:tcPr>
          <w:p>
            <w:pPr>
              <w:rPr>
                <w:color w:val="auto"/>
                <w:highlight w:val="none"/>
              </w:rPr>
            </w:pPr>
            <w:r>
              <w:rPr>
                <w:color w:val="auto"/>
                <w:highlight w:val="none"/>
              </w:rPr>
              <w:t>招标文件</w:t>
            </w:r>
          </w:p>
          <w:p>
            <w:pPr>
              <w:rPr>
                <w:color w:val="auto"/>
                <w:highlight w:val="none"/>
              </w:rPr>
            </w:pPr>
            <w:r>
              <w:rPr>
                <w:color w:val="auto"/>
                <w:highlight w:val="none"/>
              </w:rPr>
              <w:t>技术部分序号</w:t>
            </w:r>
          </w:p>
        </w:tc>
        <w:tc>
          <w:tcPr>
            <w:tcW w:w="2116" w:type="dxa"/>
            <w:noWrap/>
            <w:vAlign w:val="center"/>
          </w:tcPr>
          <w:p>
            <w:pPr>
              <w:rPr>
                <w:color w:val="auto"/>
                <w:highlight w:val="none"/>
              </w:rPr>
            </w:pPr>
            <w:r>
              <w:rPr>
                <w:color w:val="auto"/>
                <w:highlight w:val="none"/>
              </w:rPr>
              <w:t>招标文件</w:t>
            </w:r>
          </w:p>
          <w:p>
            <w:pPr>
              <w:rPr>
                <w:color w:val="auto"/>
                <w:highlight w:val="none"/>
              </w:rPr>
            </w:pPr>
            <w:r>
              <w:rPr>
                <w:color w:val="auto"/>
                <w:highlight w:val="none"/>
              </w:rPr>
              <w:t>技术部分内容要求</w:t>
            </w:r>
          </w:p>
        </w:tc>
        <w:tc>
          <w:tcPr>
            <w:tcW w:w="1684" w:type="dxa"/>
            <w:noWrap/>
            <w:vAlign w:val="center"/>
          </w:tcPr>
          <w:p>
            <w:pPr>
              <w:rPr>
                <w:color w:val="auto"/>
                <w:highlight w:val="none"/>
              </w:rPr>
            </w:pPr>
            <w:r>
              <w:rPr>
                <w:color w:val="auto"/>
                <w:highlight w:val="none"/>
              </w:rPr>
              <w:t>投标文件</w:t>
            </w:r>
          </w:p>
          <w:p>
            <w:pPr>
              <w:rPr>
                <w:color w:val="auto"/>
                <w:highlight w:val="none"/>
              </w:rPr>
            </w:pPr>
            <w:r>
              <w:rPr>
                <w:color w:val="auto"/>
                <w:highlight w:val="none"/>
              </w:rPr>
              <w:t>应答情况</w:t>
            </w:r>
          </w:p>
        </w:tc>
        <w:tc>
          <w:tcPr>
            <w:tcW w:w="1879" w:type="dxa"/>
            <w:noWrap/>
            <w:vAlign w:val="center"/>
          </w:tcPr>
          <w:p>
            <w:pPr>
              <w:rPr>
                <w:color w:val="auto"/>
                <w:highlight w:val="none"/>
              </w:rPr>
            </w:pPr>
            <w:r>
              <w:rPr>
                <w:color w:val="auto"/>
                <w:highlight w:val="none"/>
              </w:rPr>
              <w:t>偏离（无/正/负）</w:t>
            </w:r>
          </w:p>
        </w:tc>
        <w:tc>
          <w:tcPr>
            <w:tcW w:w="759" w:type="dxa"/>
            <w:noWrap/>
            <w:vAlign w:val="center"/>
          </w:tcPr>
          <w:p>
            <w:pPr>
              <w:rPr>
                <w:color w:val="auto"/>
                <w:highlight w:val="none"/>
              </w:rPr>
            </w:pPr>
            <w:r>
              <w:rPr>
                <w:color w:val="auto"/>
                <w:highlight w:val="none"/>
              </w:rPr>
              <w:t>备注</w:t>
            </w:r>
          </w:p>
        </w:tc>
      </w:tr>
      <w:tr>
        <w:tblPrEx>
          <w:tblW w:w="8581" w:type="dxa"/>
          <w:jc w:val="center"/>
          <w:tblLayout w:type="fixed"/>
          <w:tblCellMar>
            <w:top w:w="0" w:type="dxa"/>
            <w:left w:w="28" w:type="dxa"/>
            <w:bottom w:w="0" w:type="dxa"/>
            <w:right w:w="28" w:type="dxa"/>
          </w:tblCellMar>
        </w:tblPrEx>
        <w:trPr>
          <w:trHeight w:val="567"/>
          <w:jc w:val="center"/>
        </w:trPr>
        <w:tc>
          <w:tcPr>
            <w:tcW w:w="627" w:type="dxa"/>
            <w:noWrap/>
            <w:vAlign w:val="center"/>
          </w:tcPr>
          <w:p>
            <w:pPr>
              <w:rPr>
                <w:color w:val="auto"/>
                <w:highlight w:val="none"/>
              </w:rPr>
            </w:pPr>
            <w:r>
              <w:rPr>
                <w:rFonts w:hint="eastAsia"/>
                <w:color w:val="auto"/>
                <w:highlight w:val="none"/>
              </w:rPr>
              <w:t>1</w:t>
            </w:r>
          </w:p>
        </w:tc>
        <w:tc>
          <w:tcPr>
            <w:tcW w:w="1516" w:type="dxa"/>
            <w:noWrap/>
            <w:vAlign w:val="center"/>
          </w:tcPr>
          <w:p>
            <w:pPr>
              <w:rPr>
                <w:color w:val="auto"/>
                <w:highlight w:val="none"/>
              </w:rPr>
            </w:pPr>
          </w:p>
        </w:tc>
        <w:tc>
          <w:tcPr>
            <w:tcW w:w="2116" w:type="dxa"/>
            <w:noWrap/>
            <w:vAlign w:val="center"/>
          </w:tcPr>
          <w:p>
            <w:pPr>
              <w:rPr>
                <w:color w:val="auto"/>
                <w:highlight w:val="none"/>
              </w:rPr>
            </w:pPr>
          </w:p>
        </w:tc>
        <w:tc>
          <w:tcPr>
            <w:tcW w:w="1684" w:type="dxa"/>
            <w:noWrap/>
            <w:vAlign w:val="center"/>
          </w:tcPr>
          <w:p>
            <w:pPr>
              <w:rPr>
                <w:color w:val="auto"/>
                <w:highlight w:val="none"/>
              </w:rPr>
            </w:pPr>
          </w:p>
        </w:tc>
        <w:tc>
          <w:tcPr>
            <w:tcW w:w="1879" w:type="dxa"/>
            <w:noWrap/>
            <w:vAlign w:val="center"/>
          </w:tcPr>
          <w:p>
            <w:pPr>
              <w:rPr>
                <w:color w:val="auto"/>
                <w:highlight w:val="none"/>
              </w:rPr>
            </w:pPr>
          </w:p>
        </w:tc>
        <w:tc>
          <w:tcPr>
            <w:tcW w:w="759" w:type="dxa"/>
            <w:noWrap/>
            <w:vAlign w:val="center"/>
          </w:tcPr>
          <w:p>
            <w:pPr>
              <w:rPr>
                <w:color w:val="auto"/>
                <w:highlight w:val="none"/>
              </w:rPr>
            </w:pPr>
          </w:p>
        </w:tc>
      </w:tr>
      <w:tr>
        <w:tblPrEx>
          <w:tblW w:w="8581" w:type="dxa"/>
          <w:jc w:val="center"/>
          <w:tblLayout w:type="fixed"/>
          <w:tblCellMar>
            <w:top w:w="0" w:type="dxa"/>
            <w:left w:w="28" w:type="dxa"/>
            <w:bottom w:w="0" w:type="dxa"/>
            <w:right w:w="28" w:type="dxa"/>
          </w:tblCellMar>
        </w:tblPrEx>
        <w:trPr>
          <w:trHeight w:val="567"/>
          <w:jc w:val="center"/>
        </w:trPr>
        <w:tc>
          <w:tcPr>
            <w:tcW w:w="627" w:type="dxa"/>
            <w:noWrap/>
            <w:vAlign w:val="center"/>
          </w:tcPr>
          <w:p>
            <w:pPr>
              <w:rPr>
                <w:color w:val="auto"/>
                <w:highlight w:val="none"/>
              </w:rPr>
            </w:pPr>
            <w:r>
              <w:rPr>
                <w:rFonts w:hint="eastAsia"/>
                <w:color w:val="auto"/>
                <w:highlight w:val="none"/>
              </w:rPr>
              <w:t>2</w:t>
            </w:r>
          </w:p>
        </w:tc>
        <w:tc>
          <w:tcPr>
            <w:tcW w:w="1516" w:type="dxa"/>
            <w:noWrap/>
            <w:vAlign w:val="center"/>
          </w:tcPr>
          <w:p>
            <w:pPr>
              <w:rPr>
                <w:color w:val="auto"/>
                <w:highlight w:val="none"/>
              </w:rPr>
            </w:pPr>
          </w:p>
        </w:tc>
        <w:tc>
          <w:tcPr>
            <w:tcW w:w="2116" w:type="dxa"/>
            <w:noWrap/>
            <w:vAlign w:val="center"/>
          </w:tcPr>
          <w:p>
            <w:pPr>
              <w:rPr>
                <w:color w:val="auto"/>
                <w:highlight w:val="none"/>
              </w:rPr>
            </w:pPr>
          </w:p>
        </w:tc>
        <w:tc>
          <w:tcPr>
            <w:tcW w:w="1684" w:type="dxa"/>
            <w:noWrap/>
            <w:vAlign w:val="center"/>
          </w:tcPr>
          <w:p>
            <w:pPr>
              <w:rPr>
                <w:color w:val="auto"/>
                <w:highlight w:val="none"/>
              </w:rPr>
            </w:pPr>
          </w:p>
        </w:tc>
        <w:tc>
          <w:tcPr>
            <w:tcW w:w="1879" w:type="dxa"/>
            <w:noWrap/>
            <w:vAlign w:val="center"/>
          </w:tcPr>
          <w:p>
            <w:pPr>
              <w:rPr>
                <w:color w:val="auto"/>
                <w:highlight w:val="none"/>
              </w:rPr>
            </w:pPr>
          </w:p>
        </w:tc>
        <w:tc>
          <w:tcPr>
            <w:tcW w:w="759" w:type="dxa"/>
            <w:noWrap/>
            <w:vAlign w:val="center"/>
          </w:tcPr>
          <w:p>
            <w:pPr>
              <w:rPr>
                <w:color w:val="auto"/>
                <w:highlight w:val="none"/>
              </w:rPr>
            </w:pPr>
          </w:p>
        </w:tc>
      </w:tr>
      <w:tr>
        <w:tblPrEx>
          <w:tblW w:w="8581" w:type="dxa"/>
          <w:jc w:val="center"/>
          <w:tblLayout w:type="fixed"/>
          <w:tblCellMar>
            <w:top w:w="0" w:type="dxa"/>
            <w:left w:w="28" w:type="dxa"/>
            <w:bottom w:w="0" w:type="dxa"/>
            <w:right w:w="28" w:type="dxa"/>
          </w:tblCellMar>
        </w:tblPrEx>
        <w:trPr>
          <w:trHeight w:val="567"/>
          <w:jc w:val="center"/>
        </w:trPr>
        <w:tc>
          <w:tcPr>
            <w:tcW w:w="627" w:type="dxa"/>
            <w:noWrap/>
            <w:vAlign w:val="center"/>
          </w:tcPr>
          <w:p>
            <w:pPr>
              <w:rPr>
                <w:color w:val="auto"/>
                <w:highlight w:val="none"/>
              </w:rPr>
            </w:pPr>
            <w:r>
              <w:rPr>
                <w:rFonts w:hint="eastAsia"/>
                <w:color w:val="auto"/>
                <w:highlight w:val="none"/>
              </w:rPr>
              <w:t>3</w:t>
            </w:r>
          </w:p>
        </w:tc>
        <w:tc>
          <w:tcPr>
            <w:tcW w:w="1516" w:type="dxa"/>
            <w:noWrap/>
            <w:vAlign w:val="center"/>
          </w:tcPr>
          <w:p>
            <w:pPr>
              <w:rPr>
                <w:color w:val="auto"/>
                <w:highlight w:val="none"/>
              </w:rPr>
            </w:pPr>
          </w:p>
        </w:tc>
        <w:tc>
          <w:tcPr>
            <w:tcW w:w="2116" w:type="dxa"/>
            <w:noWrap/>
            <w:vAlign w:val="center"/>
          </w:tcPr>
          <w:p>
            <w:pPr>
              <w:rPr>
                <w:color w:val="auto"/>
                <w:highlight w:val="none"/>
              </w:rPr>
            </w:pPr>
          </w:p>
        </w:tc>
        <w:tc>
          <w:tcPr>
            <w:tcW w:w="1684" w:type="dxa"/>
            <w:noWrap/>
            <w:vAlign w:val="center"/>
          </w:tcPr>
          <w:p>
            <w:pPr>
              <w:rPr>
                <w:color w:val="auto"/>
                <w:highlight w:val="none"/>
              </w:rPr>
            </w:pPr>
          </w:p>
        </w:tc>
        <w:tc>
          <w:tcPr>
            <w:tcW w:w="1879" w:type="dxa"/>
            <w:noWrap/>
            <w:vAlign w:val="center"/>
          </w:tcPr>
          <w:p>
            <w:pPr>
              <w:rPr>
                <w:color w:val="auto"/>
                <w:highlight w:val="none"/>
              </w:rPr>
            </w:pPr>
          </w:p>
        </w:tc>
        <w:tc>
          <w:tcPr>
            <w:tcW w:w="759" w:type="dxa"/>
            <w:noWrap/>
            <w:vAlign w:val="center"/>
          </w:tcPr>
          <w:p>
            <w:pPr>
              <w:rPr>
                <w:color w:val="auto"/>
                <w:highlight w:val="none"/>
              </w:rPr>
            </w:pPr>
          </w:p>
        </w:tc>
      </w:tr>
      <w:tr>
        <w:tblPrEx>
          <w:tblW w:w="8581" w:type="dxa"/>
          <w:jc w:val="center"/>
          <w:tblLayout w:type="fixed"/>
          <w:tblCellMar>
            <w:top w:w="0" w:type="dxa"/>
            <w:left w:w="28" w:type="dxa"/>
            <w:bottom w:w="0" w:type="dxa"/>
            <w:right w:w="28" w:type="dxa"/>
          </w:tblCellMar>
        </w:tblPrEx>
        <w:trPr>
          <w:trHeight w:val="567"/>
          <w:jc w:val="center"/>
        </w:trPr>
        <w:tc>
          <w:tcPr>
            <w:tcW w:w="627" w:type="dxa"/>
            <w:noWrap/>
            <w:vAlign w:val="center"/>
          </w:tcPr>
          <w:p>
            <w:pPr>
              <w:rPr>
                <w:color w:val="auto"/>
                <w:highlight w:val="none"/>
              </w:rPr>
            </w:pPr>
            <w:r>
              <w:rPr>
                <w:rFonts w:hint="eastAsia"/>
                <w:color w:val="auto"/>
                <w:highlight w:val="none"/>
              </w:rPr>
              <w:t>4</w:t>
            </w:r>
          </w:p>
        </w:tc>
        <w:tc>
          <w:tcPr>
            <w:tcW w:w="1516" w:type="dxa"/>
            <w:noWrap/>
            <w:vAlign w:val="center"/>
          </w:tcPr>
          <w:p>
            <w:pPr>
              <w:rPr>
                <w:color w:val="auto"/>
                <w:highlight w:val="none"/>
              </w:rPr>
            </w:pPr>
          </w:p>
        </w:tc>
        <w:tc>
          <w:tcPr>
            <w:tcW w:w="2116" w:type="dxa"/>
            <w:noWrap/>
            <w:vAlign w:val="center"/>
          </w:tcPr>
          <w:p>
            <w:pPr>
              <w:rPr>
                <w:color w:val="auto"/>
                <w:highlight w:val="none"/>
              </w:rPr>
            </w:pPr>
          </w:p>
        </w:tc>
        <w:tc>
          <w:tcPr>
            <w:tcW w:w="1684" w:type="dxa"/>
            <w:noWrap/>
            <w:vAlign w:val="center"/>
          </w:tcPr>
          <w:p>
            <w:pPr>
              <w:rPr>
                <w:color w:val="auto"/>
                <w:highlight w:val="none"/>
              </w:rPr>
            </w:pPr>
          </w:p>
        </w:tc>
        <w:tc>
          <w:tcPr>
            <w:tcW w:w="1879" w:type="dxa"/>
            <w:noWrap/>
            <w:vAlign w:val="center"/>
          </w:tcPr>
          <w:p>
            <w:pPr>
              <w:rPr>
                <w:color w:val="auto"/>
                <w:highlight w:val="none"/>
              </w:rPr>
            </w:pPr>
          </w:p>
        </w:tc>
        <w:tc>
          <w:tcPr>
            <w:tcW w:w="759" w:type="dxa"/>
            <w:noWrap/>
            <w:vAlign w:val="center"/>
          </w:tcPr>
          <w:p>
            <w:pPr>
              <w:rPr>
                <w:color w:val="auto"/>
                <w:highlight w:val="none"/>
              </w:rPr>
            </w:pPr>
          </w:p>
        </w:tc>
      </w:tr>
      <w:tr>
        <w:tblPrEx>
          <w:tblW w:w="8581" w:type="dxa"/>
          <w:jc w:val="center"/>
          <w:tblLayout w:type="fixed"/>
          <w:tblCellMar>
            <w:top w:w="0" w:type="dxa"/>
            <w:left w:w="28" w:type="dxa"/>
            <w:bottom w:w="0" w:type="dxa"/>
            <w:right w:w="28" w:type="dxa"/>
          </w:tblCellMar>
        </w:tblPrEx>
        <w:trPr>
          <w:trHeight w:val="567"/>
          <w:jc w:val="center"/>
        </w:trPr>
        <w:tc>
          <w:tcPr>
            <w:tcW w:w="627" w:type="dxa"/>
            <w:noWrap/>
            <w:vAlign w:val="center"/>
          </w:tcPr>
          <w:p>
            <w:pPr>
              <w:rPr>
                <w:color w:val="auto"/>
                <w:highlight w:val="none"/>
              </w:rPr>
            </w:pPr>
            <w:r>
              <w:rPr>
                <w:rFonts w:hint="eastAsia"/>
                <w:color w:val="auto"/>
                <w:highlight w:val="none"/>
              </w:rPr>
              <w:t>5</w:t>
            </w:r>
          </w:p>
        </w:tc>
        <w:tc>
          <w:tcPr>
            <w:tcW w:w="1516" w:type="dxa"/>
            <w:noWrap/>
            <w:vAlign w:val="center"/>
          </w:tcPr>
          <w:p>
            <w:pPr>
              <w:rPr>
                <w:color w:val="auto"/>
                <w:highlight w:val="none"/>
              </w:rPr>
            </w:pPr>
          </w:p>
        </w:tc>
        <w:tc>
          <w:tcPr>
            <w:tcW w:w="2116" w:type="dxa"/>
            <w:noWrap/>
            <w:vAlign w:val="center"/>
          </w:tcPr>
          <w:p>
            <w:pPr>
              <w:rPr>
                <w:color w:val="auto"/>
                <w:highlight w:val="none"/>
              </w:rPr>
            </w:pPr>
          </w:p>
        </w:tc>
        <w:tc>
          <w:tcPr>
            <w:tcW w:w="1684" w:type="dxa"/>
            <w:noWrap/>
            <w:vAlign w:val="center"/>
          </w:tcPr>
          <w:p>
            <w:pPr>
              <w:rPr>
                <w:color w:val="auto"/>
                <w:highlight w:val="none"/>
              </w:rPr>
            </w:pPr>
          </w:p>
        </w:tc>
        <w:tc>
          <w:tcPr>
            <w:tcW w:w="1879" w:type="dxa"/>
            <w:noWrap/>
            <w:vAlign w:val="center"/>
          </w:tcPr>
          <w:p>
            <w:pPr>
              <w:rPr>
                <w:color w:val="auto"/>
                <w:highlight w:val="none"/>
              </w:rPr>
            </w:pPr>
          </w:p>
        </w:tc>
        <w:tc>
          <w:tcPr>
            <w:tcW w:w="759" w:type="dxa"/>
            <w:noWrap/>
            <w:vAlign w:val="center"/>
          </w:tcPr>
          <w:p>
            <w:pPr>
              <w:rPr>
                <w:color w:val="auto"/>
                <w:highlight w:val="none"/>
              </w:rPr>
            </w:pPr>
          </w:p>
        </w:tc>
      </w:tr>
      <w:tr>
        <w:tblPrEx>
          <w:tblW w:w="8581" w:type="dxa"/>
          <w:jc w:val="center"/>
          <w:tblLayout w:type="fixed"/>
          <w:tblCellMar>
            <w:top w:w="0" w:type="dxa"/>
            <w:left w:w="28" w:type="dxa"/>
            <w:bottom w:w="0" w:type="dxa"/>
            <w:right w:w="28" w:type="dxa"/>
          </w:tblCellMar>
        </w:tblPrEx>
        <w:trPr>
          <w:trHeight w:val="567"/>
          <w:jc w:val="center"/>
        </w:trPr>
        <w:tc>
          <w:tcPr>
            <w:tcW w:w="627" w:type="dxa"/>
            <w:noWrap/>
            <w:vAlign w:val="center"/>
          </w:tcPr>
          <w:p>
            <w:pPr>
              <w:rPr>
                <w:color w:val="auto"/>
                <w:highlight w:val="none"/>
              </w:rPr>
            </w:pPr>
            <w:r>
              <w:rPr>
                <w:color w:val="auto"/>
                <w:highlight w:val="none"/>
              </w:rPr>
              <w:t>……</w:t>
            </w:r>
          </w:p>
        </w:tc>
        <w:tc>
          <w:tcPr>
            <w:tcW w:w="1516" w:type="dxa"/>
            <w:noWrap/>
            <w:vAlign w:val="center"/>
          </w:tcPr>
          <w:p>
            <w:pPr>
              <w:rPr>
                <w:color w:val="auto"/>
                <w:highlight w:val="none"/>
              </w:rPr>
            </w:pPr>
          </w:p>
        </w:tc>
        <w:tc>
          <w:tcPr>
            <w:tcW w:w="2116" w:type="dxa"/>
            <w:noWrap/>
            <w:vAlign w:val="center"/>
          </w:tcPr>
          <w:p>
            <w:pPr>
              <w:rPr>
                <w:color w:val="auto"/>
                <w:highlight w:val="none"/>
              </w:rPr>
            </w:pPr>
          </w:p>
        </w:tc>
        <w:tc>
          <w:tcPr>
            <w:tcW w:w="1684" w:type="dxa"/>
            <w:noWrap/>
            <w:vAlign w:val="center"/>
          </w:tcPr>
          <w:p>
            <w:pPr>
              <w:rPr>
                <w:color w:val="auto"/>
                <w:highlight w:val="none"/>
              </w:rPr>
            </w:pPr>
          </w:p>
        </w:tc>
        <w:tc>
          <w:tcPr>
            <w:tcW w:w="1879" w:type="dxa"/>
            <w:noWrap/>
            <w:vAlign w:val="center"/>
          </w:tcPr>
          <w:p>
            <w:pPr>
              <w:rPr>
                <w:color w:val="auto"/>
                <w:highlight w:val="none"/>
              </w:rPr>
            </w:pPr>
          </w:p>
        </w:tc>
        <w:tc>
          <w:tcPr>
            <w:tcW w:w="759" w:type="dxa"/>
            <w:noWrap/>
            <w:vAlign w:val="center"/>
          </w:tcPr>
          <w:p>
            <w:pPr>
              <w:rPr>
                <w:color w:val="auto"/>
                <w:highlight w:val="none"/>
              </w:rPr>
            </w:pPr>
          </w:p>
        </w:tc>
      </w:tr>
    </w:tbl>
    <w:p>
      <w:pPr>
        <w:jc w:val="left"/>
        <w:rPr>
          <w:color w:val="auto"/>
          <w:highlight w:val="none"/>
        </w:rPr>
      </w:pPr>
      <w:r>
        <w:rPr>
          <w:rFonts w:hint="eastAsia"/>
          <w:color w:val="auto"/>
          <w:highlight w:val="none"/>
        </w:rPr>
        <w:t>特别说明：</w:t>
      </w:r>
    </w:p>
    <w:p>
      <w:pPr>
        <w:ind w:firstLine="420" w:firstLineChars="200"/>
        <w:jc w:val="left"/>
        <w:rPr>
          <w:color w:val="auto"/>
          <w:highlight w:val="none"/>
        </w:rPr>
      </w:pPr>
      <w:r>
        <w:rPr>
          <w:rFonts w:hint="eastAsia"/>
          <w:color w:val="auto"/>
          <w:highlight w:val="none"/>
        </w:rPr>
        <w:t>1.投标人应按招标文件《第六章　项目采购需求》中的</w:t>
      </w:r>
      <w:r>
        <w:rPr>
          <w:rFonts w:hint="eastAsia"/>
          <w:color w:val="auto"/>
          <w:highlight w:val="none"/>
          <w:lang w:eastAsia="zh-CN"/>
        </w:rPr>
        <w:t>“</w:t>
      </w:r>
      <w:r>
        <w:rPr>
          <w:rFonts w:hint="eastAsia"/>
          <w:color w:val="auto"/>
          <w:highlight w:val="none"/>
        </w:rPr>
        <w:t>技术要求</w:t>
      </w:r>
      <w:r>
        <w:rPr>
          <w:rFonts w:hint="eastAsia"/>
          <w:color w:val="auto"/>
          <w:highlight w:val="none"/>
          <w:lang w:eastAsia="zh-CN"/>
        </w:rPr>
        <w:t>”</w:t>
      </w:r>
      <w:r>
        <w:rPr>
          <w:rFonts w:hint="eastAsia"/>
          <w:color w:val="auto"/>
          <w:highlight w:val="none"/>
        </w:rPr>
        <w:t>，结合自身投标情况对技术条款逐条响应，未逐条响应的视为投标无效。</w:t>
      </w:r>
    </w:p>
    <w:p>
      <w:pPr>
        <w:ind w:firstLine="420" w:firstLineChars="200"/>
        <w:jc w:val="left"/>
        <w:rPr>
          <w:color w:val="auto"/>
          <w:highlight w:val="none"/>
        </w:rPr>
      </w:pPr>
      <w:r>
        <w:rPr>
          <w:rFonts w:hint="eastAsia"/>
          <w:color w:val="auto"/>
          <w:highlight w:val="none"/>
        </w:rPr>
        <w:t>2.投标文件响应的技术内容完全响应招标文件要求的，投标人应注明“无偏离”；不满足或不响应招标文件要求的，应注明“负偏离”；优于招标文件要求的，应注明“正偏离”。</w:t>
      </w:r>
    </w:p>
    <w:p>
      <w:pPr>
        <w:ind w:firstLine="420" w:firstLineChars="200"/>
        <w:jc w:val="left"/>
        <w:rPr>
          <w:color w:val="auto"/>
          <w:highlight w:val="none"/>
        </w:rPr>
      </w:pPr>
      <w:r>
        <w:rPr>
          <w:rFonts w:hint="eastAsia"/>
          <w:color w:val="auto"/>
          <w:highlight w:val="none"/>
        </w:rPr>
        <w:t>3.本表可扩展。</w:t>
      </w:r>
    </w:p>
    <w:p>
      <w:pPr>
        <w:jc w:val="left"/>
        <w:rPr>
          <w:color w:val="auto"/>
          <w:highlight w:val="none"/>
        </w:rPr>
      </w:pPr>
    </w:p>
    <w:p>
      <w:pPr>
        <w:pStyle w:val="NormalIndent1"/>
        <w:spacing w:after="156"/>
        <w:jc w:val="left"/>
        <w:rPr>
          <w:color w:val="auto"/>
          <w:sz w:val="21"/>
          <w:szCs w:val="21"/>
          <w:highlight w:val="none"/>
        </w:rPr>
      </w:pPr>
    </w:p>
    <w:p>
      <w:pPr>
        <w:jc w:val="left"/>
        <w:rPr>
          <w:rFonts w:cs="宋体"/>
          <w:color w:val="auto"/>
          <w:highlight w:val="none"/>
        </w:rPr>
      </w:pPr>
      <w:r>
        <w:rPr>
          <w:rFonts w:cs="宋体" w:hint="eastAsia"/>
          <w:color w:val="auto"/>
          <w:highlight w:val="none"/>
        </w:rPr>
        <w:t>投标人</w:t>
      </w:r>
      <w:r>
        <w:rPr>
          <w:color w:val="auto"/>
          <w:highlight w:val="none"/>
        </w:rPr>
        <w:t>（全称并加盖公章</w:t>
      </w:r>
      <w:r>
        <w:rPr>
          <w:rFonts w:cs="宋体" w:hint="eastAsia"/>
          <w:color w:val="auto"/>
          <w:highlight w:val="none"/>
        </w:rPr>
        <w:t>）：</w:t>
      </w:r>
    </w:p>
    <w:p>
      <w:pPr>
        <w:jc w:val="left"/>
        <w:rPr>
          <w:rFonts w:cs="宋体"/>
          <w:color w:val="auto"/>
          <w:highlight w:val="none"/>
        </w:rPr>
      </w:pPr>
      <w:r>
        <w:rPr>
          <w:rFonts w:hint="eastAsia"/>
          <w:color w:val="auto"/>
          <w:highlight w:val="none"/>
        </w:rPr>
        <w:t>投标人代表（签字）</w:t>
      </w:r>
      <w:r>
        <w:rPr>
          <w:rFonts w:cs="宋体" w:hint="eastAsia"/>
          <w:color w:val="auto"/>
          <w:highlight w:val="none"/>
        </w:rPr>
        <w:t>：</w:t>
      </w:r>
    </w:p>
    <w:p>
      <w:pPr>
        <w:jc w:val="left"/>
        <w:rPr>
          <w:color w:val="auto"/>
          <w:highlight w:val="none"/>
        </w:rPr>
      </w:pPr>
      <w:r>
        <w:rPr>
          <w:rFonts w:hint="eastAsia"/>
          <w:color w:val="auto"/>
          <w:highlight w:val="none"/>
        </w:rPr>
        <w:t>日期：</w:t>
      </w:r>
    </w:p>
    <w:p>
      <w:pPr>
        <w:jc w:val="center"/>
        <w:rPr>
          <w:rFonts w:asciiTheme="minorEastAsia" w:eastAsiaTheme="minorEastAsia" w:hAnsiTheme="minorEastAsia" w:cstheme="minorEastAsia" w:hint="eastAsia"/>
          <w:b/>
          <w:bCs w:val="0"/>
          <w:color w:val="auto"/>
          <w:sz w:val="28"/>
          <w:szCs w:val="28"/>
          <w:highlight w:val="none"/>
          <w:lang w:val="en-US" w:eastAsia="zh-CN" w:bidi="ar-SA"/>
        </w:rPr>
      </w:pPr>
      <w:r>
        <w:rPr>
          <w:rFonts w:hAnsi="宋体" w:cs="宋体" w:hint="eastAsia"/>
          <w:color w:val="auto"/>
          <w:sz w:val="24"/>
          <w:highlight w:val="none"/>
        </w:rPr>
        <w:br w:type="page"/>
      </w:r>
      <w:r>
        <w:rPr>
          <w:rFonts w:asciiTheme="minorEastAsia" w:eastAsiaTheme="minorEastAsia" w:hAnsiTheme="minorEastAsia" w:cstheme="minorEastAsia" w:hint="eastAsia"/>
          <w:b/>
          <w:bCs w:val="0"/>
          <w:color w:val="auto"/>
          <w:sz w:val="28"/>
          <w:szCs w:val="28"/>
          <w:highlight w:val="none"/>
          <w:lang w:val="en-US" w:eastAsia="zh-CN" w:bidi="ar-SA"/>
        </w:rPr>
        <w:t>格式16  服务方案、实施方案及技术方案</w:t>
      </w:r>
    </w:p>
    <w:p>
      <w:pPr>
        <w:rPr>
          <w:color w:val="auto"/>
          <w:highlight w:val="none"/>
        </w:rPr>
      </w:pPr>
    </w:p>
    <w:p>
      <w:pPr>
        <w:jc w:val="center"/>
        <w:rPr>
          <w:rFonts w:asciiTheme="minorEastAsia" w:eastAsiaTheme="minorEastAsia" w:hAnsiTheme="minorEastAsia" w:cstheme="minorEastAsia" w:hint="eastAsia"/>
          <w:b/>
          <w:bCs w:val="0"/>
          <w:color w:val="auto"/>
          <w:sz w:val="28"/>
          <w:szCs w:val="28"/>
          <w:highlight w:val="none"/>
          <w:lang w:val="en-US" w:eastAsia="zh-CN" w:bidi="ar-SA"/>
        </w:rPr>
      </w:pPr>
      <w:r>
        <w:rPr>
          <w:rFonts w:asciiTheme="minorEastAsia" w:eastAsiaTheme="minorEastAsia" w:hAnsiTheme="minorEastAsia" w:cstheme="minorEastAsia" w:hint="eastAsia"/>
          <w:b/>
          <w:bCs w:val="0"/>
          <w:color w:val="auto"/>
          <w:sz w:val="28"/>
          <w:szCs w:val="28"/>
          <w:highlight w:val="none"/>
          <w:lang w:val="en-US" w:eastAsia="zh-CN" w:bidi="ar-SA"/>
        </w:rPr>
        <w:t>服务方案说明</w:t>
      </w:r>
    </w:p>
    <w:p>
      <w:pPr>
        <w:jc w:val="left"/>
        <w:rPr>
          <w:color w:val="auto"/>
          <w:highlight w:val="none"/>
        </w:rPr>
      </w:pPr>
      <w:r>
        <w:rPr>
          <w:rFonts w:hint="eastAsia"/>
          <w:color w:val="auto"/>
          <w:highlight w:val="none"/>
        </w:rPr>
        <w:t>服务类项目供应商应根据第六章规定编写服务方案说明。服务方案说明包括但不限于：</w:t>
      </w:r>
    </w:p>
    <w:p>
      <w:pPr>
        <w:jc w:val="left"/>
        <w:rPr>
          <w:color w:val="auto"/>
          <w:highlight w:val="none"/>
        </w:rPr>
      </w:pPr>
      <w:r>
        <w:rPr>
          <w:rFonts w:hint="eastAsia"/>
          <w:color w:val="auto"/>
          <w:highlight w:val="none"/>
        </w:rPr>
        <w:t>(1)服务目标、范围和任务；</w:t>
      </w:r>
    </w:p>
    <w:p>
      <w:pPr>
        <w:jc w:val="left"/>
        <w:rPr>
          <w:color w:val="auto"/>
          <w:highlight w:val="none"/>
        </w:rPr>
      </w:pPr>
      <w:r>
        <w:rPr>
          <w:rFonts w:hint="eastAsia"/>
          <w:color w:val="auto"/>
          <w:highlight w:val="none"/>
        </w:rPr>
        <w:t>(2)服务方案；</w:t>
      </w:r>
    </w:p>
    <w:p>
      <w:pPr>
        <w:jc w:val="left"/>
        <w:rPr>
          <w:color w:val="auto"/>
          <w:highlight w:val="none"/>
        </w:rPr>
      </w:pPr>
      <w:r>
        <w:rPr>
          <w:rFonts w:hint="eastAsia"/>
          <w:color w:val="auto"/>
          <w:highlight w:val="none"/>
        </w:rPr>
        <w:t>(3)服务团队组织安排计划；</w:t>
      </w:r>
    </w:p>
    <w:p>
      <w:pPr>
        <w:jc w:val="left"/>
        <w:rPr>
          <w:color w:val="auto"/>
          <w:highlight w:val="none"/>
        </w:rPr>
      </w:pPr>
      <w:r>
        <w:rPr>
          <w:rFonts w:hint="eastAsia"/>
          <w:color w:val="auto"/>
          <w:highlight w:val="none"/>
        </w:rPr>
        <w:t>(4)工作流程；</w:t>
      </w:r>
    </w:p>
    <w:p>
      <w:pPr>
        <w:jc w:val="left"/>
        <w:rPr>
          <w:color w:val="auto"/>
          <w:highlight w:val="none"/>
        </w:rPr>
      </w:pPr>
      <w:r>
        <w:rPr>
          <w:rFonts w:hint="eastAsia"/>
          <w:color w:val="auto"/>
          <w:highlight w:val="none"/>
        </w:rPr>
        <w:t>(5)进度计划及保证措施；</w:t>
      </w:r>
    </w:p>
    <w:p>
      <w:pPr>
        <w:jc w:val="left"/>
        <w:rPr>
          <w:color w:val="auto"/>
          <w:highlight w:val="none"/>
        </w:rPr>
      </w:pPr>
      <w:r>
        <w:rPr>
          <w:rFonts w:hint="eastAsia"/>
          <w:color w:val="auto"/>
          <w:highlight w:val="none"/>
        </w:rPr>
        <w:t>(6)质量保证措施；</w:t>
      </w:r>
    </w:p>
    <w:p>
      <w:pPr>
        <w:jc w:val="left"/>
        <w:rPr>
          <w:color w:val="auto"/>
          <w:highlight w:val="none"/>
        </w:rPr>
      </w:pPr>
      <w:r>
        <w:rPr>
          <w:rFonts w:hint="eastAsia"/>
          <w:color w:val="auto"/>
          <w:highlight w:val="none"/>
        </w:rPr>
        <w:t>(7)合理化建议；</w:t>
      </w:r>
    </w:p>
    <w:p>
      <w:pPr>
        <w:jc w:val="left"/>
        <w:rPr>
          <w:color w:val="auto"/>
          <w:highlight w:val="none"/>
        </w:rPr>
      </w:pPr>
      <w:r>
        <w:rPr>
          <w:rFonts w:hint="eastAsia"/>
          <w:color w:val="auto"/>
          <w:highlight w:val="none"/>
        </w:rPr>
        <w:t>(8)其他。</w:t>
      </w:r>
    </w:p>
    <w:p>
      <w:pPr>
        <w:jc w:val="left"/>
        <w:rPr>
          <w:color w:val="auto"/>
          <w:highlight w:val="none"/>
        </w:rPr>
      </w:pPr>
    </w:p>
    <w:p>
      <w:pPr>
        <w:jc w:val="center"/>
        <w:rPr>
          <w:rFonts w:asciiTheme="minorEastAsia" w:eastAsiaTheme="minorEastAsia" w:hAnsiTheme="minorEastAsia" w:cstheme="minorEastAsia" w:hint="eastAsia"/>
          <w:b/>
          <w:bCs w:val="0"/>
          <w:color w:val="auto"/>
          <w:sz w:val="28"/>
          <w:szCs w:val="28"/>
          <w:highlight w:val="none"/>
          <w:lang w:val="en-US" w:eastAsia="zh-CN" w:bidi="ar-SA"/>
        </w:rPr>
      </w:pPr>
      <w:r>
        <w:rPr>
          <w:rFonts w:asciiTheme="minorEastAsia" w:eastAsiaTheme="minorEastAsia" w:hAnsiTheme="minorEastAsia" w:cstheme="minorEastAsia" w:hint="eastAsia"/>
          <w:b/>
          <w:bCs w:val="0"/>
          <w:color w:val="auto"/>
          <w:sz w:val="28"/>
          <w:szCs w:val="28"/>
          <w:highlight w:val="none"/>
          <w:lang w:val="en-US" w:eastAsia="zh-CN" w:bidi="ar-SA"/>
        </w:rPr>
        <w:t>实施方案</w:t>
      </w:r>
    </w:p>
    <w:p>
      <w:pPr>
        <w:jc w:val="left"/>
        <w:rPr>
          <w:color w:val="auto"/>
          <w:highlight w:val="none"/>
        </w:rPr>
      </w:pPr>
      <w:r>
        <w:rPr>
          <w:rFonts w:hint="eastAsia"/>
          <w:color w:val="auto"/>
          <w:highlight w:val="none"/>
        </w:rPr>
        <w:t>(示例略)</w:t>
      </w:r>
    </w:p>
    <w:p>
      <w:pPr>
        <w:jc w:val="left"/>
        <w:rPr>
          <w:color w:val="auto"/>
          <w:highlight w:val="none"/>
        </w:rPr>
      </w:pPr>
    </w:p>
    <w:p>
      <w:pPr>
        <w:jc w:val="left"/>
        <w:rPr>
          <w:color w:val="auto"/>
          <w:highlight w:val="none"/>
        </w:rPr>
      </w:pPr>
    </w:p>
    <w:p>
      <w:pPr>
        <w:jc w:val="center"/>
        <w:rPr>
          <w:rFonts w:asciiTheme="minorEastAsia" w:eastAsiaTheme="minorEastAsia" w:hAnsiTheme="minorEastAsia" w:cstheme="minorEastAsia" w:hint="eastAsia"/>
          <w:b/>
          <w:bCs w:val="0"/>
          <w:color w:val="auto"/>
          <w:sz w:val="28"/>
          <w:szCs w:val="28"/>
          <w:highlight w:val="none"/>
          <w:lang w:val="en-US" w:eastAsia="zh-CN" w:bidi="ar-SA"/>
        </w:rPr>
      </w:pPr>
      <w:r>
        <w:rPr>
          <w:rFonts w:asciiTheme="minorEastAsia" w:eastAsiaTheme="minorEastAsia" w:hAnsiTheme="minorEastAsia" w:cstheme="minorEastAsia" w:hint="eastAsia"/>
          <w:b/>
          <w:bCs w:val="0"/>
          <w:color w:val="auto"/>
          <w:sz w:val="28"/>
          <w:szCs w:val="28"/>
          <w:highlight w:val="none"/>
          <w:lang w:val="en-US" w:eastAsia="zh-CN" w:bidi="ar-SA"/>
        </w:rPr>
        <w:t>技术方案</w:t>
      </w:r>
    </w:p>
    <w:p>
      <w:pPr>
        <w:jc w:val="left"/>
        <w:rPr>
          <w:color w:val="auto"/>
          <w:highlight w:val="none"/>
        </w:rPr>
      </w:pPr>
      <w:r>
        <w:rPr>
          <w:rFonts w:hint="eastAsia"/>
          <w:color w:val="auto"/>
          <w:highlight w:val="none"/>
        </w:rPr>
        <w:t>(示例略)</w:t>
      </w:r>
    </w:p>
    <w:p>
      <w:pPr>
        <w:rPr>
          <w:color w:val="auto"/>
          <w:highlight w:val="none"/>
        </w:rPr>
      </w:pPr>
    </w:p>
    <w:p>
      <w:pPr>
        <w:rPr>
          <w:color w:val="auto"/>
          <w:highlight w:val="none"/>
        </w:rPr>
      </w:pPr>
    </w:p>
    <w:p>
      <w:pPr>
        <w:pStyle w:val="BodyText"/>
        <w:rPr>
          <w:color w:val="auto"/>
          <w:highlight w:val="none"/>
        </w:rPr>
      </w:pPr>
    </w:p>
    <w:p>
      <w:pPr>
        <w:rPr>
          <w:color w:val="auto"/>
          <w:highlight w:val="none"/>
        </w:rPr>
      </w:pPr>
    </w:p>
    <w:p>
      <w:pPr>
        <w:rPr>
          <w:color w:val="auto"/>
          <w:highlight w:val="none"/>
        </w:rPr>
      </w:pPr>
    </w:p>
    <w:p>
      <w:pPr>
        <w:rPr>
          <w:color w:val="auto"/>
          <w:highlight w:val="none"/>
        </w:rPr>
      </w:pPr>
    </w:p>
    <w:p>
      <w:pPr>
        <w:pStyle w:val="5"/>
        <w:rPr>
          <w:color w:val="auto"/>
          <w:highlight w:val="none"/>
        </w:rPr>
      </w:pPr>
    </w:p>
    <w:p>
      <w:pPr>
        <w:pStyle w:val="a"/>
        <w:rPr>
          <w:rFonts w:ascii="宋体" w:hAnsi="宋体" w:cs="宋体"/>
          <w:b/>
          <w:bCs/>
          <w:color w:val="auto"/>
          <w:sz w:val="28"/>
          <w:szCs w:val="28"/>
          <w:highlight w:val="none"/>
        </w:rPr>
      </w:pPr>
    </w:p>
    <w:p>
      <w:pPr>
        <w:pStyle w:val="a"/>
        <w:rPr>
          <w:rFonts w:ascii="宋体" w:hAnsi="宋体" w:cs="宋体"/>
          <w:b/>
          <w:bCs/>
          <w:color w:val="auto"/>
          <w:sz w:val="28"/>
          <w:szCs w:val="28"/>
          <w:highlight w:val="none"/>
        </w:rPr>
      </w:pPr>
    </w:p>
    <w:p>
      <w:pPr>
        <w:pStyle w:val="a"/>
        <w:rPr>
          <w:rFonts w:ascii="宋体" w:hAnsi="宋体" w:cs="宋体"/>
          <w:b/>
          <w:bCs/>
          <w:color w:val="auto"/>
          <w:sz w:val="28"/>
          <w:szCs w:val="28"/>
          <w:highlight w:val="none"/>
        </w:rPr>
      </w:pPr>
    </w:p>
    <w:p>
      <w:pPr>
        <w:pStyle w:val="a"/>
        <w:rPr>
          <w:rFonts w:ascii="宋体" w:hAnsi="宋体" w:cs="宋体"/>
          <w:b/>
          <w:bCs/>
          <w:color w:val="auto"/>
          <w:sz w:val="28"/>
          <w:szCs w:val="28"/>
          <w:highlight w:val="none"/>
        </w:rPr>
      </w:pPr>
    </w:p>
    <w:p>
      <w:pPr>
        <w:jc w:val="center"/>
        <w:rPr>
          <w:rFonts w:asciiTheme="minorEastAsia" w:eastAsiaTheme="minorEastAsia" w:hAnsiTheme="minorEastAsia" w:cstheme="minorEastAsia" w:hint="eastAsia"/>
          <w:b/>
          <w:bCs w:val="0"/>
          <w:color w:val="auto"/>
          <w:sz w:val="28"/>
          <w:szCs w:val="28"/>
          <w:highlight w:val="none"/>
          <w:lang w:val="en-US" w:eastAsia="zh-CN" w:bidi="ar-SA"/>
        </w:rPr>
      </w:pPr>
      <w:r>
        <w:rPr>
          <w:rFonts w:asciiTheme="minorEastAsia" w:eastAsiaTheme="minorEastAsia" w:hAnsiTheme="minorEastAsia" w:cstheme="minorEastAsia" w:hint="eastAsia"/>
          <w:b/>
          <w:bCs w:val="0"/>
          <w:color w:val="auto"/>
          <w:sz w:val="28"/>
          <w:szCs w:val="28"/>
          <w:highlight w:val="none"/>
          <w:lang w:val="en-US" w:eastAsia="zh-CN" w:bidi="ar-SA"/>
        </w:rPr>
        <w:t>格式</w:t>
      </w:r>
      <w:r>
        <w:rPr>
          <w:rFonts w:asciiTheme="minorEastAsia" w:eastAsiaTheme="minorEastAsia" w:hAnsiTheme="minorEastAsia" w:cstheme="minorEastAsia" w:hint="eastAsia"/>
          <w:b/>
          <w:bCs w:val="0"/>
          <w:color w:val="auto"/>
          <w:sz w:val="28"/>
          <w:szCs w:val="28"/>
          <w:highlight w:val="none"/>
          <w:lang w:val="en-US" w:eastAsia="zh-CN" w:bidi="ar-SA"/>
        </w:rPr>
        <w:t>17  技术力量一览表</w:t>
      </w:r>
    </w:p>
    <w:tbl>
      <w:tblPr>
        <w:tblStyle w:val="TableNormal"/>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W w:w="89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59"/>
        </w:trPr>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序号</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姓 名</w:t>
            </w: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技术职称</w:t>
            </w: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人员级别</w:t>
            </w: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工作年限</w:t>
            </w: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本项目中担任职务</w:t>
            </w: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color w:val="auto"/>
                <w:highlight w:val="none"/>
              </w:rPr>
              <w:t>认证情况</w:t>
            </w:r>
          </w:p>
        </w:tc>
      </w:tr>
      <w:tr>
        <w:tblPrEx>
          <w:tblW w:w="8960" w:type="dxa"/>
          <w:tblInd w:w="0" w:type="dxa"/>
          <w:tblLayout w:type="fixed"/>
          <w:tblCellMar>
            <w:top w:w="0" w:type="dxa"/>
            <w:left w:w="108" w:type="dxa"/>
            <w:bottom w:w="0" w:type="dxa"/>
            <w:right w:w="108" w:type="dxa"/>
          </w:tblCellMar>
        </w:tblPrEx>
        <w:trPr>
          <w:trHeight w:val="90"/>
        </w:trPr>
        <w:tc>
          <w:tcPr>
            <w:tcW w:w="8960" w:type="dxa"/>
            <w:gridSpan w:val="7"/>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项目管理人员</w:t>
            </w:r>
          </w:p>
          <w:p>
            <w:pPr>
              <w:rPr>
                <w:color w:val="auto"/>
                <w:highlight w:val="none"/>
              </w:rPr>
            </w:pPr>
            <w:r>
              <w:rPr>
                <w:rFonts w:hint="eastAsia"/>
                <w:color w:val="auto"/>
                <w:highlight w:val="none"/>
              </w:rPr>
              <w:t>（一）XX人员</w:t>
            </w:r>
          </w:p>
        </w:tc>
      </w:tr>
      <w:tr>
        <w:tblPrEx>
          <w:tblW w:w="8960" w:type="dxa"/>
          <w:tblInd w:w="0" w:type="dxa"/>
          <w:tblLayout w:type="fixed"/>
          <w:tblCellMar>
            <w:top w:w="0" w:type="dxa"/>
            <w:left w:w="108" w:type="dxa"/>
            <w:bottom w:w="0" w:type="dxa"/>
            <w:right w:w="108" w:type="dxa"/>
          </w:tblCellMar>
        </w:tblPrEx>
        <w:trPr>
          <w:trHeight w:val="90"/>
        </w:trPr>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（二）XX人员</w:t>
            </w: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二、XX人员</w:t>
            </w: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1</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2</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794"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w:t>
            </w:r>
          </w:p>
        </w:tc>
        <w:tc>
          <w:tcPr>
            <w:tcW w:w="135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7"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189"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75"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243"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c>
          <w:tcPr>
            <w:tcW w:w="1916" w:type="dxa"/>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8960" w:type="dxa"/>
            <w:gridSpan w:val="7"/>
            <w:tcBorders>
              <w:top w:val="single" w:sz="4" w:space="0" w:color="auto"/>
              <w:left w:val="single" w:sz="4" w:space="0" w:color="auto"/>
              <w:bottom w:val="single" w:sz="4" w:space="0" w:color="auto"/>
              <w:right w:val="single" w:sz="4" w:space="0" w:color="auto"/>
            </w:tcBorders>
            <w:noWrap/>
            <w:vAlign w:val="center"/>
          </w:tcPr>
          <w:p>
            <w:pPr>
              <w:rPr>
                <w:color w:val="auto"/>
                <w:highlight w:val="none"/>
              </w:rPr>
            </w:pPr>
            <w:r>
              <w:rPr>
                <w:rFonts w:hint="eastAsia"/>
                <w:color w:val="auto"/>
                <w:highlight w:val="none"/>
              </w:rPr>
              <w:t>三、XX人员</w:t>
            </w:r>
          </w:p>
        </w:tc>
      </w:tr>
      <w:tr>
        <w:tblPrEx>
          <w:tblW w:w="8960" w:type="dxa"/>
          <w:tblInd w:w="0" w:type="dxa"/>
          <w:tblLayout w:type="fixed"/>
          <w:tblCellMar>
            <w:top w:w="0" w:type="dxa"/>
            <w:left w:w="108" w:type="dxa"/>
            <w:bottom w:w="0" w:type="dxa"/>
            <w:right w:w="108" w:type="dxa"/>
          </w:tblCellMar>
        </w:tblPrEx>
        <w:tc>
          <w:tcPr>
            <w:tcW w:w="794" w:type="dxa"/>
            <w:vAlign w:val="center"/>
          </w:tcPr>
          <w:p>
            <w:pPr>
              <w:rPr>
                <w:color w:val="auto"/>
                <w:highlight w:val="none"/>
              </w:rPr>
            </w:pPr>
            <w:r>
              <w:rPr>
                <w:rFonts w:hint="eastAsia"/>
                <w:color w:val="auto"/>
                <w:highlight w:val="none"/>
              </w:rPr>
              <w:t>1</w:t>
            </w:r>
          </w:p>
        </w:tc>
        <w:tc>
          <w:tcPr>
            <w:tcW w:w="1356" w:type="dxa"/>
            <w:vAlign w:val="center"/>
          </w:tcPr>
          <w:p>
            <w:pPr>
              <w:rPr>
                <w:color w:val="auto"/>
                <w:highlight w:val="none"/>
              </w:rPr>
            </w:pPr>
          </w:p>
        </w:tc>
        <w:tc>
          <w:tcPr>
            <w:tcW w:w="1187" w:type="dxa"/>
            <w:vAlign w:val="center"/>
          </w:tcPr>
          <w:p>
            <w:pPr>
              <w:rPr>
                <w:color w:val="auto"/>
                <w:highlight w:val="none"/>
              </w:rPr>
            </w:pPr>
          </w:p>
        </w:tc>
        <w:tc>
          <w:tcPr>
            <w:tcW w:w="1189" w:type="dxa"/>
            <w:vAlign w:val="center"/>
          </w:tcPr>
          <w:p>
            <w:pPr>
              <w:rPr>
                <w:color w:val="auto"/>
                <w:highlight w:val="none"/>
              </w:rPr>
            </w:pPr>
          </w:p>
        </w:tc>
        <w:tc>
          <w:tcPr>
            <w:tcW w:w="1275" w:type="dxa"/>
            <w:vAlign w:val="center"/>
          </w:tcPr>
          <w:p>
            <w:pPr>
              <w:rPr>
                <w:color w:val="auto"/>
                <w:highlight w:val="none"/>
              </w:rPr>
            </w:pPr>
          </w:p>
        </w:tc>
        <w:tc>
          <w:tcPr>
            <w:tcW w:w="1243" w:type="dxa"/>
            <w:vAlign w:val="center"/>
          </w:tcPr>
          <w:p>
            <w:pPr>
              <w:rPr>
                <w:color w:val="auto"/>
                <w:highlight w:val="none"/>
              </w:rPr>
            </w:pPr>
          </w:p>
        </w:tc>
        <w:tc>
          <w:tcPr>
            <w:tcW w:w="1916" w:type="dxa"/>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794" w:type="dxa"/>
            <w:vAlign w:val="center"/>
          </w:tcPr>
          <w:p>
            <w:pPr>
              <w:rPr>
                <w:color w:val="auto"/>
                <w:highlight w:val="none"/>
              </w:rPr>
            </w:pPr>
            <w:r>
              <w:rPr>
                <w:rFonts w:hint="eastAsia"/>
                <w:color w:val="auto"/>
                <w:highlight w:val="none"/>
              </w:rPr>
              <w:t>2</w:t>
            </w:r>
          </w:p>
        </w:tc>
        <w:tc>
          <w:tcPr>
            <w:tcW w:w="1356" w:type="dxa"/>
            <w:vAlign w:val="center"/>
          </w:tcPr>
          <w:p>
            <w:pPr>
              <w:rPr>
                <w:color w:val="auto"/>
                <w:highlight w:val="none"/>
              </w:rPr>
            </w:pPr>
          </w:p>
        </w:tc>
        <w:tc>
          <w:tcPr>
            <w:tcW w:w="1187" w:type="dxa"/>
            <w:vAlign w:val="center"/>
          </w:tcPr>
          <w:p>
            <w:pPr>
              <w:rPr>
                <w:color w:val="auto"/>
                <w:highlight w:val="none"/>
              </w:rPr>
            </w:pPr>
          </w:p>
        </w:tc>
        <w:tc>
          <w:tcPr>
            <w:tcW w:w="1189" w:type="dxa"/>
            <w:vAlign w:val="center"/>
          </w:tcPr>
          <w:p>
            <w:pPr>
              <w:rPr>
                <w:color w:val="auto"/>
                <w:highlight w:val="none"/>
              </w:rPr>
            </w:pPr>
          </w:p>
        </w:tc>
        <w:tc>
          <w:tcPr>
            <w:tcW w:w="1275" w:type="dxa"/>
            <w:vAlign w:val="center"/>
          </w:tcPr>
          <w:p>
            <w:pPr>
              <w:rPr>
                <w:color w:val="auto"/>
                <w:highlight w:val="none"/>
              </w:rPr>
            </w:pPr>
          </w:p>
        </w:tc>
        <w:tc>
          <w:tcPr>
            <w:tcW w:w="1243" w:type="dxa"/>
            <w:vAlign w:val="center"/>
          </w:tcPr>
          <w:p>
            <w:pPr>
              <w:rPr>
                <w:color w:val="auto"/>
                <w:highlight w:val="none"/>
              </w:rPr>
            </w:pPr>
          </w:p>
        </w:tc>
        <w:tc>
          <w:tcPr>
            <w:tcW w:w="1916" w:type="dxa"/>
            <w:vAlign w:val="center"/>
          </w:tcPr>
          <w:p>
            <w:pPr>
              <w:rPr>
                <w:color w:val="auto"/>
                <w:highlight w:val="none"/>
              </w:rPr>
            </w:pPr>
          </w:p>
        </w:tc>
      </w:tr>
      <w:tr>
        <w:tblPrEx>
          <w:tblW w:w="8960" w:type="dxa"/>
          <w:tblInd w:w="0" w:type="dxa"/>
          <w:tblLayout w:type="fixed"/>
          <w:tblCellMar>
            <w:top w:w="0" w:type="dxa"/>
            <w:left w:w="108" w:type="dxa"/>
            <w:bottom w:w="0" w:type="dxa"/>
            <w:right w:w="108" w:type="dxa"/>
          </w:tblCellMar>
        </w:tblPrEx>
        <w:tc>
          <w:tcPr>
            <w:tcW w:w="794" w:type="dxa"/>
            <w:vAlign w:val="center"/>
          </w:tcPr>
          <w:p>
            <w:pPr>
              <w:rPr>
                <w:color w:val="auto"/>
                <w:highlight w:val="none"/>
              </w:rPr>
            </w:pPr>
            <w:r>
              <w:rPr>
                <w:color w:val="auto"/>
                <w:highlight w:val="none"/>
              </w:rPr>
              <w:t>……</w:t>
            </w:r>
          </w:p>
        </w:tc>
        <w:tc>
          <w:tcPr>
            <w:tcW w:w="1356" w:type="dxa"/>
            <w:vAlign w:val="center"/>
          </w:tcPr>
          <w:p>
            <w:pPr>
              <w:rPr>
                <w:color w:val="auto"/>
                <w:highlight w:val="none"/>
              </w:rPr>
            </w:pPr>
          </w:p>
        </w:tc>
        <w:tc>
          <w:tcPr>
            <w:tcW w:w="1187" w:type="dxa"/>
            <w:vAlign w:val="center"/>
          </w:tcPr>
          <w:p>
            <w:pPr>
              <w:rPr>
                <w:color w:val="auto"/>
                <w:highlight w:val="none"/>
              </w:rPr>
            </w:pPr>
          </w:p>
        </w:tc>
        <w:tc>
          <w:tcPr>
            <w:tcW w:w="1189" w:type="dxa"/>
            <w:vAlign w:val="center"/>
          </w:tcPr>
          <w:p>
            <w:pPr>
              <w:rPr>
                <w:color w:val="auto"/>
                <w:highlight w:val="none"/>
              </w:rPr>
            </w:pPr>
          </w:p>
        </w:tc>
        <w:tc>
          <w:tcPr>
            <w:tcW w:w="1275" w:type="dxa"/>
            <w:vAlign w:val="center"/>
          </w:tcPr>
          <w:p>
            <w:pPr>
              <w:rPr>
                <w:color w:val="auto"/>
                <w:highlight w:val="none"/>
              </w:rPr>
            </w:pPr>
          </w:p>
        </w:tc>
        <w:tc>
          <w:tcPr>
            <w:tcW w:w="1243" w:type="dxa"/>
            <w:vAlign w:val="center"/>
          </w:tcPr>
          <w:p>
            <w:pPr>
              <w:rPr>
                <w:color w:val="auto"/>
                <w:highlight w:val="none"/>
              </w:rPr>
            </w:pPr>
          </w:p>
        </w:tc>
        <w:tc>
          <w:tcPr>
            <w:tcW w:w="1916" w:type="dxa"/>
            <w:vAlign w:val="center"/>
          </w:tcPr>
          <w:p>
            <w:pPr>
              <w:rPr>
                <w:color w:val="auto"/>
                <w:highlight w:val="none"/>
              </w:rPr>
            </w:pPr>
          </w:p>
        </w:tc>
      </w:tr>
    </w:tbl>
    <w:p>
      <w:pPr>
        <w:jc w:val="left"/>
        <w:rPr>
          <w:color w:val="auto"/>
          <w:highlight w:val="none"/>
        </w:rPr>
      </w:pPr>
      <w:r>
        <w:rPr>
          <w:color w:val="auto"/>
          <w:highlight w:val="none"/>
        </w:rPr>
        <w:t>特别说明：</w:t>
      </w:r>
    </w:p>
    <w:p>
      <w:pPr>
        <w:ind w:firstLine="420" w:firstLineChars="200"/>
        <w:jc w:val="left"/>
        <w:rPr>
          <w:color w:val="auto"/>
          <w:highlight w:val="none"/>
        </w:rPr>
      </w:pPr>
      <w:r>
        <w:rPr>
          <w:rFonts w:hint="eastAsia"/>
          <w:color w:val="auto"/>
          <w:highlight w:val="none"/>
        </w:rPr>
        <w:t>1.投标人须按照上述格式填写投入本项目所有人员的相关信息。</w:t>
      </w:r>
    </w:p>
    <w:p>
      <w:pPr>
        <w:ind w:firstLine="420" w:firstLineChars="200"/>
        <w:jc w:val="left"/>
        <w:rPr>
          <w:color w:val="auto"/>
          <w:highlight w:val="none"/>
        </w:rPr>
      </w:pPr>
      <w:r>
        <w:rPr>
          <w:rFonts w:hint="eastAsia"/>
          <w:color w:val="auto"/>
          <w:highlight w:val="none"/>
        </w:rPr>
        <w:t>2.投标人依据本项目《第三章 评标方法及标准》、第六章《项目采购需求》的要求，提供拟投入人员清单及投入人员的</w:t>
      </w:r>
      <w:r>
        <w:rPr>
          <w:rFonts w:hint="eastAsia"/>
          <w:color w:val="auto"/>
          <w:highlight w:val="none"/>
          <w:lang w:eastAsia="zh-CN"/>
        </w:rPr>
        <w:t>学历、</w:t>
      </w:r>
      <w:r>
        <w:rPr>
          <w:rFonts w:hint="eastAsia"/>
          <w:color w:val="auto"/>
          <w:highlight w:val="none"/>
        </w:rPr>
        <w:t>相关资格证书复印件，以及</w:t>
      </w:r>
      <w:r>
        <w:rPr>
          <w:rFonts w:hint="eastAsia"/>
          <w:color w:val="auto"/>
          <w:highlight w:val="none"/>
          <w:lang w:eastAsia="zh-CN"/>
        </w:rPr>
        <w:t>拟投入</w:t>
      </w:r>
      <w:r>
        <w:rPr>
          <w:rFonts w:hint="eastAsia"/>
          <w:color w:val="auto"/>
          <w:highlight w:val="none"/>
        </w:rPr>
        <w:t>人员与投标</w:t>
      </w:r>
      <w:r>
        <w:rPr>
          <w:rFonts w:hint="eastAsia"/>
          <w:color w:val="auto"/>
          <w:highlight w:val="none"/>
          <w:lang w:eastAsia="zh-CN"/>
        </w:rPr>
        <w:t>人</w:t>
      </w:r>
      <w:r>
        <w:rPr>
          <w:rFonts w:hint="eastAsia"/>
          <w:color w:val="auto"/>
          <w:highlight w:val="none"/>
        </w:rPr>
        <w:t>签署的劳动合同（截止本项目开标当天合同仍在有效期内）复印件。以上材料均需加盖公章（投标人如能够在线查询的材料，请提供查询网址链接，可以不用同时提供纸质材料）。</w:t>
      </w:r>
    </w:p>
    <w:p>
      <w:pPr>
        <w:jc w:val="both"/>
        <w:rPr>
          <w:rFonts w:asciiTheme="minorEastAsia" w:eastAsiaTheme="minorEastAsia" w:hAnsiTheme="minorEastAsia" w:cstheme="minorEastAsia" w:hint="eastAsia"/>
          <w:b/>
          <w:bCs w:val="0"/>
          <w:color w:val="auto"/>
          <w:sz w:val="28"/>
          <w:szCs w:val="28"/>
          <w:highlight w:val="none"/>
          <w:lang w:val="en-US" w:eastAsia="zh-CN" w:bidi="ar-SA"/>
        </w:rPr>
      </w:pPr>
      <w:r>
        <w:rPr>
          <w:rFonts w:hint="eastAsia"/>
          <w:color w:val="auto"/>
          <w:highlight w:val="none"/>
        </w:rPr>
        <w:br w:type="page"/>
      </w:r>
      <w:r>
        <w:rPr>
          <w:rFonts w:hint="eastAsia"/>
          <w:color w:val="auto"/>
          <w:highlight w:val="none"/>
        </w:rPr>
        <w:t xml:space="preserve">               </w:t>
      </w:r>
      <w:r>
        <w:rPr>
          <w:rFonts w:asciiTheme="minorEastAsia" w:eastAsiaTheme="minorEastAsia" w:hAnsiTheme="minorEastAsia" w:cstheme="minorEastAsia" w:hint="eastAsia"/>
          <w:b/>
          <w:bCs w:val="0"/>
          <w:color w:val="auto"/>
          <w:sz w:val="28"/>
          <w:szCs w:val="28"/>
          <w:highlight w:val="none"/>
          <w:lang w:val="en-US" w:eastAsia="zh-CN" w:bidi="ar-SA"/>
        </w:rPr>
        <w:t xml:space="preserve">  </w:t>
      </w:r>
      <w:r>
        <w:rPr>
          <w:rFonts w:cstheme="minorEastAsia" w:hint="eastAsia"/>
          <w:b/>
          <w:bCs w:val="0"/>
          <w:color w:val="auto"/>
          <w:sz w:val="28"/>
          <w:szCs w:val="28"/>
          <w:highlight w:val="none"/>
          <w:lang w:val="en-US" w:eastAsia="zh-CN" w:bidi="ar-SA"/>
        </w:rPr>
        <w:t xml:space="preserve">   </w:t>
      </w:r>
      <w:r>
        <w:rPr>
          <w:rFonts w:asciiTheme="minorEastAsia" w:eastAsiaTheme="minorEastAsia" w:hAnsiTheme="minorEastAsia" w:cstheme="minorEastAsia" w:hint="eastAsia"/>
          <w:b/>
          <w:bCs w:val="0"/>
          <w:color w:val="auto"/>
          <w:sz w:val="28"/>
          <w:szCs w:val="28"/>
          <w:highlight w:val="none"/>
          <w:lang w:val="en-US" w:eastAsia="zh-CN" w:bidi="ar-SA"/>
        </w:rPr>
        <w:t xml:space="preserve"> 格式18  技术人员简历表</w:t>
      </w:r>
    </w:p>
    <w:tbl>
      <w:tblPr>
        <w:tblStyle w:val="TableNormal"/>
        <w:tblW w:w="91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69"/>
        <w:gridCol w:w="1343"/>
        <w:gridCol w:w="2145"/>
        <w:gridCol w:w="1088"/>
        <w:gridCol w:w="2363"/>
        <w:gridCol w:w="891"/>
      </w:tblGrid>
      <w:tr>
        <w:tblPrEx>
          <w:tblW w:w="919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2"/>
        </w:trPr>
        <w:tc>
          <w:tcPr>
            <w:tcW w:w="1369"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姓   名</w:t>
            </w:r>
          </w:p>
        </w:tc>
        <w:tc>
          <w:tcPr>
            <w:tcW w:w="1343"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2145"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性    别</w:t>
            </w:r>
          </w:p>
        </w:tc>
        <w:tc>
          <w:tcPr>
            <w:tcW w:w="1088"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2363"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出生日期</w:t>
            </w:r>
          </w:p>
        </w:tc>
        <w:tc>
          <w:tcPr>
            <w:tcW w:w="891"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9199" w:type="dxa"/>
          <w:tblInd w:w="0" w:type="dxa"/>
          <w:tblLayout w:type="fixed"/>
          <w:tblCellMar>
            <w:top w:w="0" w:type="dxa"/>
            <w:left w:w="108" w:type="dxa"/>
            <w:bottom w:w="0" w:type="dxa"/>
            <w:right w:w="108" w:type="dxa"/>
          </w:tblCellMar>
        </w:tblPrEx>
        <w:trPr>
          <w:trHeight w:val="472"/>
        </w:trPr>
        <w:tc>
          <w:tcPr>
            <w:tcW w:w="1369"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学   历</w:t>
            </w:r>
          </w:p>
        </w:tc>
        <w:tc>
          <w:tcPr>
            <w:tcW w:w="1343"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2145"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毕业学校</w:t>
            </w:r>
          </w:p>
        </w:tc>
        <w:tc>
          <w:tcPr>
            <w:tcW w:w="1088"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2363"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技术职称</w:t>
            </w:r>
          </w:p>
        </w:tc>
        <w:tc>
          <w:tcPr>
            <w:tcW w:w="891"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9199" w:type="dxa"/>
          <w:tblInd w:w="0" w:type="dxa"/>
          <w:tblLayout w:type="fixed"/>
          <w:tblCellMar>
            <w:top w:w="0" w:type="dxa"/>
            <w:left w:w="108" w:type="dxa"/>
            <w:bottom w:w="0" w:type="dxa"/>
            <w:right w:w="108" w:type="dxa"/>
          </w:tblCellMar>
        </w:tblPrEx>
        <w:trPr>
          <w:trHeight w:val="472"/>
        </w:trPr>
        <w:tc>
          <w:tcPr>
            <w:tcW w:w="1369"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公司职务</w:t>
            </w:r>
          </w:p>
        </w:tc>
        <w:tc>
          <w:tcPr>
            <w:tcW w:w="1343"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2145"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任职时间</w:t>
            </w:r>
          </w:p>
        </w:tc>
        <w:tc>
          <w:tcPr>
            <w:tcW w:w="1088"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2363"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本项目任职</w:t>
            </w:r>
          </w:p>
        </w:tc>
        <w:tc>
          <w:tcPr>
            <w:tcW w:w="891"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9199" w:type="dxa"/>
          <w:tblInd w:w="0" w:type="dxa"/>
          <w:tblLayout w:type="fixed"/>
          <w:tblCellMar>
            <w:top w:w="0" w:type="dxa"/>
            <w:left w:w="108" w:type="dxa"/>
            <w:bottom w:w="0" w:type="dxa"/>
            <w:right w:w="108" w:type="dxa"/>
          </w:tblCellMar>
        </w:tblPrEx>
        <w:trPr>
          <w:trHeight w:val="460"/>
        </w:trPr>
        <w:tc>
          <w:tcPr>
            <w:tcW w:w="1369"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人员级别</w:t>
            </w:r>
          </w:p>
        </w:tc>
        <w:tc>
          <w:tcPr>
            <w:tcW w:w="1343"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2145"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从事XXX工作年限</w:t>
            </w:r>
          </w:p>
        </w:tc>
        <w:tc>
          <w:tcPr>
            <w:tcW w:w="1088"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c>
          <w:tcPr>
            <w:tcW w:w="2363"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从事XXXX年限</w:t>
            </w:r>
          </w:p>
        </w:tc>
        <w:tc>
          <w:tcPr>
            <w:tcW w:w="891"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9199" w:type="dxa"/>
          <w:tblInd w:w="0" w:type="dxa"/>
          <w:tblLayout w:type="fixed"/>
          <w:tblCellMar>
            <w:top w:w="0" w:type="dxa"/>
            <w:left w:w="108" w:type="dxa"/>
            <w:bottom w:w="0" w:type="dxa"/>
            <w:right w:w="108" w:type="dxa"/>
          </w:tblCellMar>
        </w:tblPrEx>
        <w:trPr>
          <w:trHeight w:val="484"/>
        </w:trPr>
        <w:tc>
          <w:tcPr>
            <w:tcW w:w="1369" w:type="dxa"/>
            <w:tcBorders>
              <w:top w:val="single" w:sz="4" w:space="0" w:color="auto"/>
              <w:left w:val="single" w:sz="4" w:space="0" w:color="auto"/>
              <w:bottom w:val="single" w:sz="4" w:space="0" w:color="auto"/>
              <w:right w:val="single" w:sz="4" w:space="0" w:color="auto"/>
            </w:tcBorders>
            <w:vAlign w:val="center"/>
          </w:tcPr>
          <w:p>
            <w:pPr>
              <w:rPr>
                <w:color w:val="auto"/>
                <w:highlight w:val="none"/>
              </w:rPr>
            </w:pPr>
            <w:r>
              <w:rPr>
                <w:rFonts w:hint="eastAsia"/>
                <w:color w:val="auto"/>
                <w:highlight w:val="none"/>
              </w:rPr>
              <w:t>认证证书</w:t>
            </w:r>
          </w:p>
        </w:tc>
        <w:tc>
          <w:tcPr>
            <w:tcW w:w="7830" w:type="dxa"/>
            <w:gridSpan w:val="5"/>
            <w:tcBorders>
              <w:top w:val="single" w:sz="4" w:space="0" w:color="auto"/>
              <w:left w:val="single" w:sz="4" w:space="0" w:color="auto"/>
              <w:bottom w:val="single" w:sz="4" w:space="0" w:color="auto"/>
              <w:right w:val="single" w:sz="4" w:space="0" w:color="auto"/>
            </w:tcBorders>
            <w:vAlign w:val="center"/>
          </w:tcPr>
          <w:p>
            <w:pPr>
              <w:rPr>
                <w:color w:val="auto"/>
                <w:highlight w:val="none"/>
              </w:rPr>
            </w:pPr>
          </w:p>
        </w:tc>
      </w:tr>
      <w:tr>
        <w:tblPrEx>
          <w:tblW w:w="9199" w:type="dxa"/>
          <w:tblInd w:w="0" w:type="dxa"/>
          <w:tblLayout w:type="fixed"/>
          <w:tblCellMar>
            <w:top w:w="0" w:type="dxa"/>
            <w:left w:w="108" w:type="dxa"/>
            <w:bottom w:w="0" w:type="dxa"/>
            <w:right w:w="108" w:type="dxa"/>
          </w:tblCellMar>
        </w:tblPrEx>
        <w:trPr>
          <w:trHeight w:val="6104"/>
        </w:trPr>
        <w:tc>
          <w:tcPr>
            <w:tcW w:w="9199" w:type="dxa"/>
            <w:gridSpan w:val="6"/>
            <w:tcBorders>
              <w:top w:val="single" w:sz="4" w:space="0" w:color="auto"/>
              <w:left w:val="single" w:sz="4" w:space="0" w:color="auto"/>
              <w:bottom w:val="single" w:sz="4" w:space="0" w:color="auto"/>
              <w:right w:val="single" w:sz="4" w:space="0" w:color="auto"/>
            </w:tcBorders>
          </w:tcPr>
          <w:p>
            <w:pPr>
              <w:rPr>
                <w:color w:val="auto"/>
                <w:highlight w:val="none"/>
              </w:rPr>
            </w:pPr>
            <w:r>
              <w:rPr>
                <w:rFonts w:hint="eastAsia"/>
                <w:color w:val="auto"/>
                <w:highlight w:val="none"/>
              </w:rPr>
              <w:t>工作简历及主要业绩</w:t>
            </w:r>
          </w:p>
          <w:p>
            <w:pPr>
              <w:rPr>
                <w:color w:val="auto"/>
                <w:highlight w:val="none"/>
              </w:rPr>
            </w:pPr>
          </w:p>
        </w:tc>
      </w:tr>
    </w:tbl>
    <w:p>
      <w:pPr>
        <w:jc w:val="left"/>
        <w:rPr>
          <w:color w:val="auto"/>
          <w:highlight w:val="none"/>
        </w:rPr>
      </w:pPr>
      <w:r>
        <w:rPr>
          <w:color w:val="auto"/>
          <w:highlight w:val="none"/>
        </w:rPr>
        <w:t>特别说明：投标人应提供投入本项目</w:t>
      </w:r>
      <w:r>
        <w:rPr>
          <w:rFonts w:hint="eastAsia"/>
          <w:color w:val="auto"/>
          <w:highlight w:val="none"/>
        </w:rPr>
        <w:t>技术人员</w:t>
      </w:r>
      <w:r>
        <w:rPr>
          <w:color w:val="auto"/>
          <w:highlight w:val="none"/>
        </w:rPr>
        <w:t>的简历。</w:t>
      </w:r>
    </w:p>
    <w:p>
      <w:pPr>
        <w:rPr>
          <w:color w:val="auto"/>
          <w:highlight w:val="none"/>
        </w:rPr>
      </w:pPr>
    </w:p>
    <w:p>
      <w:pPr>
        <w:rPr>
          <w:color w:val="auto"/>
          <w:highlight w:val="none"/>
        </w:rPr>
      </w:pPr>
    </w:p>
    <w:p>
      <w:pPr>
        <w:rPr>
          <w:rFonts w:asciiTheme="minorEastAsia" w:eastAsiaTheme="minorEastAsia" w:hAnsiTheme="minorEastAsia" w:cstheme="minorEastAsia" w:hint="eastAsia"/>
          <w:b/>
          <w:bCs w:val="0"/>
          <w:color w:val="auto"/>
          <w:sz w:val="28"/>
          <w:szCs w:val="28"/>
          <w:highlight w:val="none"/>
          <w:lang w:val="en-US" w:eastAsia="zh-CN" w:bidi="ar-SA"/>
        </w:rPr>
      </w:pPr>
      <w:r>
        <w:rPr>
          <w:color w:val="auto"/>
          <w:sz w:val="36"/>
          <w:szCs w:val="36"/>
          <w:highlight w:val="none"/>
        </w:rPr>
        <w:br w:type="page"/>
      </w:r>
      <w:r>
        <w:rPr>
          <w:rFonts w:asciiTheme="minorEastAsia" w:eastAsiaTheme="minorEastAsia" w:hAnsiTheme="minorEastAsia" w:cstheme="minorEastAsia" w:hint="eastAsia"/>
          <w:b/>
          <w:bCs w:val="0"/>
          <w:color w:val="auto"/>
          <w:sz w:val="28"/>
          <w:szCs w:val="28"/>
          <w:highlight w:val="none"/>
          <w:lang w:val="en-US" w:eastAsia="zh-CN" w:bidi="ar-SA"/>
        </w:rPr>
        <w:t>格式19  投标人售后服务承诺</w:t>
      </w:r>
    </w:p>
    <w:p>
      <w:pPr>
        <w:rPr>
          <w:color w:val="auto"/>
          <w:highlight w:val="none"/>
        </w:rPr>
      </w:pPr>
    </w:p>
    <w:p>
      <w:pPr>
        <w:rPr>
          <w:color w:val="auto"/>
          <w:highlight w:val="none"/>
        </w:rPr>
      </w:pPr>
      <w:r>
        <w:rPr>
          <w:color w:val="auto"/>
          <w:highlight w:val="none"/>
        </w:rPr>
        <w:t>(示例略)</w:t>
      </w:r>
    </w:p>
    <w:p>
      <w:pPr>
        <w:rPr>
          <w:color w:val="auto"/>
          <w:highlight w:val="none"/>
        </w:rPr>
        <w:sectPr>
          <w:pgSz w:w="11906" w:h="16838"/>
          <w:pgMar w:top="1417" w:right="1417" w:bottom="1417" w:left="1417" w:header="851" w:footer="992" w:gutter="0"/>
          <w:cols w:num="1" w:space="720"/>
          <w:titlePg/>
          <w:docGrid w:type="lines" w:linePitch="312" w:charSpace="0"/>
        </w:sectPr>
      </w:pPr>
    </w:p>
    <w:p>
      <w:pPr>
        <w:rPr>
          <w:color w:val="auto"/>
          <w:highlight w:val="none"/>
        </w:rPr>
      </w:pPr>
    </w:p>
    <w:p>
      <w:pPr>
        <w:rPr>
          <w:color w:val="auto"/>
          <w:highlight w:val="none"/>
        </w:rPr>
      </w:pPr>
    </w:p>
    <w:p>
      <w:pPr>
        <w:pStyle w:val="Heading1"/>
        <w:rPr>
          <w:rFonts w:ascii="黑体" w:eastAsia="黑体" w:hAnsi="黑体" w:cs="黑体" w:hint="eastAsia"/>
          <w:color w:val="auto"/>
          <w:sz w:val="72"/>
          <w:szCs w:val="72"/>
          <w:highlight w:val="none"/>
        </w:rPr>
      </w:pPr>
      <w:r>
        <w:rPr>
          <w:rFonts w:ascii="黑体" w:eastAsia="黑体" w:hAnsi="黑体" w:cs="黑体" w:hint="eastAsia"/>
          <w:color w:val="auto"/>
          <w:sz w:val="72"/>
          <w:szCs w:val="72"/>
          <w:highlight w:val="none"/>
        </w:rPr>
        <w:t>招 标 文 件</w:t>
      </w:r>
    </w:p>
    <w:p>
      <w:pPr>
        <w:pStyle w:val="Heading1"/>
        <w:rPr>
          <w:rFonts w:ascii="黑体" w:eastAsia="黑体" w:hAnsi="黑体" w:cs="黑体" w:hint="eastAsia"/>
          <w:color w:val="auto"/>
          <w:sz w:val="72"/>
          <w:szCs w:val="72"/>
          <w:highlight w:val="none"/>
        </w:rPr>
      </w:pPr>
      <w:r>
        <w:rPr>
          <w:rFonts w:ascii="黑体" w:eastAsia="黑体" w:hAnsi="黑体" w:cs="黑体" w:hint="eastAsia"/>
          <w:color w:val="auto"/>
          <w:sz w:val="72"/>
          <w:szCs w:val="72"/>
          <w:highlight w:val="none"/>
        </w:rPr>
        <w:t>（技术部分）</w:t>
      </w:r>
    </w:p>
    <w:p>
      <w:pPr>
        <w:pStyle w:val="BodyText"/>
        <w:rPr>
          <w:color w:val="auto"/>
          <w:highlight w:val="none"/>
        </w:rPr>
      </w:pPr>
    </w:p>
    <w:p>
      <w:pPr>
        <w:rPr>
          <w:color w:val="auto"/>
          <w:highlight w:val="none"/>
        </w:rPr>
      </w:pPr>
    </w:p>
    <w:p>
      <w:pPr>
        <w:rPr>
          <w:color w:val="auto"/>
          <w:highlight w:val="none"/>
        </w:rPr>
      </w:pPr>
    </w:p>
    <w:p>
      <w:pPr>
        <w:spacing w:line="360" w:lineRule="auto"/>
        <w:ind w:firstLine="320" w:firstLineChars="100"/>
        <w:jc w:val="both"/>
        <w:outlineLvl w:val="0"/>
        <w:rPr>
          <w:rFonts w:cstheme="minorEastAsia" w:hint="eastAsia"/>
          <w:b/>
          <w:bCs/>
          <w:color w:val="auto"/>
          <w:sz w:val="32"/>
          <w:szCs w:val="32"/>
          <w:highlight w:val="none"/>
          <w:lang w:eastAsia="zh-CN"/>
        </w:rPr>
      </w:pPr>
      <w:r>
        <w:rPr>
          <w:rFonts w:asciiTheme="minorEastAsia" w:eastAsiaTheme="minorEastAsia" w:hAnsiTheme="minorEastAsia" w:cstheme="minorEastAsia" w:hint="eastAsia"/>
          <w:b/>
          <w:bCs/>
          <w:color w:val="auto"/>
          <w:sz w:val="32"/>
          <w:szCs w:val="32"/>
          <w:highlight w:val="none"/>
        </w:rPr>
        <w:t>项目名称：</w:t>
      </w:r>
      <w:r>
        <w:rPr>
          <w:rFonts w:cstheme="minorEastAsia" w:hint="eastAsia"/>
          <w:b/>
          <w:bCs/>
          <w:color w:val="auto"/>
          <w:sz w:val="32"/>
          <w:szCs w:val="32"/>
          <w:highlight w:val="none"/>
          <w:lang w:eastAsia="zh-CN"/>
        </w:rPr>
        <w:t>国家税务总局广西壮族自治区税务局</w:t>
      </w:r>
    </w:p>
    <w:p>
      <w:pPr>
        <w:spacing w:line="360" w:lineRule="auto"/>
        <w:ind w:left="1919" w:firstLine="0" w:leftChars="914" w:firstLineChars="0"/>
        <w:jc w:val="both"/>
        <w:outlineLvl w:val="0"/>
        <w:rPr>
          <w:rFonts w:asciiTheme="minorEastAsia" w:eastAsiaTheme="minorEastAsia" w:hAnsiTheme="minorEastAsia" w:cstheme="minorEastAsia" w:hint="eastAsia"/>
          <w:b/>
          <w:bCs/>
          <w:color w:val="auto"/>
          <w:sz w:val="32"/>
          <w:szCs w:val="32"/>
          <w:highlight w:val="none"/>
          <w:lang w:eastAsia="zh-CN"/>
        </w:rPr>
      </w:pPr>
      <w:r>
        <w:rPr>
          <w:rFonts w:cstheme="minorEastAsia" w:hint="eastAsia"/>
          <w:b/>
          <w:bCs/>
          <w:color w:val="auto"/>
          <w:sz w:val="32"/>
          <w:szCs w:val="32"/>
          <w:highlight w:val="none"/>
          <w:lang w:val="en-US" w:eastAsia="zh-CN"/>
        </w:rPr>
        <w:t>金税工程运维服务管理平台2024年运维服务项目</w:t>
      </w:r>
    </w:p>
    <w:p>
      <w:pPr>
        <w:spacing w:line="360" w:lineRule="auto"/>
        <w:ind w:firstLine="320" w:firstLineChars="100"/>
        <w:rPr>
          <w:rFonts w:asciiTheme="minorEastAsia" w:eastAsiaTheme="minorEastAsia" w:hAnsiTheme="minorEastAsia" w:cstheme="minorEastAsia"/>
          <w:b/>
          <w:bCs/>
          <w:color w:val="auto"/>
          <w:sz w:val="32"/>
          <w:szCs w:val="32"/>
          <w:highlight w:val="none"/>
        </w:rPr>
      </w:pPr>
    </w:p>
    <w:p>
      <w:pPr>
        <w:spacing w:line="360" w:lineRule="auto"/>
        <w:ind w:firstLine="320" w:firstLineChars="100"/>
        <w:jc w:val="both"/>
        <w:outlineLvl w:val="0"/>
        <w:rPr>
          <w:rFonts w:asciiTheme="minorEastAsia" w:eastAsiaTheme="minorEastAsia" w:hAnsiTheme="minorEastAsia" w:cstheme="minorEastAsia" w:hint="eastAsia"/>
          <w:b/>
          <w:bCs/>
          <w:color w:val="auto"/>
          <w:sz w:val="32"/>
          <w:szCs w:val="32"/>
          <w:highlight w:val="none"/>
          <w:lang w:val="en-US" w:eastAsia="zh-CN"/>
        </w:rPr>
      </w:pPr>
      <w:r>
        <w:rPr>
          <w:rFonts w:asciiTheme="minorEastAsia" w:eastAsiaTheme="minorEastAsia" w:hAnsiTheme="minorEastAsia" w:cstheme="minorEastAsia" w:hint="eastAsia"/>
          <w:b/>
          <w:bCs/>
          <w:color w:val="auto"/>
          <w:sz w:val="32"/>
          <w:szCs w:val="32"/>
          <w:highlight w:val="none"/>
        </w:rPr>
        <w:t>项目编号：</w:t>
      </w:r>
      <w:r>
        <w:rPr>
          <w:rFonts w:cstheme="minorEastAsia" w:hint="eastAsia"/>
          <w:b/>
          <w:bCs/>
          <w:color w:val="auto"/>
          <w:sz w:val="32"/>
          <w:szCs w:val="32"/>
          <w:highlight w:val="none"/>
          <w:lang w:eastAsia="zh-CN"/>
        </w:rPr>
        <w:t>GX2024-ZXGK-C0066-B00</w:t>
      </w:r>
    </w:p>
    <w:p>
      <w:pPr>
        <w:spacing w:line="360" w:lineRule="auto"/>
        <w:ind w:firstLine="320" w:firstLineChars="100"/>
        <w:rPr>
          <w:rFonts w:asciiTheme="minorEastAsia" w:eastAsiaTheme="minorEastAsia" w:hAnsiTheme="minorEastAsia" w:cstheme="minorEastAsia"/>
          <w:b/>
          <w:bCs/>
          <w:color w:val="auto"/>
          <w:sz w:val="32"/>
          <w:szCs w:val="32"/>
          <w:highlight w:val="none"/>
        </w:rPr>
      </w:pPr>
    </w:p>
    <w:p>
      <w:pPr>
        <w:spacing w:line="360" w:lineRule="auto"/>
        <w:ind w:firstLine="320" w:firstLineChars="100"/>
        <w:jc w:val="both"/>
        <w:outlineLvl w:val="0"/>
        <w:rPr>
          <w:rFonts w:asciiTheme="minorEastAsia" w:eastAsiaTheme="minorEastAsia" w:hAnsiTheme="minorEastAsia" w:cstheme="minorEastAsia" w:hint="eastAsia"/>
          <w:b/>
          <w:bCs/>
          <w:color w:val="auto"/>
          <w:sz w:val="32"/>
          <w:szCs w:val="32"/>
          <w:highlight w:val="none"/>
          <w:lang w:eastAsia="zh-CN"/>
        </w:rPr>
      </w:pPr>
      <w:r>
        <w:rPr>
          <w:rFonts w:asciiTheme="minorEastAsia" w:eastAsiaTheme="minorEastAsia" w:hAnsiTheme="minorEastAsia" w:cstheme="minorEastAsia" w:hint="eastAsia"/>
          <w:b/>
          <w:bCs/>
          <w:color w:val="auto"/>
          <w:sz w:val="32"/>
          <w:szCs w:val="32"/>
          <w:highlight w:val="none"/>
        </w:rPr>
        <w:t>采 购 人：</w:t>
      </w:r>
      <w:r>
        <w:rPr>
          <w:rFonts w:asciiTheme="minorEastAsia" w:eastAsiaTheme="minorEastAsia" w:hAnsiTheme="minorEastAsia" w:cstheme="minorEastAsia" w:hint="eastAsia"/>
          <w:b/>
          <w:bCs/>
          <w:color w:val="auto"/>
          <w:sz w:val="32"/>
          <w:szCs w:val="32"/>
          <w:highlight w:val="none"/>
          <w:lang w:eastAsia="zh-CN"/>
        </w:rPr>
        <w:t>国家税务总局广西壮族自治区税务局</w:t>
      </w:r>
    </w:p>
    <w:p>
      <w:pPr>
        <w:spacing w:line="360" w:lineRule="auto"/>
        <w:ind w:firstLine="320" w:firstLineChars="100"/>
        <w:rPr>
          <w:rFonts w:asciiTheme="minorEastAsia" w:eastAsiaTheme="minorEastAsia" w:hAnsiTheme="minorEastAsia" w:cstheme="minorEastAsia"/>
          <w:b/>
          <w:bCs/>
          <w:color w:val="auto"/>
          <w:sz w:val="32"/>
          <w:szCs w:val="32"/>
          <w:highlight w:val="none"/>
        </w:rPr>
      </w:pPr>
    </w:p>
    <w:p>
      <w:pPr>
        <w:topLinePunct/>
        <w:autoSpaceDE w:val="0"/>
        <w:autoSpaceDN w:val="0"/>
        <w:spacing w:line="460" w:lineRule="exact"/>
        <w:rPr>
          <w:rFonts w:asciiTheme="minorEastAsia" w:eastAsiaTheme="minorEastAsia" w:hAnsiTheme="minorEastAsia" w:cstheme="minorEastAsia"/>
          <w:b/>
          <w:bCs/>
          <w:color w:val="auto"/>
          <w:sz w:val="32"/>
          <w:szCs w:val="32"/>
          <w:highlight w:val="none"/>
        </w:rPr>
      </w:pPr>
    </w:p>
    <w:p>
      <w:pPr>
        <w:topLinePunct/>
        <w:autoSpaceDE w:val="0"/>
        <w:autoSpaceDN w:val="0"/>
        <w:spacing w:line="460" w:lineRule="exact"/>
        <w:jc w:val="center"/>
        <w:rPr>
          <w:rFonts w:asciiTheme="minorEastAsia" w:eastAsiaTheme="minorEastAsia" w:hAnsiTheme="minorEastAsia" w:cstheme="minorEastAsia"/>
          <w:b/>
          <w:bCs/>
          <w:color w:val="auto"/>
          <w:sz w:val="32"/>
          <w:szCs w:val="32"/>
          <w:highlight w:val="none"/>
        </w:rPr>
      </w:pPr>
    </w:p>
    <w:p>
      <w:pPr>
        <w:topLinePunct/>
        <w:autoSpaceDE w:val="0"/>
        <w:autoSpaceDN w:val="0"/>
        <w:spacing w:line="460" w:lineRule="exact"/>
        <w:jc w:val="center"/>
        <w:rPr>
          <w:rFonts w:asciiTheme="minorEastAsia" w:eastAsiaTheme="minorEastAsia" w:hAnsiTheme="minorEastAsia" w:cstheme="minorEastAsia"/>
          <w:b/>
          <w:bCs/>
          <w:color w:val="auto"/>
          <w:sz w:val="32"/>
          <w:szCs w:val="32"/>
          <w:highlight w:val="none"/>
        </w:rPr>
      </w:pPr>
    </w:p>
    <w:p>
      <w:pPr>
        <w:topLinePunct/>
        <w:autoSpaceDE w:val="0"/>
        <w:autoSpaceDN w:val="0"/>
        <w:spacing w:line="460" w:lineRule="exact"/>
        <w:jc w:val="center"/>
        <w:outlineLvl w:val="0"/>
        <w:rPr>
          <w:rFonts w:asciiTheme="minorEastAsia" w:eastAsiaTheme="minorEastAsia" w:hAnsiTheme="minorEastAsia" w:cstheme="minorEastAsia" w:hint="eastAsia"/>
          <w:b/>
          <w:bCs/>
          <w:color w:val="auto"/>
          <w:sz w:val="32"/>
          <w:szCs w:val="32"/>
          <w:highlight w:val="none"/>
          <w:lang w:eastAsia="zh-CN"/>
        </w:rPr>
      </w:pPr>
      <w:r>
        <w:rPr>
          <w:rFonts w:asciiTheme="minorEastAsia" w:eastAsiaTheme="minorEastAsia" w:hAnsiTheme="minorEastAsia" w:cstheme="minorEastAsia" w:hint="eastAsia"/>
          <w:b/>
          <w:bCs/>
          <w:color w:val="auto"/>
          <w:sz w:val="32"/>
          <w:szCs w:val="32"/>
          <w:highlight w:val="none"/>
          <w:lang w:eastAsia="zh-CN"/>
        </w:rPr>
        <w:t>国家税务总局广西壮族自治区税务局</w:t>
      </w:r>
    </w:p>
    <w:p>
      <w:pPr>
        <w:topLinePunct/>
        <w:autoSpaceDE w:val="0"/>
        <w:autoSpaceDN w:val="0"/>
        <w:spacing w:line="160" w:lineRule="exact"/>
        <w:jc w:val="center"/>
        <w:rPr>
          <w:rFonts w:asciiTheme="minorEastAsia" w:eastAsiaTheme="minorEastAsia" w:hAnsiTheme="minorEastAsia" w:cstheme="minorEastAsia"/>
          <w:b/>
          <w:bCs/>
          <w:color w:val="auto"/>
          <w:sz w:val="32"/>
          <w:szCs w:val="32"/>
          <w:highlight w:val="none"/>
        </w:rPr>
      </w:pPr>
    </w:p>
    <w:p>
      <w:pPr>
        <w:jc w:val="center"/>
        <w:rPr>
          <w:rFonts w:asciiTheme="minorEastAsia" w:eastAsiaTheme="minorEastAsia" w:hAnsiTheme="minorEastAsia" w:cstheme="minorEastAsia"/>
          <w:b/>
          <w:bCs/>
          <w:color w:val="auto"/>
          <w:sz w:val="32"/>
          <w:szCs w:val="32"/>
          <w:highlight w:val="none"/>
        </w:rPr>
      </w:pPr>
      <w:r>
        <w:rPr>
          <w:rFonts w:asciiTheme="minorEastAsia" w:eastAsiaTheme="minorEastAsia" w:hAnsiTheme="minorEastAsia" w:cstheme="minorEastAsia" w:hint="eastAsia"/>
          <w:b/>
          <w:bCs/>
          <w:color w:val="auto"/>
          <w:sz w:val="32"/>
          <w:szCs w:val="32"/>
          <w:highlight w:val="none"/>
        </w:rPr>
        <w:t>2024年</w:t>
      </w:r>
      <w:r>
        <w:rPr>
          <w:rFonts w:cstheme="minorEastAsia" w:hint="eastAsia"/>
          <w:b/>
          <w:bCs/>
          <w:color w:val="auto"/>
          <w:sz w:val="32"/>
          <w:szCs w:val="32"/>
          <w:highlight w:val="none"/>
          <w:lang w:val="en-US" w:eastAsia="zh-CN"/>
        </w:rPr>
        <w:t>8</w:t>
      </w:r>
      <w:r>
        <w:rPr>
          <w:rFonts w:asciiTheme="minorEastAsia" w:eastAsiaTheme="minorEastAsia" w:hAnsiTheme="minorEastAsia" w:cstheme="minorEastAsia" w:hint="eastAsia"/>
          <w:b/>
          <w:bCs/>
          <w:color w:val="auto"/>
          <w:sz w:val="32"/>
          <w:szCs w:val="32"/>
          <w:highlight w:val="none"/>
        </w:rPr>
        <w:t>月</w:t>
      </w:r>
      <w:r>
        <w:rPr>
          <w:rFonts w:cstheme="minorEastAsia" w:hint="eastAsia"/>
          <w:b/>
          <w:bCs/>
          <w:color w:val="auto"/>
          <w:sz w:val="32"/>
          <w:szCs w:val="32"/>
          <w:highlight w:val="none"/>
          <w:lang w:val="en-US" w:eastAsia="zh-CN"/>
        </w:rPr>
        <w:t>30</w:t>
      </w:r>
      <w:r>
        <w:rPr>
          <w:rFonts w:asciiTheme="minorEastAsia" w:eastAsiaTheme="minorEastAsia" w:hAnsiTheme="minorEastAsia" w:cstheme="minorEastAsia" w:hint="eastAsia"/>
          <w:b/>
          <w:bCs/>
          <w:color w:val="auto"/>
          <w:sz w:val="32"/>
          <w:szCs w:val="32"/>
          <w:highlight w:val="none"/>
        </w:rPr>
        <w:t>日</w:t>
      </w:r>
    </w:p>
    <w:p>
      <w:pPr>
        <w:bidi w:val="0"/>
        <w:rPr>
          <w:rFonts w:hint="eastAsia"/>
          <w:color w:val="auto"/>
          <w:highlight w:val="none"/>
        </w:rPr>
      </w:pPr>
    </w:p>
    <w:p>
      <w:pPr>
        <w:pStyle w:val="Heading1"/>
        <w:rPr>
          <w:rFonts w:ascii="黑体" w:eastAsia="黑体" w:hAnsi="黑体" w:cs="黑体"/>
          <w:color w:val="auto"/>
          <w:szCs w:val="32"/>
          <w:highlight w:val="none"/>
        </w:rPr>
      </w:pPr>
      <w:r>
        <w:rPr>
          <w:rFonts w:hint="eastAsia"/>
          <w:color w:val="auto"/>
          <w:highlight w:val="none"/>
        </w:rPr>
        <w:t>第六章 项目采购需求</w:t>
      </w:r>
    </w:p>
    <w:p>
      <w:pPr>
        <w:jc w:val="left"/>
        <w:rPr>
          <w:color w:val="auto"/>
          <w:highlight w:val="none"/>
        </w:rPr>
      </w:pPr>
      <w:r>
        <w:rPr>
          <w:rFonts w:hint="eastAsia"/>
          <w:color w:val="auto"/>
          <w:highlight w:val="none"/>
        </w:rPr>
        <w:t>说明：</w:t>
      </w:r>
    </w:p>
    <w:p>
      <w:pPr>
        <w:ind w:firstLine="420" w:firstLineChars="200"/>
        <w:jc w:val="left"/>
        <w:rPr>
          <w:color w:val="auto"/>
          <w:highlight w:val="none"/>
        </w:rPr>
      </w:pPr>
      <w:r>
        <w:rPr>
          <w:rFonts w:hint="eastAsia"/>
          <w:color w:val="auto"/>
          <w:highlight w:val="none"/>
        </w:rPr>
        <w:t>1.标“</w:t>
      </w:r>
      <w:r>
        <w:rPr>
          <w:rFonts w:hint="eastAsia"/>
          <w:color w:val="auto"/>
          <w:sz w:val="24"/>
          <w:szCs w:val="24"/>
          <w:highlight w:val="none"/>
        </w:rPr>
        <w:t>★</w:t>
      </w:r>
      <w:r>
        <w:rPr>
          <w:rFonts w:hint="eastAsia"/>
          <w:color w:val="auto"/>
          <w:highlight w:val="none"/>
        </w:rPr>
        <w:t>”为实质性参数要求和条件，投标人必须满足并在投标文件中如实作出响应，否则投标无效；标“</w:t>
      </w:r>
      <w:r>
        <w:rPr>
          <w:rFonts w:hint="eastAsia"/>
          <w:color w:val="auto"/>
          <w:sz w:val="24"/>
          <w:szCs w:val="24"/>
          <w:highlight w:val="none"/>
        </w:rPr>
        <w:t>▲</w:t>
      </w:r>
      <w:r>
        <w:rPr>
          <w:rFonts w:hint="eastAsia"/>
          <w:color w:val="auto"/>
          <w:highlight w:val="none"/>
        </w:rPr>
        <w:t>”为重点指标；无标识的为一般指标。</w:t>
      </w:r>
    </w:p>
    <w:p>
      <w:pPr>
        <w:ind w:firstLine="420" w:firstLineChars="200"/>
        <w:jc w:val="left"/>
        <w:rPr>
          <w:color w:val="auto"/>
          <w:highlight w:val="none"/>
        </w:rPr>
      </w:pPr>
      <w:r>
        <w:rPr>
          <w:rFonts w:hint="eastAsia"/>
          <w:color w:val="auto"/>
          <w:highlight w:val="none"/>
        </w:rPr>
        <w:t>2.投标人投标时必须在投标文件中对所有项目要求及技术需求内容、商务要求表中内容及附件内容（如有）逐条响应并一一对应。</w:t>
      </w:r>
    </w:p>
    <w:p>
      <w:pPr>
        <w:ind w:firstLine="420" w:firstLineChars="200"/>
        <w:jc w:val="left"/>
        <w:rPr>
          <w:rFonts w:hint="eastAsia"/>
          <w:color w:val="auto"/>
          <w:highlight w:val="none"/>
        </w:rPr>
      </w:pPr>
      <w:r>
        <w:rPr>
          <w:rFonts w:hint="eastAsia"/>
          <w:color w:val="auto"/>
          <w:highlight w:val="none"/>
        </w:rPr>
        <w:t>3</w:t>
      </w:r>
      <w:r>
        <w:rPr>
          <w:color w:val="auto"/>
          <w:highlight w:val="none"/>
        </w:rPr>
        <w:t>.</w:t>
      </w:r>
      <w:r>
        <w:rPr>
          <w:rFonts w:hint="eastAsia"/>
          <w:color w:val="auto"/>
          <w:highlight w:val="none"/>
          <w:lang w:val="en-US" w:eastAsia="zh-CN"/>
        </w:rPr>
        <w:t>本项目</w:t>
      </w:r>
      <w:r>
        <w:rPr>
          <w:rFonts w:hint="eastAsia"/>
          <w:color w:val="auto"/>
          <w:highlight w:val="none"/>
        </w:rPr>
        <w:t>采购标的对应的中小企业划分标准所属行业</w:t>
      </w:r>
      <w:r>
        <w:rPr>
          <w:rFonts w:hint="eastAsia"/>
          <w:color w:val="auto"/>
          <w:highlight w:val="none"/>
          <w:lang w:eastAsia="zh-CN"/>
        </w:rPr>
        <w:t>：</w:t>
      </w:r>
      <w:r>
        <w:rPr>
          <w:rFonts w:hint="eastAsia"/>
          <w:color w:val="auto"/>
          <w:highlight w:val="none"/>
        </w:rPr>
        <w:t>软件和信息技术服务业</w:t>
      </w:r>
    </w:p>
    <w:p>
      <w:pPr>
        <w:pStyle w:val="5"/>
        <w:rPr>
          <w:rFonts w:hint="eastAsia"/>
          <w:color w:val="auto"/>
          <w:highlight w:val="none"/>
          <w:lang w:val="en-US" w:eastAsia="zh-CN"/>
        </w:rPr>
      </w:pPr>
      <w:r>
        <w:rPr>
          <w:rFonts w:hint="eastAsia"/>
          <w:color w:val="auto"/>
          <w:highlight w:val="none"/>
          <w:lang w:val="en-US" w:eastAsia="zh-CN"/>
        </w:rPr>
        <w:t>4.</w:t>
      </w:r>
      <w:r>
        <w:rPr>
          <w:rFonts w:hint="eastAsia"/>
          <w:color w:val="auto"/>
          <w:highlight w:val="none"/>
        </w:rPr>
        <w:t>本</w:t>
      </w:r>
      <w:r>
        <w:rPr>
          <w:rFonts w:hint="eastAsia"/>
          <w:color w:val="auto"/>
          <w:highlight w:val="none"/>
          <w:lang w:eastAsia="zh-CN"/>
        </w:rPr>
        <w:t>章</w:t>
      </w:r>
      <w:r>
        <w:rPr>
          <w:rFonts w:hint="eastAsia"/>
          <w:color w:val="auto"/>
          <w:highlight w:val="none"/>
        </w:rPr>
        <w:t>所称的“以上”“以下”“内”“以内”，包括本数；所称的“不足”，不包括本数。</w:t>
      </w:r>
    </w:p>
    <w:p>
      <w:pPr>
        <w:pStyle w:val="BodyText"/>
        <w:jc w:val="center"/>
        <w:rPr>
          <w:rFonts w:hint="eastAsia"/>
          <w:b/>
          <w:bCs w:val="0"/>
          <w:color w:val="auto"/>
          <w:sz w:val="28"/>
          <w:szCs w:val="28"/>
          <w:highlight w:val="none"/>
          <w:lang w:eastAsia="zh-CN"/>
        </w:rPr>
      </w:pPr>
    </w:p>
    <w:p>
      <w:pPr>
        <w:spacing w:line="360" w:lineRule="auto"/>
        <w:ind w:firstLine="560" w:firstLineChars="200"/>
        <w:rPr>
          <w:b/>
          <w:bCs w:val="0"/>
          <w:color w:val="auto"/>
          <w:sz w:val="28"/>
          <w:szCs w:val="28"/>
          <w:highlight w:val="none"/>
        </w:rPr>
      </w:pPr>
      <w:r>
        <w:rPr>
          <w:rFonts w:ascii="宋体" w:eastAsia="宋体" w:hAnsi="宋体" w:cs="宋体" w:hint="eastAsia"/>
          <w:color w:val="auto"/>
          <w:sz w:val="28"/>
          <w:szCs w:val="28"/>
          <w:highlight w:val="none"/>
          <w:lang w:eastAsia="zh-CN"/>
        </w:rPr>
        <w:t>一、</w:t>
      </w:r>
      <w:r>
        <w:rPr>
          <w:rFonts w:hint="eastAsia"/>
          <w:b/>
          <w:bCs w:val="0"/>
          <w:color w:val="auto"/>
          <w:sz w:val="28"/>
          <w:szCs w:val="28"/>
          <w:highlight w:val="none"/>
        </w:rPr>
        <w:t>项目概况</w:t>
      </w:r>
    </w:p>
    <w:tbl>
      <w:tblPr>
        <w:tblStyle w:val="TableNormal"/>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33"/>
        <w:gridCol w:w="3345"/>
        <w:gridCol w:w="2400"/>
        <w:gridCol w:w="2419"/>
      </w:tblGrid>
      <w:tr>
        <w:tblPrEx>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1004"/>
          <w:jc w:val="center"/>
        </w:trPr>
        <w:tc>
          <w:tcPr>
            <w:tcW w:w="933" w:type="dxa"/>
            <w:vAlign w:val="center"/>
          </w:tcPr>
          <w:p>
            <w:pPr>
              <w:spacing w:line="360" w:lineRule="auto"/>
              <w:rPr>
                <w:rFonts w:ascii="Times New Roman" w:hAnsi="Times New Roman"/>
                <w:color w:val="auto"/>
                <w:highlight w:val="none"/>
              </w:rPr>
            </w:pPr>
            <w:r>
              <w:rPr>
                <w:rFonts w:ascii="Times New Roman" w:hAnsi="Times New Roman"/>
                <w:color w:val="auto"/>
                <w:highlight w:val="none"/>
              </w:rPr>
              <w:t>采购包</w:t>
            </w:r>
          </w:p>
        </w:tc>
        <w:tc>
          <w:tcPr>
            <w:tcW w:w="3345" w:type="dxa"/>
            <w:vAlign w:val="center"/>
          </w:tcPr>
          <w:p>
            <w:pPr>
              <w:spacing w:line="360" w:lineRule="auto"/>
              <w:rPr>
                <w:rFonts w:ascii="Times New Roman" w:hAnsi="Times New Roman"/>
                <w:color w:val="auto"/>
                <w:highlight w:val="none"/>
              </w:rPr>
            </w:pPr>
            <w:r>
              <w:rPr>
                <w:rFonts w:ascii="Times New Roman" w:hAnsi="Times New Roman"/>
                <w:color w:val="auto"/>
                <w:highlight w:val="none"/>
              </w:rPr>
              <w:t>采购标的</w:t>
            </w:r>
          </w:p>
        </w:tc>
        <w:tc>
          <w:tcPr>
            <w:tcW w:w="2400" w:type="dxa"/>
            <w:vAlign w:val="center"/>
          </w:tcPr>
          <w:p>
            <w:pPr>
              <w:spacing w:line="360" w:lineRule="auto"/>
              <w:rPr>
                <w:rFonts w:ascii="Times New Roman" w:hAnsi="Times New Roman"/>
                <w:color w:val="auto"/>
                <w:highlight w:val="none"/>
              </w:rPr>
            </w:pPr>
            <w:r>
              <w:rPr>
                <w:rFonts w:ascii="Times New Roman" w:hAnsi="Times New Roman"/>
                <w:color w:val="auto"/>
                <w:highlight w:val="none"/>
              </w:rPr>
              <w:t>最高限价</w:t>
            </w:r>
            <w:r>
              <w:rPr>
                <w:rFonts w:ascii="Times New Roman" w:hAnsi="Times New Roman" w:hint="eastAsia"/>
                <w:color w:val="auto"/>
                <w:highlight w:val="none"/>
              </w:rPr>
              <w:t>（</w:t>
            </w:r>
            <w:r>
              <w:rPr>
                <w:rFonts w:hint="eastAsia"/>
                <w:color w:val="auto"/>
                <w:highlight w:val="none"/>
              </w:rPr>
              <w:t>元</w:t>
            </w:r>
            <w:r>
              <w:rPr>
                <w:rFonts w:ascii="Times New Roman" w:hAnsi="Times New Roman" w:hint="eastAsia"/>
                <w:color w:val="auto"/>
                <w:highlight w:val="none"/>
              </w:rPr>
              <w:t>）</w:t>
            </w:r>
          </w:p>
        </w:tc>
        <w:tc>
          <w:tcPr>
            <w:tcW w:w="2419" w:type="dxa"/>
          </w:tcPr>
          <w:p>
            <w:pPr>
              <w:spacing w:line="360" w:lineRule="auto"/>
              <w:rPr>
                <w:rFonts w:ascii="Times New Roman" w:hAnsi="Times New Roman"/>
                <w:color w:val="auto"/>
                <w:highlight w:val="none"/>
              </w:rPr>
            </w:pPr>
            <w:r>
              <w:rPr>
                <w:rFonts w:ascii="Times New Roman" w:hAnsi="Times New Roman"/>
                <w:color w:val="auto"/>
                <w:highlight w:val="none"/>
              </w:rPr>
              <w:t>采购标的对应的中小企业划分标准所属行业</w:t>
            </w:r>
          </w:p>
        </w:tc>
      </w:tr>
      <w:tr>
        <w:tblPrEx>
          <w:tblW w:w="9097" w:type="dxa"/>
          <w:jc w:val="center"/>
          <w:tblCellMar>
            <w:top w:w="0" w:type="dxa"/>
            <w:left w:w="108" w:type="dxa"/>
            <w:bottom w:w="0" w:type="dxa"/>
            <w:right w:w="108" w:type="dxa"/>
          </w:tblCellMar>
        </w:tblPrEx>
        <w:trPr>
          <w:trHeight w:val="1305"/>
          <w:jc w:val="center"/>
        </w:trPr>
        <w:tc>
          <w:tcPr>
            <w:tcW w:w="933" w:type="dxa"/>
            <w:vAlign w:val="center"/>
          </w:tcPr>
          <w:p>
            <w:pPr>
              <w:spacing w:line="360" w:lineRule="auto"/>
              <w:rPr>
                <w:rFonts w:ascii="Times New Roman" w:hAnsi="Times New Roman"/>
                <w:color w:val="auto"/>
                <w:highlight w:val="none"/>
              </w:rPr>
            </w:pPr>
            <w:r>
              <w:rPr>
                <w:rFonts w:ascii="宋体" w:eastAsia="宋体" w:hAnsi="宋体" w:cs="宋体" w:hint="eastAsia"/>
                <w:color w:val="auto"/>
                <w:highlight w:val="none"/>
              </w:rPr>
              <w:t>1</w:t>
            </w:r>
          </w:p>
        </w:tc>
        <w:tc>
          <w:tcPr>
            <w:tcW w:w="3345" w:type="dxa"/>
            <w:vAlign w:val="center"/>
          </w:tcPr>
          <w:p>
            <w:pPr>
              <w:spacing w:line="360" w:lineRule="auto"/>
              <w:rPr>
                <w:rFonts w:ascii="Times New Roman" w:hAnsi="Times New Roman" w:eastAsiaTheme="minorEastAsia" w:hint="eastAsia"/>
                <w:color w:val="auto"/>
                <w:highlight w:val="none"/>
                <w:lang w:eastAsia="zh-CN"/>
              </w:rPr>
            </w:pPr>
            <w:r>
              <w:rPr>
                <w:rFonts w:ascii="Times New Roman" w:hAnsi="Times New Roman" w:hint="eastAsia"/>
                <w:color w:val="auto"/>
                <w:highlight w:val="none"/>
              </w:rPr>
              <w:t>国家税务总局广西壮族自治区税务局</w:t>
            </w:r>
            <w:r>
              <w:rPr>
                <w:rFonts w:ascii="Times New Roman" w:hAnsi="Times New Roman" w:hint="eastAsia"/>
                <w:color w:val="auto"/>
                <w:highlight w:val="none"/>
                <w:lang w:eastAsia="zh-CN"/>
              </w:rPr>
              <w:t>金税工程运维服务管理平台2024年运维服务项目</w:t>
            </w:r>
          </w:p>
        </w:tc>
        <w:tc>
          <w:tcPr>
            <w:tcW w:w="2400" w:type="dxa"/>
            <w:vAlign w:val="center"/>
          </w:tcPr>
          <w:p>
            <w:pPr>
              <w:spacing w:line="360" w:lineRule="auto"/>
              <w:rPr>
                <w:rFonts w:ascii="Times New Roman" w:hAnsi="Times New Roman" w:eastAsiaTheme="minorEastAsia" w:hint="default"/>
                <w:color w:val="auto"/>
                <w:highlight w:val="none"/>
                <w:lang w:val="en-US" w:eastAsia="zh-CN"/>
              </w:rPr>
            </w:pPr>
            <w:r>
              <w:rPr>
                <w:rFonts w:ascii="Times New Roman" w:hAnsi="Times New Roman" w:hint="eastAsia"/>
                <w:color w:val="auto"/>
                <w:highlight w:val="none"/>
                <w:lang w:val="en-US" w:eastAsia="zh-CN"/>
              </w:rPr>
              <w:t>283900.00</w:t>
            </w:r>
          </w:p>
        </w:tc>
        <w:tc>
          <w:tcPr>
            <w:tcW w:w="2419" w:type="dxa"/>
            <w:vAlign w:val="center"/>
          </w:tcPr>
          <w:p>
            <w:pPr>
              <w:spacing w:line="360" w:lineRule="auto"/>
              <w:rPr>
                <w:rFonts w:ascii="Times New Roman" w:hAnsi="Times New Roman"/>
                <w:color w:val="auto"/>
                <w:highlight w:val="none"/>
              </w:rPr>
            </w:pPr>
            <w:r>
              <w:rPr>
                <w:rFonts w:ascii="Times New Roman" w:hAnsi="Times New Roman" w:hint="eastAsia"/>
                <w:color w:val="auto"/>
                <w:highlight w:val="none"/>
              </w:rPr>
              <w:t>软件和信息技术服务业</w:t>
            </w:r>
          </w:p>
        </w:tc>
      </w:tr>
    </w:tbl>
    <w:p>
      <w:pPr>
        <w:pStyle w:val="Heading2"/>
        <w:bidi w:val="0"/>
        <w:rPr>
          <w:rFonts w:ascii="宋体" w:eastAsia="宋体" w:hAnsi="宋体" w:cs="宋体" w:hint="eastAsia"/>
          <w:color w:val="auto"/>
          <w:sz w:val="28"/>
          <w:szCs w:val="28"/>
          <w:highlight w:val="none"/>
          <w:lang w:eastAsia="zh-CN"/>
        </w:rPr>
      </w:pPr>
    </w:p>
    <w:p>
      <w:pPr>
        <w:pStyle w:val="Heading2"/>
        <w:bidi w:val="0"/>
        <w:rPr>
          <w:rFonts w:ascii="宋体" w:eastAsia="宋体" w:hAnsi="宋体" w:cs="宋体" w:hint="eastAsia"/>
          <w:color w:val="auto"/>
          <w:sz w:val="28"/>
          <w:szCs w:val="28"/>
          <w:highlight w:val="none"/>
          <w:lang w:eastAsia="zh-CN"/>
        </w:rPr>
      </w:pPr>
      <w:r>
        <w:rPr>
          <w:rFonts w:ascii="宋体" w:eastAsia="宋体" w:hAnsi="宋体" w:cs="宋体" w:hint="eastAsia"/>
          <w:color w:val="auto"/>
          <w:sz w:val="28"/>
          <w:szCs w:val="28"/>
          <w:highlight w:val="none"/>
          <w:lang w:eastAsia="zh-CN"/>
        </w:rPr>
        <w:t>二、技术要求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bCs w:val="0"/>
          <w:color w:val="auto"/>
          <w:kern w:val="2"/>
          <w:sz w:val="21"/>
          <w:szCs w:val="22"/>
          <w:highlight w:val="none"/>
          <w:lang w:val="en-US" w:eastAsia="zh-CN" w:bidi="ar-SA"/>
        </w:rPr>
      </w:pPr>
      <w:r>
        <w:rPr>
          <w:rFonts w:ascii="宋体" w:eastAsia="宋体" w:hAnsi="宋体" w:cs="宋体" w:hint="eastAsia"/>
          <w:b/>
          <w:bCs w:val="0"/>
          <w:color w:val="auto"/>
          <w:kern w:val="2"/>
          <w:sz w:val="21"/>
          <w:szCs w:val="22"/>
          <w:highlight w:val="none"/>
          <w:lang w:val="en-US" w:eastAsia="zh-CN" w:bidi="ar-SA"/>
        </w:rPr>
        <w:t>1.项目概述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bCs w:val="0"/>
          <w:color w:val="auto"/>
          <w:kern w:val="2"/>
          <w:sz w:val="21"/>
          <w:szCs w:val="22"/>
          <w:highlight w:val="none"/>
          <w:lang w:val="en-US" w:eastAsia="zh-CN" w:bidi="ar-SA"/>
        </w:rPr>
      </w:pPr>
      <w:r>
        <w:rPr>
          <w:rFonts w:ascii="宋体" w:eastAsia="宋体" w:hAnsi="宋体" w:cs="宋体" w:hint="eastAsia"/>
          <w:b/>
          <w:bCs w:val="0"/>
          <w:color w:val="auto"/>
          <w:kern w:val="2"/>
          <w:sz w:val="21"/>
          <w:szCs w:val="22"/>
          <w:highlight w:val="none"/>
          <w:lang w:val="en-US" w:eastAsia="zh-CN" w:bidi="ar-SA"/>
        </w:rPr>
        <w:t>（1）项目背景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金税工程运维服务管理平台（以下简称运维平台）是国家税务总局统推项目，是全区税务运维体系统一使用的平台工具，实现总局、省、市、县（区）四级运维服务管理。运维平台承担了对核心征管系统、税库银系统、电子税务局、增值税发票系统、统一身份认证平台、全电发票服务平台、全国规范统一电子税务局等关键业务系统的主机性能、数据库性能、应用系统可用性监控，是国家税务总局系统运行绩效指标的主要考核工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通过采购运维平台技术支持服务，保障采购人运维平台的稳定运行，支撑广西区税务系统日常运维工作，提高业务问题处理效率，实现对采购人重要信息系统运行情况监控，满足征期运行保障工作规范化、制度化、常态化运行以及新环境新挑战下的运维工作需求，满足国家税务总局对省局的考核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bCs w:val="0"/>
          <w:color w:val="auto"/>
          <w:kern w:val="2"/>
          <w:sz w:val="21"/>
          <w:szCs w:val="22"/>
          <w:highlight w:val="none"/>
          <w:lang w:val="en-US" w:eastAsia="zh-CN" w:bidi="ar-SA"/>
        </w:rPr>
      </w:pPr>
      <w:r>
        <w:rPr>
          <w:rFonts w:ascii="宋体" w:eastAsia="宋体" w:hAnsi="宋体" w:cs="宋体" w:hint="eastAsia"/>
          <w:b/>
          <w:bCs w:val="0"/>
          <w:color w:val="auto"/>
          <w:kern w:val="2"/>
          <w:sz w:val="21"/>
          <w:szCs w:val="22"/>
          <w:highlight w:val="none"/>
          <w:lang w:val="en-US" w:eastAsia="zh-CN" w:bidi="ar-SA"/>
        </w:rPr>
        <w:t>（2）项目内容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1）通用要求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金税工程运维服务管理平台（以下简称运维平台）作为全国税务系统开展税务信息系统运行维护工作的统一平台，由统一运维门户、综合监控系统、服务管理系统、配置和资产管理系统、自动化系统、知识库系统构成，面向税务信息系统开展运行监控、运维事件和问题处理、运维自动化巡检和操作、系统版本和补丁升级、运维工作通知发布等运维服务工作。运维平台部署于国家税务总局和各省税务局两级税务机关，面向各级税务机关提供运行维护工作支撑。广西税务局目前已部署应用了省局端运维平台，并与国家税务总局运维平台实现了互联互通，为广西税务局的税务信息系统运维服务工作提供了有力保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现有运维平台采用分层体系架构进行构建，自下而上依次搭建基础设施层、运维工具层、运维管理应用功能层、运维管理门户层，对外提供统一的集成接口框架，并提供贯穿基础设施层之上各层的运维管理规范、运维技术规范。运维平台运用J2EE技术架构，并应用SOA／MVC的设计模式，利用Java EE、WebService、WebPush、SSH、Ajax、RSS等技术，构建应用支撑平台和上层应用功能，为运维服务管理工作提供了一个灵活扩展、随需定制、易于整合的技术平台。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需提供符合国家税务总局运维标准规范的专业化运维技术支持服务，做好与国家税务总局运维平台的衔接，确保国家税务总局、自治区局两级运维平台的上下联动、互联互通，并在要求的时间内及时解决问题，保障系统业务、技术、数据的延续性，减少实施成本，降低系统建设的风险。本项目需开展监控告警可视化展现与智能化运维监控信息关联分析服务（监控信息实时展示与刷新、告警信息语音或视图提醒、监控对比统计数据展示与导出、监控分析数据展示）、专项运维服务（日常巡检、运行环境设施巡检、运维平台运行状况巡检、业务支持及运维保障服务）工作，保障广西税务局相关税务信息系统的稳定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为连续有效地开展运维平台的运维服务工作，供应商需获得现有运维平台原厂商北京太极华青有限公司的必要支持（如：在接口对接方面，需获得原厂商对运维平台的接口、接口标准、源代码等方面的支持）。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2）专项要求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本项目需加强运维平台的定期理性检查工作，提供定期巡检服务，并在巡检结束后提供巡检报告与运行维护建议。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需提供合理的项目管理措施，做好项目组织机构设置、人员管理与保障等工作，以控制项目实施风险。此外，本项目需在设计和实施过程中充分考虑安全性管理的要求，做好系统信息安全保障工作，合理控制系统安全风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本项目需在要求的时间内响应系统运行问题的运维服务请求，并按不同故障级别的处理时限及时解决问题。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需提供运维平台技术更新的培训服务，在运维技术手段更新、运维平台版本升级和补丁更新、运维监控工具更新、运维服务流程变更后，为业务人员和运维服务人员提供运维平台的知识体系与操作技能的技术更新培训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需充分利用已有运维平台和工具，实现新旧平台之间的衔接，以适应未来较长时间的发展。本项目应充分考虑一定时期内运维工作的发展和变化，采用科学合理的结构，支持扩展和集成整合，增强系统的延续性，符合行业信息化发展趋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bCs w:val="0"/>
          <w:color w:val="auto"/>
          <w:kern w:val="2"/>
          <w:sz w:val="21"/>
          <w:szCs w:val="22"/>
          <w:highlight w:val="none"/>
          <w:lang w:val="en-US" w:eastAsia="zh-CN" w:bidi="ar-SA"/>
        </w:rPr>
      </w:pPr>
      <w:r>
        <w:rPr>
          <w:rFonts w:ascii="宋体" w:eastAsia="宋体" w:hAnsi="宋体" w:cs="宋体" w:hint="eastAsia"/>
          <w:b/>
          <w:bCs w:val="0"/>
          <w:color w:val="auto"/>
          <w:kern w:val="2"/>
          <w:sz w:val="21"/>
          <w:szCs w:val="22"/>
          <w:highlight w:val="none"/>
          <w:lang w:val="en-US" w:eastAsia="zh-CN" w:bidi="ar-SA"/>
        </w:rPr>
        <w:t>2.项目需求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本项目运维平台的专项运维服务工作范围包括：日常巡检、运行环境设施巡检、运维平台运行状况巡检、业务支持及运维保障服务等。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本项目采用远程服务的服务方式，对运维平台提供专项运维服务。对于远程服务无法解决的问题，按照采购人要求，安排运维服务人员到现场解决运维问题。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本项目运维平台的专项运维服务工作需遵循ISO 20000服务规范，对运维服务流程进行规范化管理，帮助运维服务人员和运维管理人员高效、规范、科学、合理地开展税务信息系统运维问题的受理、确认、解决、反馈等全流程闭环运维服务流程管理工作。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本项目需由采购人、中标供应商共同组成项目管理机构，负责整个项目的实施工作。中标供应商应选派工作责任心强、技术水平高、业务熟练、管理经验丰富、具有相应资质的项目人员，专职参加项目工作。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中标供应商应保障在项目实施期间不得兼任与本项目无关的其他工作，认真履行工作职责，圆满完成工作任务。中标供应商的项目人员资质和能力不满足采购人要求的，应按照采购人要求进行增加或者更换。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（1）日常巡检服务需求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中标供应商需利用国家税务总局金税工程运维服务管理平台，采用远程登录的方式，按日、按月提供日常巡检服务，服务内容应包括：运行环境设施巡检、运维平台运行状况巡检。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中标供应商需按日对运维平台各系统（包括：统一运维门户、综合监控、服务管理、自动化管理等系统）运行状况进行巡检，保证系统正常运行，确保运维平台各系统的可用性，并将巡检结果发送给具体负责人。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中标供应商需按月提供对系统运行状况的评估报告，分析系统的运行状况，系统的稳定程度，性能是否达到最优，并对系统的优化和今后运行维护给出建议。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（2）运行环境设施巡检服务需求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中标供应商需协助对承载运维平台各系统所涉及的软硬件运行环境的日常运行情况进行巡检，确保所有软硬件设备的正常运行。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在出现故障时，中标供应商需及时响应并处理，并提交故障受理报告和汇总情况。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（3）运维平台运行状况巡检服务需求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中标供应商需负责对运维平台各系统（包括运维门户、服务管理系统）的健康度进行巡检，保证系统正常运行，确保系统的可用性。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在出现故障时，中标供应商需及时响应并处理，并提交故障受理报告和汇总情况。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（4）业务支持及运维保障服务需求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中标供应商需提供如下业务支持和运维保障服务服务：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业务系统监控与问题处理：需协助建立并不断完善运行监控制度，并通过自动化、可视化的管理监控技术手段，从而及时发现、准确定位、协助解决应用系统的运行问题，提升运维服务管理效率；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数据报送：需协助自治区局做好外单位数据报送工作；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数据查询：需协助自治区局做好数据查询工作；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数据质量管理：需协助自治区局做好数据质量管理工作；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数据迁移：协助自治区局将运维服务管理平台的历史数据迁移到外部系统或存储介质，并按需完成历史数据的逆向迁入工作；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应用系统安全漏洞修补升级：需做好应用系统安全漏洞修补，协助省局做好相关补丁升级工作；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运维平台的操作使用培训：需按照用户要求，为各级运维人员提供运维平台的操作使用培训服务，帮助运维人员熟练掌握运维平台的操作和使用方法（一年至少两次）；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应急保障与备份恢复演练：系统应急保障预案及恢复演练；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事件数据和流程维护：维护事件相关的数据和流程图；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auto"/>
          <w:kern w:val="2"/>
          <w:sz w:val="21"/>
          <w:szCs w:val="22"/>
          <w:highlight w:val="none"/>
          <w:lang w:val="en-US" w:eastAsia="zh-CN" w:bidi="ar-SA"/>
        </w:rPr>
      </w:pPr>
      <w:r>
        <w:rPr>
          <w:rFonts w:hint="eastAsia"/>
          <w:color w:val="auto"/>
          <w:sz w:val="24"/>
          <w:szCs w:val="24"/>
          <w:highlight w:val="none"/>
        </w:rPr>
        <w:t>▲</w:t>
      </w:r>
      <w:r>
        <w:rPr>
          <w:rFonts w:ascii="宋体" w:eastAsia="宋体" w:hAnsi="宋体" w:cs="宋体" w:hint="eastAsia"/>
          <w:color w:val="auto"/>
          <w:kern w:val="2"/>
          <w:sz w:val="21"/>
          <w:szCs w:val="22"/>
          <w:highlight w:val="none"/>
          <w:lang w:val="en-US" w:eastAsia="zh-CN" w:bidi="ar-SA"/>
        </w:rPr>
        <w:t>重大或紧急事件上报：需协助省及省以下单位处理向总局提交的重大或紧急事件。</w:t>
      </w:r>
    </w:p>
    <w:p>
      <w:pPr>
        <w:spacing w:line="580" w:lineRule="exact"/>
        <w:ind w:firstLine="420" w:firstLineChars="200"/>
        <w:jc w:val="left"/>
        <w:rPr>
          <w:rStyle w:val="Emphasis"/>
          <w:rFonts w:ascii="宋体" w:eastAsia="宋体" w:hAnsi="宋体" w:cs="宋体" w:hint="eastAsia"/>
          <w:color w:val="auto"/>
          <w:sz w:val="21"/>
          <w:szCs w:val="21"/>
          <w:highlight w:val="none"/>
          <w:lang w:eastAsia="zh-CN"/>
        </w:rPr>
      </w:pPr>
      <w:r>
        <w:rPr>
          <w:rFonts w:ascii="宋体" w:eastAsia="宋体" w:hAnsi="宋体" w:cs="宋体" w:hint="eastAsia"/>
          <w:color w:val="auto"/>
          <w:kern w:val="2"/>
          <w:sz w:val="21"/>
          <w:szCs w:val="21"/>
          <w:highlight w:val="none"/>
          <w:lang w:val="en-US" w:eastAsia="zh-CN" w:bidi="ar-SA"/>
        </w:rPr>
        <w:t>（5）</w:t>
      </w:r>
      <w:r>
        <w:rPr>
          <w:rStyle w:val="Emphasis"/>
          <w:rFonts w:ascii="宋体" w:eastAsia="宋体" w:hAnsi="宋体" w:cs="宋体" w:hint="eastAsia"/>
          <w:color w:val="auto"/>
          <w:sz w:val="21"/>
          <w:szCs w:val="21"/>
          <w:highlight w:val="none"/>
        </w:rPr>
        <w:t>故障处理时限</w:t>
      </w:r>
      <w:r>
        <w:rPr>
          <w:rStyle w:val="Emphasis"/>
          <w:rFonts w:ascii="宋体" w:eastAsia="宋体" w:hAnsi="宋体" w:cs="宋体" w:hint="eastAsia"/>
          <w:color w:val="auto"/>
          <w:sz w:val="21"/>
          <w:szCs w:val="21"/>
          <w:highlight w:val="none"/>
          <w:lang w:eastAsia="zh-CN"/>
        </w:rPr>
        <w:t>要求</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2"/>
        <w:gridCol w:w="5835"/>
        <w:gridCol w:w="168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28"/>
          <w:jc w:val="center"/>
        </w:trPr>
        <w:tc>
          <w:tcPr>
            <w:tcW w:w="1842" w:type="dxa"/>
            <w:noWrap w:val="0"/>
            <w:vAlign w:val="center"/>
          </w:tcPr>
          <w:p>
            <w:pPr>
              <w:spacing w:line="580" w:lineRule="exac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故障级别</w:t>
            </w:r>
          </w:p>
        </w:tc>
        <w:tc>
          <w:tcPr>
            <w:tcW w:w="5835" w:type="dxa"/>
            <w:noWrap w:val="0"/>
            <w:vAlign w:val="center"/>
          </w:tcPr>
          <w:p>
            <w:pPr>
              <w:spacing w:line="580" w:lineRule="exact"/>
              <w:ind w:firstLine="420" w:firstLineChars="200"/>
              <w:jc w:val="center"/>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故障现象</w:t>
            </w:r>
          </w:p>
        </w:tc>
        <w:tc>
          <w:tcPr>
            <w:tcW w:w="1681" w:type="dxa"/>
            <w:noWrap w:val="0"/>
            <w:vAlign w:val="center"/>
          </w:tcPr>
          <w:p>
            <w:pPr>
              <w:spacing w:line="580" w:lineRule="exac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处理时限</w:t>
            </w:r>
          </w:p>
        </w:tc>
      </w:tr>
      <w:tr>
        <w:tblPrEx>
          <w:tblW w:w="0" w:type="auto"/>
          <w:jc w:val="center"/>
          <w:tblLayout w:type="fixed"/>
          <w:tblCellMar>
            <w:top w:w="0" w:type="dxa"/>
            <w:left w:w="108" w:type="dxa"/>
            <w:bottom w:w="0" w:type="dxa"/>
            <w:right w:w="108" w:type="dxa"/>
          </w:tblCellMar>
        </w:tblPrEx>
        <w:trPr>
          <w:trHeight w:val="996"/>
          <w:jc w:val="center"/>
        </w:trPr>
        <w:tc>
          <w:tcPr>
            <w:tcW w:w="1842" w:type="dxa"/>
            <w:noWrap w:val="0"/>
            <w:vAlign w:val="center"/>
          </w:tcPr>
          <w:p>
            <w:pPr>
              <w:spacing w:line="580" w:lineRule="exac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1级故障</w:t>
            </w:r>
          </w:p>
        </w:tc>
        <w:tc>
          <w:tcPr>
            <w:tcW w:w="5835" w:type="dxa"/>
            <w:noWrap w:val="0"/>
            <w:vAlign w:val="center"/>
          </w:tcPr>
          <w:p>
            <w:pPr>
              <w:spacing w:line="580" w:lineRule="exact"/>
              <w:ind w:firstLine="420" w:firstLineChars="200"/>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系统正常运行中出现整机系统瘫痪或服务中断，导致系统基本功能不能实现或全面退化的故障。</w:t>
            </w:r>
          </w:p>
        </w:tc>
        <w:tc>
          <w:tcPr>
            <w:tcW w:w="1681" w:type="dxa"/>
            <w:noWrap w:val="0"/>
            <w:vAlign w:val="center"/>
          </w:tcPr>
          <w:p>
            <w:pPr>
              <w:spacing w:line="580" w:lineRule="exact"/>
              <w:ind w:firstLine="420" w:firstLineChars="200"/>
              <w:jc w:val="lef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1小时</w:t>
            </w:r>
          </w:p>
        </w:tc>
      </w:tr>
      <w:tr>
        <w:tblPrEx>
          <w:tblW w:w="0" w:type="auto"/>
          <w:jc w:val="center"/>
          <w:tblLayout w:type="fixed"/>
          <w:tblCellMar>
            <w:top w:w="0" w:type="dxa"/>
            <w:left w:w="108" w:type="dxa"/>
            <w:bottom w:w="0" w:type="dxa"/>
            <w:right w:w="108" w:type="dxa"/>
          </w:tblCellMar>
        </w:tblPrEx>
        <w:trPr>
          <w:trHeight w:val="1244"/>
          <w:jc w:val="center"/>
        </w:trPr>
        <w:tc>
          <w:tcPr>
            <w:tcW w:w="1842" w:type="dxa"/>
            <w:noWrap w:val="0"/>
            <w:vAlign w:val="center"/>
          </w:tcPr>
          <w:p>
            <w:pPr>
              <w:spacing w:line="580" w:lineRule="exac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2级故障</w:t>
            </w:r>
          </w:p>
        </w:tc>
        <w:tc>
          <w:tcPr>
            <w:tcW w:w="5835" w:type="dxa"/>
            <w:noWrap w:val="0"/>
            <w:vAlign w:val="center"/>
          </w:tcPr>
          <w:p>
            <w:pPr>
              <w:spacing w:line="580" w:lineRule="exact"/>
              <w:ind w:firstLine="420" w:firstLineChars="200"/>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系统正常运行中出现的故障具有潜在的系统瘫痪或服务中断的危险，并可能导致系统的基本功能不能实现或全面退化。</w:t>
            </w:r>
          </w:p>
        </w:tc>
        <w:tc>
          <w:tcPr>
            <w:tcW w:w="1681" w:type="dxa"/>
            <w:noWrap w:val="0"/>
            <w:vAlign w:val="center"/>
          </w:tcPr>
          <w:p>
            <w:pPr>
              <w:spacing w:line="580" w:lineRule="exact"/>
              <w:ind w:firstLine="420" w:firstLineChars="200"/>
              <w:jc w:val="lef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2小时</w:t>
            </w:r>
          </w:p>
        </w:tc>
      </w:tr>
      <w:tr>
        <w:tblPrEx>
          <w:tblW w:w="0" w:type="auto"/>
          <w:jc w:val="center"/>
          <w:tblLayout w:type="fixed"/>
          <w:tblCellMar>
            <w:top w:w="0" w:type="dxa"/>
            <w:left w:w="108" w:type="dxa"/>
            <w:bottom w:w="0" w:type="dxa"/>
            <w:right w:w="108" w:type="dxa"/>
          </w:tblCellMar>
        </w:tblPrEx>
        <w:trPr>
          <w:trHeight w:val="834"/>
          <w:jc w:val="center"/>
        </w:trPr>
        <w:tc>
          <w:tcPr>
            <w:tcW w:w="1842" w:type="dxa"/>
            <w:noWrap w:val="0"/>
            <w:vAlign w:val="center"/>
          </w:tcPr>
          <w:p>
            <w:pPr>
              <w:spacing w:line="580" w:lineRule="exac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3级故障</w:t>
            </w:r>
          </w:p>
        </w:tc>
        <w:tc>
          <w:tcPr>
            <w:tcW w:w="5835" w:type="dxa"/>
            <w:noWrap w:val="0"/>
            <w:vAlign w:val="center"/>
          </w:tcPr>
          <w:p>
            <w:pPr>
              <w:spacing w:line="580" w:lineRule="exact"/>
              <w:ind w:firstLine="420" w:firstLineChars="200"/>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系统正常运行中出现的影响业务、并导致系统性能或服务部分退化的故障。</w:t>
            </w:r>
          </w:p>
        </w:tc>
        <w:tc>
          <w:tcPr>
            <w:tcW w:w="1681" w:type="dxa"/>
            <w:noWrap w:val="0"/>
            <w:vAlign w:val="center"/>
          </w:tcPr>
          <w:p>
            <w:pPr>
              <w:spacing w:line="580" w:lineRule="exact"/>
              <w:ind w:firstLine="420" w:firstLineChars="200"/>
              <w:jc w:val="lef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4小时</w:t>
            </w:r>
          </w:p>
        </w:tc>
      </w:tr>
      <w:tr>
        <w:tblPrEx>
          <w:tblW w:w="0" w:type="auto"/>
          <w:jc w:val="center"/>
          <w:tblLayout w:type="fixed"/>
          <w:tblCellMar>
            <w:top w:w="0" w:type="dxa"/>
            <w:left w:w="108" w:type="dxa"/>
            <w:bottom w:w="0" w:type="dxa"/>
            <w:right w:w="108" w:type="dxa"/>
          </w:tblCellMar>
        </w:tblPrEx>
        <w:trPr>
          <w:trHeight w:val="1229"/>
          <w:jc w:val="center"/>
        </w:trPr>
        <w:tc>
          <w:tcPr>
            <w:tcW w:w="1842" w:type="dxa"/>
            <w:noWrap w:val="0"/>
            <w:vAlign w:val="center"/>
          </w:tcPr>
          <w:p>
            <w:pPr>
              <w:spacing w:line="580" w:lineRule="exac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4级故障</w:t>
            </w:r>
          </w:p>
          <w:p>
            <w:pPr>
              <w:spacing w:line="580" w:lineRule="exac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（非故障）</w:t>
            </w:r>
          </w:p>
        </w:tc>
        <w:tc>
          <w:tcPr>
            <w:tcW w:w="5835" w:type="dxa"/>
            <w:noWrap w:val="0"/>
            <w:vAlign w:val="center"/>
          </w:tcPr>
          <w:p>
            <w:pPr>
              <w:spacing w:line="580" w:lineRule="exact"/>
              <w:ind w:firstLine="420" w:firstLineChars="200"/>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咨询类问题或系统正常运行及安装过程中，用户对功能、配置等方面需要的信息和需求，对系统正常运行几乎无影响。</w:t>
            </w:r>
          </w:p>
        </w:tc>
        <w:tc>
          <w:tcPr>
            <w:tcW w:w="1681" w:type="dxa"/>
            <w:noWrap w:val="0"/>
            <w:vAlign w:val="center"/>
          </w:tcPr>
          <w:p>
            <w:pPr>
              <w:spacing w:line="580" w:lineRule="exact"/>
              <w:ind w:firstLine="420" w:firstLineChars="200"/>
              <w:jc w:val="left"/>
              <w:rPr>
                <w:rStyle w:val="Emphasis"/>
                <w:rFonts w:ascii="宋体" w:eastAsia="宋体" w:hAnsi="宋体" w:cs="宋体" w:hint="eastAsia"/>
                <w:color w:val="auto"/>
                <w:sz w:val="21"/>
                <w:szCs w:val="21"/>
                <w:highlight w:val="none"/>
              </w:rPr>
            </w:pPr>
            <w:r>
              <w:rPr>
                <w:rStyle w:val="Emphasis"/>
                <w:rFonts w:ascii="宋体" w:eastAsia="宋体" w:hAnsi="宋体" w:cs="宋体" w:hint="eastAsia"/>
                <w:color w:val="auto"/>
                <w:sz w:val="21"/>
                <w:szCs w:val="21"/>
                <w:highlight w:val="none"/>
              </w:rPr>
              <w:t>8小时</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bCs w:val="0"/>
          <w:color w:val="auto"/>
          <w:kern w:val="2"/>
          <w:sz w:val="21"/>
          <w:szCs w:val="22"/>
          <w:highlight w:val="none"/>
          <w:lang w:val="en-US" w:eastAsia="zh-CN" w:bidi="ar-SA"/>
        </w:rPr>
      </w:pPr>
      <w:r>
        <w:rPr>
          <w:rFonts w:ascii="宋体" w:eastAsia="宋体" w:hAnsi="宋体" w:cs="宋体" w:hint="eastAsia"/>
          <w:b/>
          <w:bCs w:val="0"/>
          <w:color w:val="auto"/>
          <w:kern w:val="2"/>
          <w:sz w:val="21"/>
          <w:szCs w:val="22"/>
          <w:highlight w:val="none"/>
          <w:lang w:val="en-US" w:eastAsia="zh-CN" w:bidi="ar-SA"/>
        </w:rPr>
        <w:t>3.技术支持服务要求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本项目的服务标准为：ISO 20000服务规范、税务系统信息安全技术规范及相关要求、项目业务需求中各项服务的具体技术指标要求。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bCs w:val="0"/>
          <w:color w:val="auto"/>
          <w:kern w:val="2"/>
          <w:sz w:val="21"/>
          <w:szCs w:val="22"/>
          <w:highlight w:val="none"/>
          <w:lang w:val="en-US" w:eastAsia="zh-CN" w:bidi="ar-SA"/>
        </w:rPr>
      </w:pPr>
      <w:r>
        <w:rPr>
          <w:rFonts w:ascii="宋体" w:eastAsia="宋体" w:hAnsi="宋体" w:cs="宋体" w:hint="eastAsia"/>
          <w:b/>
          <w:bCs w:val="0"/>
          <w:color w:val="auto"/>
          <w:kern w:val="2"/>
          <w:sz w:val="21"/>
          <w:szCs w:val="22"/>
          <w:highlight w:val="none"/>
          <w:lang w:val="en-US" w:eastAsia="zh-CN" w:bidi="ar-SA"/>
        </w:rPr>
        <w:t>4.项目管理和实施要求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（1）服务期限：自合同签订日期之日起实施周期为一年的运行维护。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（2）服务地点：远程运维。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（3）人员要求：中标供应商应为本项目运维平台的运行维护服务工作配置具有相应资质的人员。本项目要求中标供应商不少于2人（不含项目经理）的运维团队。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中标供应商应选派专人担任项目经理，项目经理具有5年项目管理经验，具备计算机软件资格水平高级证书，类似项目管理经验，成功实施3个及以上同类或类似运维平台升级完善或运维服务项目。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中标供应商应提供充分了解运维平台的成熟技术团队，所选派的项目成员应熟练掌握运维服务的相关技术技能，对相关业务知识有清晰的认识，项目小组需具备不同的专业人员，项目成员分工应合理。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运维服务人员要求具有计算机或相关专业大学专科以上学历，具备扎实的计算机网络基础知识或数据库、中间件等系统软件应用知识。熟悉日常运维服务工作。熟练使用SQL语句，能对数据进行增、删、改、查等基础管理，具备3年以上IT项目运维服务经验。中标供应商所提供的运维服务人员中应至少1人具有计算机软件资格水平中级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具备良好的客户意识、沟通协调能力，具有良好的自我调节能力和心理承受能力。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采购人如认为中标供应商的项目组成员达不到要求，有权要求中标供应商更换，中标供应商必须负责在一周之内调换符合采购人要求的项目组成员。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中标供应商应按阶段提交项目参与人员名单，经采购人确认。中标供应商应保证项目组成员的稳定性，如特殊情况需要调整项目组成员的，应提前一个月书面通知采购人，并获得采购人的确认后才能安排调整。</w:t>
      </w:r>
    </w:p>
    <w:p>
      <w:pPr>
        <w:pStyle w:val="a"/>
        <w:numPr>
          <w:ilvl w:val="12"/>
          <w:numId w:val="0"/>
        </w:numPr>
        <w:ind w:firstLine="210" w:firstLineChars="100"/>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color w:val="auto"/>
          <w:kern w:val="2"/>
          <w:sz w:val="21"/>
          <w:szCs w:val="21"/>
          <w:highlight w:val="none"/>
          <w:lang w:val="zh-CN" w:eastAsia="zh-CN" w:bidi="ar-SA"/>
        </w:rPr>
        <w:t>外包运维人员基本条件：应当是</w:t>
      </w:r>
      <w:r>
        <w:rPr>
          <w:rFonts w:ascii="宋体" w:eastAsia="宋体" w:hAnsi="宋体" w:cs="宋体" w:hint="eastAsia"/>
          <w:color w:val="auto"/>
          <w:kern w:val="2"/>
          <w:sz w:val="21"/>
          <w:szCs w:val="21"/>
          <w:highlight w:val="none"/>
          <w:lang w:val="en-US" w:eastAsia="zh-CN" w:bidi="ar-SA"/>
        </w:rPr>
        <w:t>中标供应商</w:t>
      </w:r>
      <w:r>
        <w:rPr>
          <w:rFonts w:ascii="宋体" w:eastAsia="宋体" w:hAnsi="宋体" w:cs="宋体" w:hint="eastAsia"/>
          <w:color w:val="auto"/>
          <w:kern w:val="2"/>
          <w:sz w:val="21"/>
          <w:szCs w:val="21"/>
          <w:highlight w:val="none"/>
          <w:lang w:val="zh-CN" w:eastAsia="zh-CN" w:bidi="ar-SA"/>
        </w:rPr>
        <w:t>的正式人员，或者是与</w:t>
      </w:r>
      <w:r>
        <w:rPr>
          <w:rFonts w:ascii="宋体" w:eastAsia="宋体" w:hAnsi="宋体" w:cs="宋体" w:hint="eastAsia"/>
          <w:color w:val="auto"/>
          <w:kern w:val="2"/>
          <w:sz w:val="21"/>
          <w:szCs w:val="21"/>
          <w:highlight w:val="none"/>
          <w:lang w:val="en-US" w:eastAsia="zh-CN" w:bidi="ar-SA"/>
        </w:rPr>
        <w:t>中标供应商</w:t>
      </w:r>
      <w:r>
        <w:rPr>
          <w:rFonts w:ascii="宋体" w:eastAsia="宋体" w:hAnsi="宋体" w:cs="宋体" w:hint="eastAsia"/>
          <w:color w:val="auto"/>
          <w:kern w:val="2"/>
          <w:sz w:val="21"/>
          <w:szCs w:val="21"/>
          <w:highlight w:val="none"/>
          <w:lang w:val="zh-CN" w:eastAsia="zh-CN" w:bidi="ar-SA"/>
        </w:rPr>
        <w:t>签订 1 年以上劳动合同且实际工作满 1 年的人员，常驻外包运维人员应当为技术骨干。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b/>
          <w:bCs w:val="0"/>
          <w:color w:val="auto"/>
          <w:kern w:val="2"/>
          <w:sz w:val="21"/>
          <w:szCs w:val="22"/>
          <w:highlight w:val="none"/>
          <w:lang w:val="en-US" w:eastAsia="zh-CN" w:bidi="ar-SA"/>
        </w:rPr>
        <w:t>5.验收要求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（1）验收方式及时间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服务期限届满当日由中标供应商向采购人申请对运维服务进行验收。采购人、中标供应商共同参与验收。验收合格后，由采购人为中标供应商出具项目验收报告。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（2）验收条件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1）项目验收工作由采购人按照项目验收的有关制度和流程组织开展。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2）本项目的运维服务应在合同约定的服务期内完成。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3）中标供应商完成全部项目内容之后，在合同约定的服务期结束后的一个月内向采购人提出验收申请，采购人负责审核是否满足项目验收准入条件。满足验收准入条件后，启动项目验收程序。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4）服务响应、服务流程、服务质量、服务成果、项目组织管理、项目文档满足本项目的业务需求。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5）本项目业务需求中所包含运维服务工作全部完成，相关文档通过用户评审。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（3）验收分期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本项目服务期</w:t>
      </w:r>
      <w:r>
        <w:rPr>
          <w:rFonts w:ascii="宋体" w:eastAsia="宋体" w:hAnsi="宋体" w:cs="宋体" w:hint="eastAsia"/>
          <w:color w:val="auto"/>
          <w:kern w:val="2"/>
          <w:sz w:val="21"/>
          <w:szCs w:val="22"/>
          <w:highlight w:val="none"/>
          <w:lang w:val="en" w:eastAsia="zh-CN" w:bidi="ar-SA"/>
        </w:rPr>
        <w:t>1</w:t>
      </w:r>
      <w:r>
        <w:rPr>
          <w:rFonts w:ascii="宋体" w:eastAsia="宋体" w:hAnsi="宋体" w:cs="宋体" w:hint="eastAsia"/>
          <w:color w:val="auto"/>
          <w:kern w:val="2"/>
          <w:sz w:val="21"/>
          <w:szCs w:val="22"/>
          <w:highlight w:val="none"/>
          <w:lang w:val="en-US" w:eastAsia="zh-CN" w:bidi="ar-SA"/>
        </w:rPr>
        <w:t>年，验收</w:t>
      </w:r>
      <w:r>
        <w:rPr>
          <w:rFonts w:ascii="宋体" w:eastAsia="宋体" w:hAnsi="宋体" w:cs="宋体" w:hint="eastAsia"/>
          <w:color w:val="auto"/>
          <w:kern w:val="2"/>
          <w:sz w:val="21"/>
          <w:szCs w:val="22"/>
          <w:highlight w:val="none"/>
          <w:lang w:val="en" w:eastAsia="zh-CN" w:bidi="ar-SA"/>
        </w:rPr>
        <w:t>1</w:t>
      </w:r>
      <w:r>
        <w:rPr>
          <w:rFonts w:ascii="宋体" w:eastAsia="宋体" w:hAnsi="宋体" w:cs="宋体" w:hint="eastAsia"/>
          <w:color w:val="auto"/>
          <w:kern w:val="2"/>
          <w:sz w:val="21"/>
          <w:szCs w:val="22"/>
          <w:highlight w:val="none"/>
          <w:lang w:val="en-US" w:eastAsia="zh-CN" w:bidi="ar-SA"/>
        </w:rPr>
        <w:t>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（4）验收参与方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本项目的验收参与方包括：采购人、中标供应商。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（5）验收流程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符合项目验收条件后，中标供应商书面提出项目验收申请。向采购人整理提交项目需求实现相关管理、技术文档电子版文件。</w:t>
      </w:r>
    </w:p>
    <w:p>
      <w:pPr>
        <w:pStyle w:val="BodyText"/>
        <w:jc w:val="both"/>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 xml:space="preserve">    采购人组织进行项目验收评审会议，对项目工作内容及文档进行验收评审。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项目验收评审通过后，采购人出具项目验收报告。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b/>
          <w:bCs w:val="0"/>
          <w:color w:val="auto"/>
          <w:kern w:val="2"/>
          <w:sz w:val="21"/>
          <w:szCs w:val="22"/>
          <w:highlight w:val="none"/>
          <w:lang w:val="en-US" w:eastAsia="zh-CN" w:bidi="ar-SA"/>
        </w:rPr>
      </w:pPr>
      <w:r>
        <w:rPr>
          <w:rFonts w:ascii="宋体" w:eastAsia="宋体" w:hAnsi="宋体" w:cs="宋体" w:hint="eastAsia"/>
          <w:b/>
          <w:bCs w:val="0"/>
          <w:color w:val="auto"/>
          <w:kern w:val="2"/>
          <w:sz w:val="21"/>
          <w:szCs w:val="22"/>
          <w:highlight w:val="none"/>
          <w:lang w:val="en-US" w:eastAsia="zh-CN" w:bidi="ar-SA"/>
        </w:rPr>
        <w:t>6.其他要求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（1）供应商要求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的供应商需具备完善的技术支持体系，提供专门的运维服务团队，运维服务管理体制健全，运维服务流程完备，运维服务手段和措施得当，可满足广西税务局金税工程运维服务管理平台的运维服务工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的供应商需充分重视项目的安全性要求，不仅要在设计和实施过程中充分考虑安全性管理要求，提供必要的安全保障机制和手段，而且在与采购人签署采购合同时，供应商及其项目参与人员要与采购人签订《安全协议》、《保密承诺书》，并严格履行协议和承诺书条款。供应商需按照采购人的涉密要求，对采购人及其既有供应商提供的所有资料和项目过程中所接触的资料均予以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采购人对项目过程中所产生的所有成果（包括：可运行系统、源代码、相关技术资料和文档等）享有永久使用权、复制权、修改权，项目开发成果的知识产权归采购人所有。供应商仅拥有与在本项目中所从事工作（包括各类纸质文档，电子文档及其它可交付物）相关的全部版权、专利权、商业秘密、商标权、其它知识产权、所有权、其它权益。供应商在开展项目任务时，不得抄袭任何他人产品或侵犯他方知识产权。除本项目工作所需外，未经采购人书面同意，供应商不得擅自使用、复制采购人的商标、标志、数据信息、文档、其他资料。供应商所提供的产品及服务不得侵犯第三方的知识产权，否则，由此给采购人造成的一切损失均由供应商承担。如果供应商在本项目中使用到第三方产品，则供应商要保证产品来源的合法性，并承担因非法使用而为采购人带来的责任及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为满足广西税务局金税工程运维服务管理平台的运维服务工作的实际需求，本项目的供应商需在运维服务、安全管理等方面具备一定的资质（如：ISO 20000服务管理体系认证证书等）。此外，为确保广西税务局金税工程运维服务管理平台的运维服务工作能连续有效地运行，供应商要获得运维平台原厂商的必要支持（供应商在投标文件提供承诺函，承诺能获得运维平台原厂商在接口对接方面，需获得原厂商对运维平台的接口、接口标准、源代码等方面的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（2）项目分包情况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本项目不分包，供应商承担广西税务局金税工程运维服务管理平台技术服务项目的全部工作。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（3）安全保障和罚则要求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sz w:val="21"/>
          <w:szCs w:val="21"/>
          <w:highlight w:val="none"/>
        </w:rPr>
        <w:t>★</w:t>
      </w:r>
      <w:r>
        <w:rPr>
          <w:rFonts w:ascii="宋体" w:eastAsia="宋体" w:hAnsi="宋体" w:cs="宋体" w:hint="eastAsia"/>
          <w:color w:val="auto"/>
          <w:kern w:val="2"/>
          <w:sz w:val="21"/>
          <w:szCs w:val="22"/>
          <w:highlight w:val="none"/>
          <w:lang w:val="en-US" w:eastAsia="zh-CN" w:bidi="ar-SA"/>
        </w:rPr>
        <w:t>1）信息安全保密要求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a.中标供应商须严格遵守国家税务总局广西壮族自治区税务局的安全保密制度。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b.中标供应商投入的项目人员须保证遵守国家有关版权和知识产权保护的政策、法律、法规和制度。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c.中标供应商投入的项目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中标供应商应负有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d.中标供应商须与国家税务总局广西壮族自治区税务局签署合同项目实施期间的信息保密协议。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e.中标供应商投入的项目人员须与国家税务总局广西壮族自治区税务局签署合同项目实施期间的信息保密承诺书。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sz w:val="21"/>
          <w:szCs w:val="21"/>
          <w:highlight w:val="none"/>
        </w:rPr>
        <w:t>★</w:t>
      </w:r>
      <w:r>
        <w:rPr>
          <w:rFonts w:ascii="宋体" w:eastAsia="宋体" w:hAnsi="宋体" w:cs="宋体" w:hint="eastAsia"/>
          <w:color w:val="auto"/>
          <w:kern w:val="2"/>
          <w:sz w:val="21"/>
          <w:szCs w:val="22"/>
          <w:highlight w:val="none"/>
          <w:lang w:val="en-US" w:eastAsia="zh-CN" w:bidi="ar-SA"/>
        </w:rPr>
        <w:t>2）供应链安全管理要求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a.中标供应商应要求供应链厂商严格落实供应链安全管理各项规定，包括按照国家相关法律法规开展的安全审查、安全评估、渗透测试等，并将供应链厂商落实情况作为项目验收的检查内容。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b.中标供应商应要求供应链厂商严格遵守采购合同、协议、承诺书等文件中的安全相关条款，对供应链厂商履行网络安全责任不到位、造成安全事件或产生不良影响的行为，采购人将视安全事件严重情况按合同总金额的20%-30%的比例进行扣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sz w:val="21"/>
          <w:szCs w:val="21"/>
          <w:highlight w:val="none"/>
        </w:rPr>
        <w:t>★</w:t>
      </w:r>
      <w:r>
        <w:rPr>
          <w:rFonts w:ascii="宋体" w:eastAsia="宋体" w:hAnsi="宋体" w:cs="宋体" w:hint="eastAsia"/>
          <w:color w:val="auto"/>
          <w:kern w:val="2"/>
          <w:sz w:val="21"/>
          <w:szCs w:val="22"/>
          <w:highlight w:val="none"/>
          <w:lang w:val="en-US" w:eastAsia="zh-CN" w:bidi="ar-SA"/>
        </w:rPr>
        <w:t>3）网络安全和数据安全管理要求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中标供应商投入的项目人员在合同期间应严格按采购人的网络安全和数据安全相关规定开展工作，由于中标供应商投入的项目人员网络安全工作落实不到位引发安全事件的，采购人将视安全事件严重情况按合同总金额的20%-30%的比例进行扣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安全事件具体内容主要包括(但不限于)以下内容：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a.因补丁升级、漏洞修复、系统杀毒、数据备份、应用监控、网络监控等工作未落实到位，发生服务器被控制和应用系统被攻破的安全事件，被主管部门通报的。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b.因违规进行税费数据查询、导出和拷出等操作造成敏感数据泄漏，以及发生非法窃取数据行为。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c.因运维操作处置不当导致重要应用系统发生严重卡顿、停用的重大事件。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sz w:val="21"/>
          <w:szCs w:val="21"/>
          <w:highlight w:val="none"/>
        </w:rPr>
        <w:t>★</w:t>
      </w:r>
      <w:r>
        <w:rPr>
          <w:rFonts w:ascii="宋体" w:eastAsia="宋体" w:hAnsi="宋体" w:cs="宋体" w:hint="eastAsia"/>
          <w:color w:val="auto"/>
          <w:kern w:val="2"/>
          <w:sz w:val="21"/>
          <w:szCs w:val="22"/>
          <w:highlight w:val="none"/>
          <w:lang w:val="en-US" w:eastAsia="zh-CN" w:bidi="ar-SA"/>
        </w:rPr>
        <w:t>4）罚则条款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eastAsia="宋体" w:hAnsi="宋体" w:cs="宋体" w:hint="eastAsia"/>
          <w:color w:val="auto"/>
          <w:kern w:val="2"/>
          <w:sz w:val="21"/>
          <w:szCs w:val="22"/>
          <w:highlight w:val="none"/>
          <w:lang w:val="en-US" w:eastAsia="zh-CN" w:bidi="ar-SA"/>
        </w:rPr>
      </w:pPr>
      <w:r>
        <w:rPr>
          <w:rFonts w:ascii="宋体" w:eastAsia="宋体" w:hAnsi="宋体" w:cs="宋体" w:hint="eastAsia"/>
          <w:color w:val="auto"/>
          <w:kern w:val="2"/>
          <w:sz w:val="21"/>
          <w:szCs w:val="22"/>
          <w:highlight w:val="none"/>
          <w:lang w:val="en-US" w:eastAsia="zh-CN" w:bidi="ar-SA"/>
        </w:rPr>
        <w:t>项目建设和运维过程中，因系统在对接、运行等服务中，导致其他系统受到影响的，由中标供应商负责组织相关服务厂商共同排查，明确问题根源、责任并报告采购人。中标供应商无法判定问题根源的，由中标供应商承担全部责任。采购人将视问题轻重、中标供应商责任大小等情况，按不高于合同总金额的5%的比例进行扣减。</w:t>
      </w:r>
    </w:p>
    <w:p>
      <w:pPr>
        <w:pStyle w:val="Heading2"/>
        <w:bidi w:val="0"/>
        <w:rPr>
          <w:rFonts w:ascii="宋体" w:eastAsia="宋体" w:hAnsi="宋体" w:cs="宋体" w:hint="eastAsia"/>
          <w:color w:val="auto"/>
          <w:sz w:val="28"/>
          <w:szCs w:val="28"/>
          <w:highlight w:val="none"/>
        </w:rPr>
      </w:pPr>
      <w:r>
        <w:rPr>
          <w:rFonts w:ascii="宋体" w:eastAsia="宋体" w:hAnsi="宋体" w:cs="宋体" w:hint="eastAsia"/>
          <w:color w:val="auto"/>
          <w:sz w:val="28"/>
          <w:szCs w:val="28"/>
          <w:highlight w:val="none"/>
          <w:lang w:eastAsia="zh-CN"/>
        </w:rPr>
        <w:t>三</w:t>
      </w:r>
      <w:r>
        <w:rPr>
          <w:rFonts w:ascii="宋体" w:eastAsia="宋体" w:hAnsi="宋体" w:cs="宋体" w:hint="eastAsia"/>
          <w:color w:val="auto"/>
          <w:sz w:val="28"/>
          <w:szCs w:val="28"/>
          <w:highlight w:val="none"/>
        </w:rPr>
        <w:t>、商务要求</w:t>
      </w:r>
    </w:p>
    <w:p>
      <w:pPr>
        <w:pStyle w:val="BodyText"/>
        <w:jc w:val="left"/>
        <w:rPr>
          <w:color w:val="auto"/>
          <w:highlight w:val="none"/>
        </w:rPr>
      </w:pPr>
      <w:r>
        <w:rPr>
          <w:rFonts w:hint="eastAsia"/>
          <w:color w:val="auto"/>
          <w:sz w:val="24"/>
          <w:szCs w:val="24"/>
          <w:highlight w:val="none"/>
        </w:rPr>
        <w:t>★</w:t>
      </w:r>
      <w:r>
        <w:rPr>
          <w:rFonts w:hint="eastAsia"/>
          <w:color w:val="auto"/>
          <w:highlight w:val="none"/>
        </w:rPr>
        <w:t>1.报价要求：</w:t>
      </w:r>
    </w:p>
    <w:p>
      <w:pPr>
        <w:pStyle w:val="BodyText"/>
        <w:ind w:firstLine="420" w:firstLineChars="200"/>
        <w:jc w:val="left"/>
        <w:rPr>
          <w:color w:val="auto"/>
          <w:highlight w:val="none"/>
        </w:rPr>
      </w:pPr>
      <w:r>
        <w:rPr>
          <w:rFonts w:hint="eastAsia"/>
          <w:color w:val="auto"/>
          <w:highlight w:val="none"/>
        </w:rPr>
        <w:t>投标报价包含但不限于以下部分：</w:t>
      </w:r>
    </w:p>
    <w:p>
      <w:pPr>
        <w:pStyle w:val="BodyText"/>
        <w:ind w:firstLine="420" w:firstLineChars="200"/>
        <w:jc w:val="left"/>
        <w:rPr>
          <w:color w:val="auto"/>
          <w:highlight w:val="none"/>
        </w:rPr>
      </w:pPr>
      <w:r>
        <w:rPr>
          <w:rFonts w:hint="eastAsia"/>
          <w:color w:val="auto"/>
          <w:highlight w:val="none"/>
        </w:rPr>
        <w:t>（1）服务的价格；</w:t>
      </w:r>
    </w:p>
    <w:p>
      <w:pPr>
        <w:pStyle w:val="BodyText"/>
        <w:ind w:firstLine="420" w:firstLineChars="200"/>
        <w:jc w:val="left"/>
        <w:rPr>
          <w:color w:val="auto"/>
          <w:highlight w:val="none"/>
        </w:rPr>
      </w:pPr>
      <w:r>
        <w:rPr>
          <w:rFonts w:hint="eastAsia"/>
          <w:color w:val="auto"/>
          <w:highlight w:val="none"/>
        </w:rPr>
        <w:t>（2）必要的保险费用和各项税金；</w:t>
      </w:r>
    </w:p>
    <w:p>
      <w:pPr>
        <w:pStyle w:val="BodyText"/>
        <w:ind w:firstLine="420" w:firstLineChars="200"/>
        <w:jc w:val="left"/>
        <w:rPr>
          <w:color w:val="auto"/>
          <w:highlight w:val="none"/>
        </w:rPr>
      </w:pPr>
      <w:r>
        <w:rPr>
          <w:rFonts w:hint="eastAsia"/>
          <w:color w:val="auto"/>
          <w:highlight w:val="none"/>
        </w:rPr>
        <w:t>（3）服务过程中所发生的一切服务费用（不含材料采购费用）；</w:t>
      </w:r>
    </w:p>
    <w:p>
      <w:pPr>
        <w:pStyle w:val="BodyText"/>
        <w:ind w:firstLine="420" w:firstLineChars="200"/>
        <w:jc w:val="left"/>
        <w:rPr>
          <w:color w:val="auto"/>
          <w:highlight w:val="none"/>
        </w:rPr>
      </w:pPr>
      <w:r>
        <w:rPr>
          <w:rFonts w:hint="eastAsia"/>
          <w:color w:val="auto"/>
          <w:highlight w:val="none"/>
        </w:rPr>
        <w:t>（4）在本项目服务期内，投标总价不予调整，采购人不再支付中标价格以外的任何费用。</w:t>
      </w:r>
    </w:p>
    <w:p>
      <w:pPr>
        <w:pStyle w:val="BodyText"/>
        <w:jc w:val="left"/>
        <w:rPr>
          <w:color w:val="auto"/>
          <w:highlight w:val="none"/>
        </w:rPr>
      </w:pPr>
      <w:r>
        <w:rPr>
          <w:rFonts w:hint="eastAsia"/>
          <w:color w:val="auto"/>
          <w:sz w:val="24"/>
          <w:szCs w:val="24"/>
          <w:highlight w:val="none"/>
        </w:rPr>
        <w:t>★</w:t>
      </w:r>
      <w:r>
        <w:rPr>
          <w:rFonts w:hint="eastAsia"/>
          <w:color w:val="auto"/>
          <w:highlight w:val="none"/>
        </w:rPr>
        <w:t>2.服务地点、服务期限</w:t>
      </w:r>
      <w:r>
        <w:rPr>
          <w:rFonts w:hint="eastAsia"/>
          <w:color w:val="auto"/>
          <w:highlight w:val="none"/>
          <w:lang w:val="en-US" w:eastAsia="zh-CN"/>
        </w:rPr>
        <w:t>及服务方式</w:t>
      </w:r>
      <w:r>
        <w:rPr>
          <w:rFonts w:hint="eastAsia"/>
          <w:color w:val="auto"/>
          <w:highlight w:val="none"/>
        </w:rPr>
        <w:t>：</w:t>
      </w:r>
    </w:p>
    <w:p>
      <w:pPr>
        <w:ind w:firstLine="420" w:firstLineChars="200"/>
        <w:jc w:val="left"/>
        <w:rPr>
          <w:color w:val="auto"/>
          <w:highlight w:val="none"/>
        </w:rPr>
      </w:pPr>
      <w:r>
        <w:rPr>
          <w:rFonts w:hint="eastAsia"/>
          <w:color w:val="auto"/>
          <w:highlight w:val="none"/>
        </w:rPr>
        <w:t>（1）服务地点：</w:t>
      </w:r>
      <w:r>
        <w:rPr>
          <w:rFonts w:hint="eastAsia"/>
          <w:color w:val="auto"/>
          <w:highlight w:val="none"/>
          <w:lang w:val="en-US" w:eastAsia="zh-CN"/>
        </w:rPr>
        <w:t>采购人指定地点</w:t>
      </w:r>
      <w:r>
        <w:rPr>
          <w:rFonts w:hint="eastAsia"/>
          <w:color w:val="auto"/>
          <w:highlight w:val="none"/>
        </w:rPr>
        <w:t>。</w:t>
      </w:r>
    </w:p>
    <w:p>
      <w:pPr>
        <w:ind w:firstLine="420" w:firstLineChars="200"/>
        <w:jc w:val="left"/>
        <w:rPr>
          <w:rFonts w:hint="eastAsia"/>
          <w:color w:val="auto"/>
          <w:highlight w:val="none"/>
        </w:rPr>
      </w:pPr>
      <w:r>
        <w:rPr>
          <w:rFonts w:hint="eastAsia"/>
          <w:color w:val="auto"/>
          <w:highlight w:val="none"/>
        </w:rPr>
        <w:t>（2）服务期限：</w:t>
      </w:r>
      <w:r>
        <w:rPr>
          <w:rFonts w:hint="eastAsia"/>
          <w:color w:val="auto"/>
          <w:highlight w:val="none"/>
          <w:lang w:val="en-US" w:eastAsia="zh-CN"/>
        </w:rPr>
        <w:t>1年</w:t>
      </w:r>
      <w:r>
        <w:rPr>
          <w:rFonts w:hint="eastAsia"/>
          <w:color w:val="auto"/>
          <w:highlight w:val="none"/>
        </w:rPr>
        <w:t>。</w:t>
      </w:r>
    </w:p>
    <w:p>
      <w:pPr>
        <w:pStyle w:val="BodyText"/>
        <w:ind w:firstLine="420" w:firstLineChars="200"/>
        <w:jc w:val="both"/>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）服务方式：</w:t>
      </w:r>
      <w:r>
        <w:rPr>
          <w:rFonts w:hint="eastAsia"/>
          <w:color w:val="auto"/>
          <w:highlight w:val="none"/>
          <w:lang w:val="en-US" w:eastAsia="zh-CN"/>
        </w:rPr>
        <w:t>远程</w:t>
      </w:r>
      <w:r>
        <w:rPr>
          <w:rFonts w:hint="eastAsia"/>
          <w:color w:val="auto"/>
          <w:highlight w:val="none"/>
        </w:rPr>
        <w:t>运维</w:t>
      </w:r>
      <w:r>
        <w:rPr>
          <w:rFonts w:hint="eastAsia"/>
          <w:color w:val="auto"/>
          <w:highlight w:val="none"/>
          <w:lang w:eastAsia="zh-CN"/>
        </w:rPr>
        <w:t>。</w:t>
      </w:r>
    </w:p>
    <w:p>
      <w:pPr>
        <w:pStyle w:val="BodyText"/>
        <w:jc w:val="left"/>
        <w:rPr>
          <w:color w:val="auto"/>
          <w:highlight w:val="none"/>
        </w:rPr>
      </w:pPr>
      <w:r>
        <w:rPr>
          <w:rFonts w:hint="eastAsia"/>
          <w:color w:val="auto"/>
          <w:sz w:val="24"/>
          <w:szCs w:val="24"/>
          <w:highlight w:val="none"/>
        </w:rPr>
        <w:t>★</w:t>
      </w:r>
      <w:r>
        <w:rPr>
          <w:rFonts w:hint="eastAsia"/>
          <w:color w:val="auto"/>
          <w:highlight w:val="none"/>
        </w:rPr>
        <w:t>3.付款方式：</w:t>
      </w:r>
    </w:p>
    <w:p>
      <w:pPr>
        <w:ind w:firstLine="420" w:firstLineChars="200"/>
        <w:jc w:val="left"/>
        <w:rPr>
          <w:rFonts w:hint="eastAsia"/>
          <w:color w:val="auto"/>
          <w:highlight w:val="none"/>
          <w:lang w:val="en-US" w:eastAsia="zh-CN"/>
        </w:rPr>
      </w:pPr>
      <w:r>
        <w:rPr>
          <w:rFonts w:hint="eastAsia"/>
          <w:color w:val="auto"/>
          <w:highlight w:val="none"/>
          <w:lang w:val="en-US" w:eastAsia="zh-CN"/>
        </w:rPr>
        <w:t>（1）第一次付款：在签订合同后且采购人收到发票10个工作日内，采购人向中标供应商支付合同总金额的50%。</w:t>
      </w:r>
    </w:p>
    <w:p>
      <w:pPr>
        <w:ind w:firstLine="420" w:firstLineChars="200"/>
        <w:jc w:val="left"/>
        <w:rPr>
          <w:rFonts w:hint="eastAsia"/>
          <w:color w:val="auto"/>
          <w:highlight w:val="none"/>
          <w:lang w:val="en-US" w:eastAsia="zh-CN"/>
        </w:rPr>
      </w:pPr>
      <w:r>
        <w:rPr>
          <w:rFonts w:hint="eastAsia"/>
          <w:color w:val="auto"/>
          <w:highlight w:val="none"/>
          <w:lang w:val="en-US" w:eastAsia="zh-CN"/>
        </w:rPr>
        <w:t xml:space="preserve">（2）在服务期满后，采购人对项目进行验收，并根据项目验收标准及合同罚责条款进行考核，按考核结果对合同服务费进行核算，采购人在收到发票后10个工作日内，采购人向中标供应商支付合同相应的剩余款项。  </w:t>
      </w:r>
    </w:p>
    <w:p>
      <w:pPr>
        <w:ind w:firstLine="420" w:firstLineChars="200"/>
        <w:jc w:val="left"/>
        <w:rPr>
          <w:rFonts w:hint="eastAsia"/>
          <w:color w:val="auto"/>
          <w:highlight w:val="none"/>
          <w:lang w:val="en-US" w:eastAsia="zh-CN"/>
        </w:rPr>
      </w:pPr>
      <w:r>
        <w:rPr>
          <w:rFonts w:hint="eastAsia"/>
          <w:color w:val="auto"/>
          <w:highlight w:val="none"/>
          <w:lang w:val="en-US" w:eastAsia="zh-CN"/>
        </w:rPr>
        <w:t>采购人付款前，中标人应向采购人开具等额有效的增值税发票，采购人未收到发票的，有权不予支付相应款项直至中标人提供合格发票，并不承担延迟付款责任。</w:t>
      </w:r>
    </w:p>
    <w:p>
      <w:pPr>
        <w:pStyle w:val="a"/>
        <w:numPr>
          <w:ilvl w:val="12"/>
          <w:numId w:val="0"/>
        </w:numPr>
        <w:ind w:firstLine="420" w:firstLineChars="200"/>
        <w:rPr>
          <w:rFonts w:ascii="仿宋" w:eastAsia="仿宋" w:hAnsi="仿宋" w:cs="仿宋" w:hint="eastAsia"/>
          <w:color w:val="auto"/>
          <w:kern w:val="2"/>
          <w:sz w:val="28"/>
          <w:szCs w:val="28"/>
          <w:highlight w:val="none"/>
          <w:lang w:val="zh-CN" w:eastAsia="zh-CN" w:bidi="ar-SA"/>
        </w:rPr>
      </w:pPr>
      <w:r>
        <w:rPr>
          <w:rFonts w:ascii="宋体" w:eastAsia="宋体" w:hAnsi="宋体" w:cs="宋体" w:hint="eastAsia"/>
          <w:color w:val="auto"/>
          <w:kern w:val="2"/>
          <w:sz w:val="21"/>
          <w:szCs w:val="21"/>
          <w:highlight w:val="none"/>
          <w:lang w:val="zh-CN" w:eastAsia="zh-CN" w:bidi="ar-SA"/>
        </w:rPr>
        <w:t>因新系统上线或采购内容需要调整等重大变故，采购人有权提前终止合同执行，费用按实际服务时间和考核结果结算，不视为采购人违约。</w:t>
      </w:r>
    </w:p>
    <w:p>
      <w:pPr>
        <w:pStyle w:val="5"/>
        <w:rPr>
          <w:color w:val="auto"/>
          <w:highlight w:val="none"/>
        </w:rPr>
      </w:pPr>
    </w:p>
    <w:p>
      <w:pPr>
        <w:pStyle w:val="Heading1"/>
        <w:bidi w:val="0"/>
        <w:rPr>
          <w:rFonts w:hint="eastAsia"/>
          <w:color w:val="auto"/>
          <w:sz w:val="28"/>
          <w:szCs w:val="28"/>
          <w:highlight w:val="none"/>
          <w:lang w:eastAsia="zh-CN"/>
        </w:rPr>
      </w:pPr>
      <w:r>
        <w:rPr>
          <w:rFonts w:hint="eastAsia"/>
          <w:color w:val="auto"/>
          <w:sz w:val="28"/>
          <w:szCs w:val="28"/>
          <w:highlight w:val="none"/>
          <w:lang w:eastAsia="zh-CN"/>
        </w:rPr>
        <w:t>三、其他事项</w:t>
      </w:r>
    </w:p>
    <w:p>
      <w:pPr>
        <w:pStyle w:val="a0"/>
        <w:bidi w:val="0"/>
        <w:spacing w:line="360" w:lineRule="auto"/>
        <w:jc w:val="left"/>
        <w:rPr>
          <w:rFonts w:hint="eastAsia"/>
          <w:color w:val="auto"/>
          <w:sz w:val="21"/>
          <w:szCs w:val="21"/>
          <w:highlight w:val="none"/>
          <w:lang w:eastAsia="zh-CN"/>
        </w:rPr>
      </w:pPr>
      <w:r>
        <w:rPr>
          <w:rFonts w:hint="eastAsia"/>
          <w:color w:val="auto"/>
          <w:sz w:val="21"/>
          <w:szCs w:val="21"/>
          <w:highlight w:val="none"/>
          <w:lang w:val="en-US" w:eastAsia="zh-CN"/>
        </w:rPr>
        <w:t>1.</w:t>
      </w:r>
      <w:r>
        <w:rPr>
          <w:color w:val="auto"/>
          <w:sz w:val="21"/>
          <w:szCs w:val="21"/>
          <w:highlight w:val="none"/>
        </w:rPr>
        <w:t>投标人可</w:t>
      </w:r>
      <w:r>
        <w:rPr>
          <w:rFonts w:hint="eastAsia"/>
          <w:color w:val="auto"/>
          <w:sz w:val="21"/>
          <w:szCs w:val="21"/>
          <w:highlight w:val="none"/>
          <w:lang w:eastAsia="zh-CN"/>
        </w:rPr>
        <w:t>以根据项目要求，在投标文件中提供包括但不限于： 项目需求理解、实施方案、</w:t>
      </w:r>
      <w:r>
        <w:rPr>
          <w:rFonts w:hint="eastAsia"/>
          <w:color w:val="auto"/>
          <w:sz w:val="21"/>
          <w:szCs w:val="21"/>
          <w:highlight w:val="none"/>
          <w:lang w:val="en-US" w:eastAsia="zh-CN"/>
        </w:rPr>
        <w:t>运行维护</w:t>
      </w:r>
      <w:r>
        <w:rPr>
          <w:rFonts w:hint="eastAsia"/>
          <w:color w:val="auto"/>
          <w:sz w:val="21"/>
          <w:szCs w:val="21"/>
          <w:highlight w:val="none"/>
          <w:lang w:eastAsia="zh-CN"/>
        </w:rPr>
        <w:t>方案、验收方案等。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both"/>
        <w:textAlignment w:val="auto"/>
        <w:rPr>
          <w:rFonts w:ascii="宋体" w:eastAsia="宋体" w:hAnsi="宋体" w:cs="宋体" w:hint="eastAsia"/>
          <w:i w:val="0"/>
          <w:iCs w:val="0"/>
          <w:snapToGrid w:val="0"/>
          <w:color w:val="auto"/>
          <w:kern w:val="0"/>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）项目需求理解：投标人</w:t>
      </w:r>
      <w:r>
        <w:rPr>
          <w:rFonts w:ascii="宋体" w:eastAsia="宋体" w:hAnsi="宋体" w:cs="宋体" w:hint="eastAsia"/>
          <w:i w:val="0"/>
          <w:iCs w:val="0"/>
          <w:snapToGrid w:val="0"/>
          <w:color w:val="auto"/>
          <w:kern w:val="0"/>
          <w:sz w:val="21"/>
          <w:szCs w:val="21"/>
          <w:highlight w:val="none"/>
        </w:rPr>
        <w:t>对招标文件中项目需求部分进行逐一响应，须充分理解项目招标内容，对</w:t>
      </w:r>
      <w:r>
        <w:rPr>
          <w:rFonts w:ascii="宋体" w:eastAsia="宋体" w:hAnsi="宋体" w:cs="宋体" w:hint="eastAsia"/>
          <w:color w:val="auto"/>
          <w:sz w:val="21"/>
          <w:szCs w:val="21"/>
          <w:highlight w:val="none"/>
        </w:rPr>
        <w:t>工作</w:t>
      </w:r>
      <w:r>
        <w:rPr>
          <w:rFonts w:ascii="宋体" w:eastAsia="宋体" w:hAnsi="宋体" w:cs="宋体" w:hint="eastAsia"/>
          <w:color w:val="auto"/>
          <w:sz w:val="21"/>
          <w:szCs w:val="21"/>
          <w:highlight w:val="none"/>
          <w:lang w:val="en-US" w:eastAsia="zh-CN"/>
        </w:rPr>
        <w:t>内容</w:t>
      </w:r>
      <w:r>
        <w:rPr>
          <w:rFonts w:hint="eastAsia"/>
          <w:color w:val="auto"/>
          <w:sz w:val="21"/>
          <w:szCs w:val="21"/>
          <w:highlight w:val="none"/>
          <w:lang w:val="en-US" w:eastAsia="zh-CN"/>
        </w:rPr>
        <w:t>、</w:t>
      </w:r>
      <w:r>
        <w:rPr>
          <w:rFonts w:ascii="宋体" w:eastAsia="宋体" w:hAnsi="宋体" w:cs="宋体" w:hint="eastAsia"/>
          <w:snapToGrid w:val="0"/>
          <w:color w:val="auto"/>
          <w:sz w:val="21"/>
          <w:szCs w:val="21"/>
          <w:highlight w:val="none"/>
        </w:rPr>
        <w:t>“</w:t>
      </w:r>
      <w:r>
        <w:rPr>
          <w:rFonts w:ascii="宋体" w:eastAsia="宋体" w:hAnsi="宋体" w:cs="宋体" w:hint="eastAsia"/>
          <w:color w:val="auto"/>
          <w:kern w:val="2"/>
          <w:sz w:val="21"/>
          <w:szCs w:val="22"/>
          <w:highlight w:val="none"/>
          <w:lang w:val="en-US" w:eastAsia="zh-CN" w:bidi="ar-SA"/>
        </w:rPr>
        <w:t>金税工程运维服务管理平台</w:t>
      </w:r>
      <w:r>
        <w:rPr>
          <w:rFonts w:ascii="宋体" w:eastAsia="宋体" w:hAnsi="宋体" w:cs="宋体" w:hint="eastAsia"/>
          <w:snapToGrid w:val="0"/>
          <w:color w:val="auto"/>
          <w:sz w:val="21"/>
          <w:szCs w:val="21"/>
          <w:highlight w:val="none"/>
        </w:rPr>
        <w:t>”</w:t>
      </w:r>
      <w:r>
        <w:rPr>
          <w:rFonts w:hint="eastAsia"/>
          <w:color w:val="auto"/>
          <w:sz w:val="21"/>
          <w:szCs w:val="21"/>
          <w:highlight w:val="none"/>
        </w:rPr>
        <w:t>基本情况及</w:t>
      </w:r>
      <w:r>
        <w:rPr>
          <w:rFonts w:hint="eastAsia"/>
          <w:color w:val="auto"/>
          <w:sz w:val="21"/>
          <w:szCs w:val="21"/>
          <w:highlight w:val="none"/>
          <w:lang w:val="en-US" w:eastAsia="zh-CN"/>
        </w:rPr>
        <w:t>现状要求</w:t>
      </w:r>
      <w:r>
        <w:rPr>
          <w:color w:val="auto"/>
          <w:sz w:val="21"/>
          <w:szCs w:val="21"/>
          <w:highlight w:val="none"/>
        </w:rPr>
        <w:t>、项目实施的</w:t>
      </w:r>
      <w:r>
        <w:rPr>
          <w:rFonts w:hint="eastAsia"/>
          <w:color w:val="auto"/>
          <w:sz w:val="21"/>
          <w:szCs w:val="21"/>
          <w:highlight w:val="none"/>
        </w:rPr>
        <w:t>重点及难点</w:t>
      </w:r>
      <w:r>
        <w:rPr>
          <w:color w:val="auto"/>
          <w:sz w:val="21"/>
          <w:szCs w:val="21"/>
          <w:highlight w:val="none"/>
        </w:rPr>
        <w:t>，对应措施</w:t>
      </w:r>
      <w:r>
        <w:rPr>
          <w:rFonts w:hint="eastAsia"/>
          <w:color w:val="auto"/>
          <w:sz w:val="21"/>
          <w:szCs w:val="21"/>
          <w:highlight w:val="none"/>
          <w:lang w:eastAsia="zh-CN"/>
        </w:rPr>
        <w:t>等方面进行详细、深入阐述和分析</w:t>
      </w:r>
      <w:r>
        <w:rPr>
          <w:rFonts w:ascii="宋体" w:eastAsia="宋体" w:hAnsi="宋体" w:cs="宋体" w:hint="eastAsia"/>
          <w:i w:val="0"/>
          <w:iCs w:val="0"/>
          <w:snapToGrid w:val="0"/>
          <w:color w:val="auto"/>
          <w:kern w:val="0"/>
          <w:sz w:val="21"/>
          <w:szCs w:val="21"/>
          <w:highlight w:val="none"/>
        </w:rPr>
        <w:t>。</w:t>
      </w:r>
    </w:p>
    <w:p>
      <w:pPr>
        <w:pStyle w:val="a0"/>
        <w:bidi w:val="0"/>
        <w:spacing w:line="360" w:lineRule="auto"/>
        <w:jc w:val="left"/>
        <w:rPr>
          <w:rFonts w:hint="eastAsia"/>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实施方案：投标人对本项目需求制订的</w:t>
      </w:r>
      <w:r>
        <w:rPr>
          <w:rFonts w:ascii="宋体" w:hAnsi="宋体" w:cs="宋体" w:hint="eastAsia"/>
          <w:snapToGrid w:val="0"/>
          <w:color w:val="auto"/>
          <w:sz w:val="21"/>
          <w:szCs w:val="21"/>
          <w:highlight w:val="none"/>
        </w:rPr>
        <w:t>实施进度计划、</w:t>
      </w:r>
      <w:r>
        <w:rPr>
          <w:rFonts w:ascii="宋体" w:hAnsi="宋体" w:cs="宋体" w:hint="eastAsia"/>
          <w:snapToGrid w:val="0"/>
          <w:color w:val="auto"/>
          <w:sz w:val="21"/>
          <w:szCs w:val="21"/>
          <w:highlight w:val="none"/>
          <w:lang w:eastAsia="zh-CN"/>
        </w:rPr>
        <w:t>项目</w:t>
      </w:r>
      <w:r>
        <w:rPr>
          <w:rFonts w:ascii="宋体" w:hAnsi="宋体" w:cs="宋体" w:hint="eastAsia"/>
          <w:snapToGrid w:val="0"/>
          <w:color w:val="auto"/>
          <w:sz w:val="21"/>
          <w:szCs w:val="21"/>
          <w:highlight w:val="none"/>
        </w:rPr>
        <w:t>管理组织</w:t>
      </w:r>
      <w:r>
        <w:rPr>
          <w:rFonts w:ascii="宋体" w:hAnsi="宋体" w:cs="宋体" w:hint="eastAsia"/>
          <w:snapToGrid w:val="0"/>
          <w:color w:val="auto"/>
          <w:sz w:val="21"/>
          <w:szCs w:val="21"/>
          <w:highlight w:val="none"/>
          <w:lang w:val="en-US" w:eastAsia="zh-CN"/>
        </w:rPr>
        <w:t>管控</w:t>
      </w:r>
      <w:r>
        <w:rPr>
          <w:rFonts w:ascii="宋体" w:hAnsi="宋体" w:cs="宋体" w:hint="eastAsia"/>
          <w:snapToGrid w:val="0"/>
          <w:color w:val="auto"/>
          <w:sz w:val="21"/>
          <w:szCs w:val="21"/>
          <w:highlight w:val="none"/>
          <w:lang w:eastAsia="zh-CN"/>
        </w:rPr>
        <w:t>、</w:t>
      </w:r>
      <w:r>
        <w:rPr>
          <w:rFonts w:ascii="宋体" w:hAnsi="宋体" w:cs="宋体" w:hint="eastAsia"/>
          <w:snapToGrid w:val="0"/>
          <w:color w:val="auto"/>
          <w:sz w:val="21"/>
          <w:szCs w:val="21"/>
          <w:highlight w:val="none"/>
          <w:lang w:val="en-US" w:eastAsia="zh-CN"/>
        </w:rPr>
        <w:t>项目实施过程</w:t>
      </w:r>
      <w:r>
        <w:rPr>
          <w:color w:val="auto"/>
          <w:sz w:val="21"/>
          <w:szCs w:val="21"/>
          <w:highlight w:val="none"/>
        </w:rPr>
        <w:t>等</w:t>
      </w:r>
      <w:r>
        <w:rPr>
          <w:rFonts w:hint="eastAsia"/>
          <w:color w:val="auto"/>
          <w:sz w:val="21"/>
          <w:szCs w:val="21"/>
          <w:highlight w:val="none"/>
          <w:lang w:eastAsia="zh-CN"/>
        </w:rPr>
        <w:t>实施方案完整、详细、具有可操作性。</w:t>
      </w:r>
    </w:p>
    <w:p>
      <w:pPr>
        <w:pStyle w:val="a0"/>
        <w:bidi w:val="0"/>
        <w:spacing w:line="360" w:lineRule="auto"/>
        <w:jc w:val="left"/>
        <w:rPr>
          <w:rFonts w:hint="eastAsia"/>
          <w:color w:val="auto"/>
          <w:sz w:val="21"/>
          <w:szCs w:val="21"/>
          <w:highlight w:val="none"/>
          <w:lang w:eastAsia="zh-CN"/>
        </w:rPr>
      </w:pPr>
      <w:r>
        <w:rPr>
          <w:rFonts w:hint="eastAsia"/>
          <w:color w:val="auto"/>
          <w:sz w:val="21"/>
          <w:szCs w:val="21"/>
          <w:highlight w:val="none"/>
          <w:lang w:val="en-US" w:eastAsia="zh-CN"/>
        </w:rPr>
        <w:t>（3）运行维护</w:t>
      </w:r>
      <w:r>
        <w:rPr>
          <w:rFonts w:hint="eastAsia"/>
          <w:color w:val="auto"/>
          <w:sz w:val="21"/>
          <w:szCs w:val="21"/>
          <w:highlight w:val="none"/>
          <w:lang w:eastAsia="zh-CN"/>
        </w:rPr>
        <w:t>方案：投标人对本项目需求制订</w:t>
      </w:r>
      <w:r>
        <w:rPr>
          <w:rFonts w:hint="eastAsia"/>
          <w:color w:val="auto"/>
          <w:sz w:val="21"/>
          <w:szCs w:val="21"/>
          <w:highlight w:val="none"/>
          <w:lang w:val="en-US" w:eastAsia="zh-CN"/>
        </w:rPr>
        <w:t>运行维护</w:t>
      </w:r>
      <w:r>
        <w:rPr>
          <w:rFonts w:hint="eastAsia"/>
          <w:color w:val="auto"/>
          <w:sz w:val="21"/>
          <w:szCs w:val="21"/>
          <w:highlight w:val="none"/>
          <w:lang w:eastAsia="zh-CN"/>
        </w:rPr>
        <w:t>方案</w:t>
      </w:r>
      <w:r>
        <w:rPr>
          <w:rFonts w:hint="eastAsia"/>
          <w:color w:val="auto"/>
          <w:sz w:val="21"/>
          <w:szCs w:val="21"/>
          <w:highlight w:val="none"/>
        </w:rPr>
        <w:t>，</w:t>
      </w:r>
      <w:r>
        <w:rPr>
          <w:rFonts w:hint="eastAsia"/>
          <w:color w:val="auto"/>
          <w:sz w:val="21"/>
          <w:szCs w:val="21"/>
          <w:highlight w:val="none"/>
          <w:lang w:val="en-US" w:eastAsia="zh-CN"/>
        </w:rPr>
        <w:t>包括但不限于</w:t>
      </w:r>
      <w:r>
        <w:rPr>
          <w:rFonts w:hint="eastAsia"/>
          <w:color w:val="auto"/>
          <w:sz w:val="21"/>
          <w:szCs w:val="21"/>
          <w:highlight w:val="none"/>
        </w:rPr>
        <w:t>服务方式、响应时间、解决时限</w:t>
      </w:r>
      <w:r>
        <w:rPr>
          <w:rFonts w:hint="eastAsia"/>
          <w:color w:val="auto"/>
          <w:sz w:val="21"/>
          <w:szCs w:val="21"/>
          <w:highlight w:val="none"/>
          <w:lang w:eastAsia="zh-CN"/>
        </w:rPr>
        <w:t>等，运行维护方案</w:t>
      </w:r>
      <w:r>
        <w:rPr>
          <w:rFonts w:hint="eastAsia"/>
          <w:color w:val="auto"/>
          <w:sz w:val="21"/>
          <w:szCs w:val="21"/>
          <w:highlight w:val="none"/>
          <w:lang w:val="en-US" w:eastAsia="zh-CN"/>
        </w:rPr>
        <w:t>应</w:t>
      </w:r>
      <w:r>
        <w:rPr>
          <w:rFonts w:hint="eastAsia"/>
          <w:color w:val="auto"/>
          <w:sz w:val="21"/>
          <w:szCs w:val="21"/>
          <w:highlight w:val="none"/>
          <w:lang w:eastAsia="zh-CN"/>
        </w:rPr>
        <w:t>完整、详细、具有可操作性。</w:t>
      </w:r>
    </w:p>
    <w:p>
      <w:pPr>
        <w:pStyle w:val="a0"/>
        <w:bidi w:val="0"/>
        <w:spacing w:line="360" w:lineRule="auto"/>
        <w:jc w:val="left"/>
        <w:rPr>
          <w:color w:val="auto"/>
          <w:highlight w:val="none"/>
        </w:rPr>
      </w:pPr>
      <w:r>
        <w:rPr>
          <w:rFonts w:hint="eastAsia"/>
          <w:color w:val="auto"/>
          <w:sz w:val="21"/>
          <w:szCs w:val="21"/>
          <w:highlight w:val="none"/>
          <w:lang w:val="en-US" w:eastAsia="zh-CN"/>
        </w:rPr>
        <w:t>（4）</w:t>
      </w:r>
      <w:r>
        <w:rPr>
          <w:rFonts w:hint="eastAsia"/>
          <w:color w:val="auto"/>
          <w:sz w:val="21"/>
          <w:szCs w:val="21"/>
          <w:highlight w:val="none"/>
          <w:lang w:eastAsia="zh-CN"/>
        </w:rPr>
        <w:t>验收方案：投标人对本项目验收要求制订的验收内容、验收方式、验收流程及标准、验收交付物、验收中出现问题的解决办法和补救措施等验收方案内容完整、详细、具有可操作性。</w:t>
      </w:r>
    </w:p>
    <w:sectPr>
      <w:footerReference w:type="default" r:id="rId12"/>
      <w:pgSz w:w="11906" w:h="16838"/>
      <w:pgMar w:top="1417" w:right="1417" w:bottom="1417" w:left="141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embedRegular r:id="rId1" w:subsetted="1" w:fontKey="{C842009C-2D56-41DB-9684-9C934B84C1B4}"/>
  </w:font>
  <w:font w:name="黑体">
    <w:panose1 w:val="02010609060101010101"/>
    <w:charset w:val="86"/>
    <w:family w:val="auto"/>
    <w:pitch w:val="default"/>
    <w:sig w:usb0="800002BF" w:usb1="38CF7CFA" w:usb2="00000016" w:usb3="00000000" w:csb0="00040001" w:csb1="00000000"/>
    <w:embedRegular r:id="rId2" w:subsetted="1" w:fontKey="{0B53F06D-F6E1-4B63-9298-73676102AEDD}"/>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subsetted="1" w:fontKey="{00CCFA41-0CA4-4FE3-B324-DF7C57EAB1EF}"/>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altName w:val="Arial Unicode MS"/>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subsetted="1" w:fontKey="{8C97F4C5-543B-4679-BBD0-27BA6EDEF5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5" w:subsetted="1" w:fontKey="{EAB60784-0D20-4DA5-B9AC-E94FB38A04E8}"/>
  </w:font>
  <w:font w:name="仿宋_GB2312">
    <w:panose1 w:val="02010609030101010101"/>
    <w:charset w:val="86"/>
    <w:family w:val="modern"/>
    <w:pitch w:val="default"/>
    <w:sig w:usb0="00000001" w:usb1="080E0000" w:usb2="00000000" w:usb3="00000000" w:csb0="00040000" w:csb1="00000000"/>
    <w:embedRegular r:id="rId6" w:subsetted="1" w:fontKey="{8AA12F16-FCB7-42DE-AE48-196465007CA2}"/>
  </w:font>
  <w:font w:name="MS Mincho">
    <w:panose1 w:val="02020609040205080304"/>
    <w:charset w:val="80"/>
    <w:family w:val="modern"/>
    <w:pitch w:val="default"/>
    <w:sig w:usb0="E00002FF" w:usb1="6AC7FDFB" w:usb2="00000012" w:usb3="00000000" w:csb0="4002009F" w:csb1="DFD70000"/>
    <w:embedRegular r:id="rId7" w:subsetted="1" w:fontKey="{C1AD9823-0A5A-47AC-BF23-706D3D719CB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p/>
  <w:p/>
  <w:p/>
  <w:p/>
  <w:p/>
  <w:p/>
  <w:p/>
  <w:p/>
  <w:p/>
  <w:p/>
  <w:p/>
  <w:p/>
  <w:p/>
  <w:p/>
  <w:p/>
  <w:p/>
  <w:p/>
  <w:p/>
  <w:p/>
  <w:p/>
  <w:p/>
  <w:p/>
  <w:p/>
  <w:p/>
  <w:p/>
  <w:p/>
  <w:p/>
  <w:p/>
  <w:p/>
  <w:p/>
  <w:p/>
  <w:p/>
  <w:p/>
  <w:p/>
  <w:p/>
  <w:p/>
  <w:p/>
  <w:p/>
  <w:p/>
  <w:p/>
  <w:p/>
  <w:p/>
  <w:p/>
  <w:p/>
  <w:p/>
  <w:p/>
  <w:p/>
  <w:p/>
  <w:p/>
  <w:p/>
  <w:p/>
  <w:p/>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a:effectLst/>
                    </wps:spPr>
                    <wps:txbx>
                      <w:txbxContent>
                        <w:p>
                          <w:pPr>
                            <w:jc w:val="center"/>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50" type="#_x0000_t202" style="width:2in;height:2in;margin-top:0;margin-left:0;mso-height-relative:page;mso-position-horizontal:outside;mso-position-horizontal-relative:margin;mso-width-relative:page;mso-wrap-style:none;position:absolute;z-index:251661312" coordsize="21600,21600" filled="f" stroked="f">
              <o:lock v:ext="edit" aspectratio="f"/>
              <v:textbox style="mso-fit-shape-to-text:t" inset="0,0,0,0">
                <w:txbxContent>
                  <w:p>
                    <w:pPr>
                      <w:jc w:val="center"/>
                    </w:pPr>
                    <w:r>
                      <w:t xml:space="preserve">— </w:t>
                    </w:r>
                    <w:r>
                      <w:fldChar w:fldCharType="begin"/>
                    </w:r>
                    <w:r>
                      <w:instrText xml:space="preserve"> PAGE  \* MERGEFORMAT </w:instrText>
                    </w:r>
                    <w:r>
                      <w:fldChar w:fldCharType="separate"/>
                    </w:r>
                    <w:r>
                      <w:t>65</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rFonts w:ascii="宋体" w:hAnsi="宋体"/>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a:effectLst/>
                    </wps:spPr>
                    <wps:txbx>
                      <w:txbxContent>
                        <w:p>
                          <w:pPr>
                            <w:jc w:val="center"/>
                          </w:pPr>
                          <w:r>
                            <w:t xml:space="preserve">— </w:t>
                          </w:r>
                          <w:r>
                            <w:fldChar w:fldCharType="begin"/>
                          </w:r>
                          <w:r>
                            <w:instrText xml:space="preserve"> PAGE  \* MERGEFORMAT </w:instrText>
                          </w:r>
                          <w:r>
                            <w:fldChar w:fldCharType="separate"/>
                          </w:r>
                          <w:r>
                            <w:t>49</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2049" type="#_x0000_t202" style="width:2in;height:2in;margin-top:0;margin-left:0;mso-height-relative:page;mso-position-horizontal:outside;mso-position-horizontal-relative:margin;mso-width-relative:page;mso-wrap-style:none;position:absolute;z-index:251665408" coordsize="21600,21600" filled="f" stroked="f">
              <o:lock v:ext="edit" aspectratio="f"/>
              <v:textbox style="mso-fit-shape-to-text:t" inset="0,0,0,0">
                <w:txbxContent>
                  <w:p>
                    <w:pPr>
                      <w:jc w:val="center"/>
                    </w:pPr>
                    <w:r>
                      <w:t xml:space="preserve">— </w:t>
                    </w:r>
                    <w:r>
                      <w:fldChar w:fldCharType="begin"/>
                    </w:r>
                    <w:r>
                      <w:instrText xml:space="preserve"> PAGE  \* MERGEFORMAT </w:instrText>
                    </w:r>
                    <w:r>
                      <w:fldChar w:fldCharType="separate"/>
                    </w:r>
                    <w:r>
                      <w:t>49</w:t>
                    </w:r>
                    <w:r>
                      <w:fldChar w:fldCharType="end"/>
                    </w:r>
                    <w: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30</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52" type="#_x0000_t202" style="width:2in;height:2in;margin-top:0;margin-left:0;mso-height-relative:page;mso-position-horizontal:outside;mso-position-horizontal-relative:margin;mso-width-relative:page;mso-wrap-style:none;position:absolute;z-index:251663360" coordsize="21600,21600" filled="f" stroked="f">
              <o:lock v:ext="edit" aspectratio="f"/>
              <v:textbox style="mso-fit-shape-to-text:t" inset="0,0,0,0">
                <w:txbxContent>
                  <w:p>
                    <w:r>
                      <w:t xml:space="preserve">— </w:t>
                    </w:r>
                    <w:r>
                      <w:fldChar w:fldCharType="begin"/>
                    </w:r>
                    <w:r>
                      <w:instrText xml:space="preserve"> PAGE  \* MERGEFORMAT </w:instrText>
                    </w:r>
                    <w:r>
                      <w:fldChar w:fldCharType="separate"/>
                    </w:r>
                    <w:r>
                      <w:t>30</w:t>
                    </w:r>
                    <w:r>
                      <w:fldChar w:fldCharType="end"/>
                    </w:r>
                    <w: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宋体" w:hAnsi="宋体"/>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29</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2051" type="#_x0000_t202" style="width:2in;height:2in;margin-top:0;margin-left:0;mso-height-relative:page;mso-position-horizontal:outside;mso-position-horizontal-relative:margin;mso-width-relative:page;mso-wrap-style:none;position:absolute;z-index:251667456" coordsize="21600,21600" filled="f" stroked="f">
              <o:lock v:ext="edit" aspectratio="f"/>
              <v:textbox style="mso-fit-shape-to-text:t" inset="0,0,0,0">
                <w:txbxContent>
                  <w:p>
                    <w:r>
                      <w:t xml:space="preserve">— </w:t>
                    </w:r>
                    <w:r>
                      <w:fldChar w:fldCharType="begin"/>
                    </w:r>
                    <w:r>
                      <w:instrText xml:space="preserve"> PAGE  \* MERGEFORMAT </w:instrText>
                    </w:r>
                    <w:r>
                      <w:fldChar w:fldCharType="separate"/>
                    </w:r>
                    <w:r>
                      <w:t>29</w:t>
                    </w:r>
                    <w:r>
                      <w:fldChar w:fldCharType="end"/>
                    </w:r>
                    <w: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99</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2053"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r>
                      <w:t xml:space="preserve">— </w:t>
                    </w:r>
                    <w:r>
                      <w:fldChar w:fldCharType="begin"/>
                    </w:r>
                    <w:r>
                      <w:instrText xml:space="preserve"> PAGE  \* MERGEFORMAT </w:instrText>
                    </w:r>
                    <w:r>
                      <w:fldChar w:fldCharType="separate"/>
                    </w:r>
                    <w:r>
                      <w:t>99</w:t>
                    </w:r>
                    <w:r>
                      <w:fldChar w:fldCharType="end"/>
                    </w:r>
                    <w:r>
                      <w:t xml:space="preserve"> —</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865711"/>
    <w:multiLevelType w:val="singleLevel"/>
    <w:tmpl w:val="2C865711"/>
    <w:lvl w:ilvl="0">
      <w:start w:val="1"/>
      <w:numFmt w:val="chineseCounting"/>
      <w:suff w:val="space"/>
      <w:lvlText w:val="第%1章"/>
      <w:lvlJc w:val="left"/>
      <w:rPr>
        <w:rFonts w:hint="eastAsia"/>
      </w:rPr>
    </w:lvl>
  </w:abstractNum>
  <w:abstractNum w:abstractNumId="1">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0"/>
      <w:numFmt w:val="none"/>
      <w:lvlJc w:val="left"/>
      <w:pPr>
        <w:tabs>
          <w:tab w:val="left" w:pos="360"/>
        </w:tabs>
      </w:pPr>
      <w:rPr>
        <w:rFonts w:cs="Times New Roman"/>
      </w:rPr>
    </w:lvl>
    <w:lvl w:ilvl="3">
      <w:start w:val="0"/>
      <w:numFmt w:val="none"/>
      <w:lvlJc w:val="left"/>
      <w:pPr>
        <w:tabs>
          <w:tab w:val="left" w:pos="360"/>
        </w:tabs>
      </w:pPr>
      <w:rPr>
        <w:rFonts w:cs="Times New Roman"/>
      </w:rPr>
    </w:lvl>
    <w:lvl w:ilvl="4">
      <w:start w:val="0"/>
      <w:numFmt w:val="decimal"/>
      <w:pStyle w:val="5"/>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ADFB88D9"/>
    <w:rsid w:val="00344C95"/>
    <w:rsid w:val="005D5B0F"/>
    <w:rsid w:val="008D4EE8"/>
    <w:rsid w:val="00996EE6"/>
    <w:rsid w:val="00B561ED"/>
    <w:rsid w:val="00DC19CB"/>
    <w:rsid w:val="010B22B0"/>
    <w:rsid w:val="011473B7"/>
    <w:rsid w:val="01786995"/>
    <w:rsid w:val="018C519F"/>
    <w:rsid w:val="01987C07"/>
    <w:rsid w:val="02380E83"/>
    <w:rsid w:val="023870D5"/>
    <w:rsid w:val="024B505A"/>
    <w:rsid w:val="02AE1145"/>
    <w:rsid w:val="02C92162"/>
    <w:rsid w:val="03073A0C"/>
    <w:rsid w:val="035717DD"/>
    <w:rsid w:val="03AB3FDE"/>
    <w:rsid w:val="03B95638"/>
    <w:rsid w:val="03DC3871"/>
    <w:rsid w:val="041651F4"/>
    <w:rsid w:val="04444DA5"/>
    <w:rsid w:val="04504BAA"/>
    <w:rsid w:val="04646046"/>
    <w:rsid w:val="04801A44"/>
    <w:rsid w:val="04975458"/>
    <w:rsid w:val="04AE75D0"/>
    <w:rsid w:val="04B939E5"/>
    <w:rsid w:val="04DD3F64"/>
    <w:rsid w:val="04E56FAB"/>
    <w:rsid w:val="05065269"/>
    <w:rsid w:val="052E44FE"/>
    <w:rsid w:val="054B35C3"/>
    <w:rsid w:val="05BA5A3D"/>
    <w:rsid w:val="05C84C14"/>
    <w:rsid w:val="05CB394A"/>
    <w:rsid w:val="05F532CC"/>
    <w:rsid w:val="06233BF8"/>
    <w:rsid w:val="06471FDD"/>
    <w:rsid w:val="065F10D4"/>
    <w:rsid w:val="06744A4C"/>
    <w:rsid w:val="06B17456"/>
    <w:rsid w:val="071A149F"/>
    <w:rsid w:val="07447AF0"/>
    <w:rsid w:val="07D21D7A"/>
    <w:rsid w:val="07D9342B"/>
    <w:rsid w:val="07F10452"/>
    <w:rsid w:val="0808616E"/>
    <w:rsid w:val="080E48E0"/>
    <w:rsid w:val="081A0B51"/>
    <w:rsid w:val="0850455A"/>
    <w:rsid w:val="08601134"/>
    <w:rsid w:val="08E83CC9"/>
    <w:rsid w:val="093F343F"/>
    <w:rsid w:val="09590E93"/>
    <w:rsid w:val="0983332C"/>
    <w:rsid w:val="09840E52"/>
    <w:rsid w:val="09BA2AC6"/>
    <w:rsid w:val="09CF031F"/>
    <w:rsid w:val="09FE472E"/>
    <w:rsid w:val="0A077A73"/>
    <w:rsid w:val="0A4A3E4A"/>
    <w:rsid w:val="0A6F565E"/>
    <w:rsid w:val="0A7669ED"/>
    <w:rsid w:val="0AB614DF"/>
    <w:rsid w:val="0ADB0F46"/>
    <w:rsid w:val="0AE739EB"/>
    <w:rsid w:val="0AF006B5"/>
    <w:rsid w:val="0AFB574B"/>
    <w:rsid w:val="0B097BE1"/>
    <w:rsid w:val="0B1F52D6"/>
    <w:rsid w:val="0B3C19E4"/>
    <w:rsid w:val="0B6C5B60"/>
    <w:rsid w:val="0B7A075E"/>
    <w:rsid w:val="0B901AB9"/>
    <w:rsid w:val="0BA15CEB"/>
    <w:rsid w:val="0BB7550F"/>
    <w:rsid w:val="0BCB720C"/>
    <w:rsid w:val="0BCD088E"/>
    <w:rsid w:val="0BDE6F3F"/>
    <w:rsid w:val="0BE56359"/>
    <w:rsid w:val="0BF66617"/>
    <w:rsid w:val="0C34363E"/>
    <w:rsid w:val="0C3F528B"/>
    <w:rsid w:val="0C85560D"/>
    <w:rsid w:val="0CB97065"/>
    <w:rsid w:val="0D7A4A46"/>
    <w:rsid w:val="0D8238FA"/>
    <w:rsid w:val="0DC161D1"/>
    <w:rsid w:val="0DDA54E4"/>
    <w:rsid w:val="0DF26CD2"/>
    <w:rsid w:val="0E082393"/>
    <w:rsid w:val="0E0F5359"/>
    <w:rsid w:val="0E4532A6"/>
    <w:rsid w:val="0E527771"/>
    <w:rsid w:val="0E695C3E"/>
    <w:rsid w:val="0E710A41"/>
    <w:rsid w:val="0E987FB3"/>
    <w:rsid w:val="0EAA3109"/>
    <w:rsid w:val="0ED49105"/>
    <w:rsid w:val="0EE4486D"/>
    <w:rsid w:val="0F386966"/>
    <w:rsid w:val="0F4A0448"/>
    <w:rsid w:val="0F522866"/>
    <w:rsid w:val="0FAB538A"/>
    <w:rsid w:val="0FB84D8A"/>
    <w:rsid w:val="0FE12B5A"/>
    <w:rsid w:val="0FE64614"/>
    <w:rsid w:val="0FEC3966"/>
    <w:rsid w:val="101271B8"/>
    <w:rsid w:val="102637F6"/>
    <w:rsid w:val="1074577C"/>
    <w:rsid w:val="10A41E19"/>
    <w:rsid w:val="10CB14AD"/>
    <w:rsid w:val="10E941DA"/>
    <w:rsid w:val="12246685"/>
    <w:rsid w:val="122B037F"/>
    <w:rsid w:val="12585556"/>
    <w:rsid w:val="126E269F"/>
    <w:rsid w:val="12816876"/>
    <w:rsid w:val="129E2F84"/>
    <w:rsid w:val="12BC5CCC"/>
    <w:rsid w:val="13154BB1"/>
    <w:rsid w:val="13210FDF"/>
    <w:rsid w:val="133631BD"/>
    <w:rsid w:val="13421B62"/>
    <w:rsid w:val="13D03611"/>
    <w:rsid w:val="13F05A62"/>
    <w:rsid w:val="140D329F"/>
    <w:rsid w:val="14186D67"/>
    <w:rsid w:val="14307054"/>
    <w:rsid w:val="14321BD6"/>
    <w:rsid w:val="144813FA"/>
    <w:rsid w:val="14627CF2"/>
    <w:rsid w:val="14725B4F"/>
    <w:rsid w:val="14755F67"/>
    <w:rsid w:val="147A24C7"/>
    <w:rsid w:val="148B12E6"/>
    <w:rsid w:val="14AD3953"/>
    <w:rsid w:val="14B24835"/>
    <w:rsid w:val="14F42157"/>
    <w:rsid w:val="14F7697C"/>
    <w:rsid w:val="152534E9"/>
    <w:rsid w:val="152E4A94"/>
    <w:rsid w:val="153656F6"/>
    <w:rsid w:val="154649B5"/>
    <w:rsid w:val="155362A8"/>
    <w:rsid w:val="15BB5EE5"/>
    <w:rsid w:val="15C90318"/>
    <w:rsid w:val="15DD3DC4"/>
    <w:rsid w:val="15FE02D6"/>
    <w:rsid w:val="165446C6"/>
    <w:rsid w:val="16777D74"/>
    <w:rsid w:val="167D1103"/>
    <w:rsid w:val="16A13043"/>
    <w:rsid w:val="16D03928"/>
    <w:rsid w:val="17001966"/>
    <w:rsid w:val="17017B2B"/>
    <w:rsid w:val="172D2B29"/>
    <w:rsid w:val="172E39E8"/>
    <w:rsid w:val="1741533C"/>
    <w:rsid w:val="17602EFE"/>
    <w:rsid w:val="17626C76"/>
    <w:rsid w:val="17914E66"/>
    <w:rsid w:val="17A96653"/>
    <w:rsid w:val="17AA23CB"/>
    <w:rsid w:val="17DE3E23"/>
    <w:rsid w:val="18047D2E"/>
    <w:rsid w:val="18446B32"/>
    <w:rsid w:val="18B660FA"/>
    <w:rsid w:val="18C1177B"/>
    <w:rsid w:val="18DA283C"/>
    <w:rsid w:val="18DC4807"/>
    <w:rsid w:val="18E216F1"/>
    <w:rsid w:val="192B12EA"/>
    <w:rsid w:val="19483C4A"/>
    <w:rsid w:val="19592F7B"/>
    <w:rsid w:val="195E346D"/>
    <w:rsid w:val="19AF3CC9"/>
    <w:rsid w:val="19B47531"/>
    <w:rsid w:val="1A163D48"/>
    <w:rsid w:val="1A197394"/>
    <w:rsid w:val="1A1D6E85"/>
    <w:rsid w:val="1A432038"/>
    <w:rsid w:val="1AF31906"/>
    <w:rsid w:val="1AFA5418"/>
    <w:rsid w:val="1AFF1F6C"/>
    <w:rsid w:val="1B0818E3"/>
    <w:rsid w:val="1B0E2C71"/>
    <w:rsid w:val="1B1E1D64"/>
    <w:rsid w:val="1B2C4EE3"/>
    <w:rsid w:val="1B334486"/>
    <w:rsid w:val="1B6A434C"/>
    <w:rsid w:val="1BCF41AF"/>
    <w:rsid w:val="1BEF65FF"/>
    <w:rsid w:val="1C0D7613"/>
    <w:rsid w:val="1C475C36"/>
    <w:rsid w:val="1C752FA8"/>
    <w:rsid w:val="1CB803B9"/>
    <w:rsid w:val="1CC47A8B"/>
    <w:rsid w:val="1CF57C45"/>
    <w:rsid w:val="1DA8115B"/>
    <w:rsid w:val="1DC77437"/>
    <w:rsid w:val="1E351421"/>
    <w:rsid w:val="1E4470D6"/>
    <w:rsid w:val="1E735708"/>
    <w:rsid w:val="1E965458"/>
    <w:rsid w:val="1EA27958"/>
    <w:rsid w:val="1EFA3C38"/>
    <w:rsid w:val="1F016D75"/>
    <w:rsid w:val="1F066139"/>
    <w:rsid w:val="1F4268F0"/>
    <w:rsid w:val="1F7321DD"/>
    <w:rsid w:val="1F8F6679"/>
    <w:rsid w:val="1F923E71"/>
    <w:rsid w:val="1F9C6A9E"/>
    <w:rsid w:val="1FD91AA0"/>
    <w:rsid w:val="20191E9C"/>
    <w:rsid w:val="20270A5D"/>
    <w:rsid w:val="20447FB9"/>
    <w:rsid w:val="20684BD2"/>
    <w:rsid w:val="20B35E4D"/>
    <w:rsid w:val="20FF72E4"/>
    <w:rsid w:val="21254871"/>
    <w:rsid w:val="21260517"/>
    <w:rsid w:val="21313216"/>
    <w:rsid w:val="21C1390C"/>
    <w:rsid w:val="21D10A66"/>
    <w:rsid w:val="21E83DB9"/>
    <w:rsid w:val="222A3D68"/>
    <w:rsid w:val="227C6712"/>
    <w:rsid w:val="22981D7A"/>
    <w:rsid w:val="22B479F9"/>
    <w:rsid w:val="23137077"/>
    <w:rsid w:val="232474D6"/>
    <w:rsid w:val="235D672C"/>
    <w:rsid w:val="23CE2988"/>
    <w:rsid w:val="23DA5383"/>
    <w:rsid w:val="23EE53EE"/>
    <w:rsid w:val="240E783E"/>
    <w:rsid w:val="243472A5"/>
    <w:rsid w:val="24765B0F"/>
    <w:rsid w:val="249B34D3"/>
    <w:rsid w:val="249E6E14"/>
    <w:rsid w:val="24CC1BD3"/>
    <w:rsid w:val="250F3174"/>
    <w:rsid w:val="25950217"/>
    <w:rsid w:val="25DA5990"/>
    <w:rsid w:val="25F02025"/>
    <w:rsid w:val="26034D00"/>
    <w:rsid w:val="26A87BC0"/>
    <w:rsid w:val="26BC17D3"/>
    <w:rsid w:val="271611CC"/>
    <w:rsid w:val="273870AC"/>
    <w:rsid w:val="275163C0"/>
    <w:rsid w:val="2769195B"/>
    <w:rsid w:val="27C3740D"/>
    <w:rsid w:val="27DE5C96"/>
    <w:rsid w:val="281A4A03"/>
    <w:rsid w:val="283468BE"/>
    <w:rsid w:val="28355CE1"/>
    <w:rsid w:val="28681C13"/>
    <w:rsid w:val="286939F6"/>
    <w:rsid w:val="2891635B"/>
    <w:rsid w:val="28CD2F54"/>
    <w:rsid w:val="28FE2577"/>
    <w:rsid w:val="2916341D"/>
    <w:rsid w:val="29211DC2"/>
    <w:rsid w:val="293D4E4D"/>
    <w:rsid w:val="29501AD4"/>
    <w:rsid w:val="296323DA"/>
    <w:rsid w:val="297665B1"/>
    <w:rsid w:val="29787C34"/>
    <w:rsid w:val="29A95915"/>
    <w:rsid w:val="29B175E9"/>
    <w:rsid w:val="29BD216A"/>
    <w:rsid w:val="29E209AC"/>
    <w:rsid w:val="2A026E11"/>
    <w:rsid w:val="2A1A0CEB"/>
    <w:rsid w:val="2A201482"/>
    <w:rsid w:val="2A352264"/>
    <w:rsid w:val="2A662182"/>
    <w:rsid w:val="2A7F4FF2"/>
    <w:rsid w:val="2AAA5BE9"/>
    <w:rsid w:val="2AAD1B5F"/>
    <w:rsid w:val="2AB4113F"/>
    <w:rsid w:val="2ABB0720"/>
    <w:rsid w:val="2BBB64FD"/>
    <w:rsid w:val="2C3B13EC"/>
    <w:rsid w:val="2C4C4C43"/>
    <w:rsid w:val="2C7107FD"/>
    <w:rsid w:val="2C7F752B"/>
    <w:rsid w:val="2CE11F94"/>
    <w:rsid w:val="2CFB033B"/>
    <w:rsid w:val="2D597D7C"/>
    <w:rsid w:val="2D872B3B"/>
    <w:rsid w:val="2DBF77D4"/>
    <w:rsid w:val="2DD83397"/>
    <w:rsid w:val="2E0979F4"/>
    <w:rsid w:val="2E2B796A"/>
    <w:rsid w:val="2E460F6F"/>
    <w:rsid w:val="2E6C2C73"/>
    <w:rsid w:val="2E840E29"/>
    <w:rsid w:val="2EC61441"/>
    <w:rsid w:val="2ED33B5E"/>
    <w:rsid w:val="2F3017C3"/>
    <w:rsid w:val="2F320885"/>
    <w:rsid w:val="2F4D56BE"/>
    <w:rsid w:val="2F9E05D9"/>
    <w:rsid w:val="2FED1391"/>
    <w:rsid w:val="30304425"/>
    <w:rsid w:val="3082650F"/>
    <w:rsid w:val="30A25EDE"/>
    <w:rsid w:val="30AA3BFA"/>
    <w:rsid w:val="30D20571"/>
    <w:rsid w:val="3103697D"/>
    <w:rsid w:val="315D614F"/>
    <w:rsid w:val="31641440"/>
    <w:rsid w:val="31937B55"/>
    <w:rsid w:val="32335040"/>
    <w:rsid w:val="325347D5"/>
    <w:rsid w:val="32557A80"/>
    <w:rsid w:val="32612937"/>
    <w:rsid w:val="32674CE9"/>
    <w:rsid w:val="328C4750"/>
    <w:rsid w:val="329820EC"/>
    <w:rsid w:val="32A47CEB"/>
    <w:rsid w:val="32B50840"/>
    <w:rsid w:val="32DB1233"/>
    <w:rsid w:val="33030EB6"/>
    <w:rsid w:val="333126C0"/>
    <w:rsid w:val="33353039"/>
    <w:rsid w:val="337D3805"/>
    <w:rsid w:val="33883169"/>
    <w:rsid w:val="33E07D28"/>
    <w:rsid w:val="33FF21C7"/>
    <w:rsid w:val="342E1F62"/>
    <w:rsid w:val="34360E17"/>
    <w:rsid w:val="34572B3B"/>
    <w:rsid w:val="346D6698"/>
    <w:rsid w:val="3491429F"/>
    <w:rsid w:val="34A61255"/>
    <w:rsid w:val="34D50630"/>
    <w:rsid w:val="34FB5BBD"/>
    <w:rsid w:val="35386E11"/>
    <w:rsid w:val="357C0830"/>
    <w:rsid w:val="359273CC"/>
    <w:rsid w:val="35C00993"/>
    <w:rsid w:val="35CB37E1"/>
    <w:rsid w:val="35CB5C82"/>
    <w:rsid w:val="35FC0E40"/>
    <w:rsid w:val="35FC1BEC"/>
    <w:rsid w:val="362A0508"/>
    <w:rsid w:val="363650FE"/>
    <w:rsid w:val="36F31241"/>
    <w:rsid w:val="370C40B1"/>
    <w:rsid w:val="371A057C"/>
    <w:rsid w:val="3722392F"/>
    <w:rsid w:val="37400FD8"/>
    <w:rsid w:val="374A0308"/>
    <w:rsid w:val="3769770F"/>
    <w:rsid w:val="378974B0"/>
    <w:rsid w:val="37B00EE0"/>
    <w:rsid w:val="37D22163"/>
    <w:rsid w:val="382070F6"/>
    <w:rsid w:val="38362E31"/>
    <w:rsid w:val="384F06F9"/>
    <w:rsid w:val="38A81BB8"/>
    <w:rsid w:val="38D155B2"/>
    <w:rsid w:val="38E561DB"/>
    <w:rsid w:val="38EC419A"/>
    <w:rsid w:val="39335925"/>
    <w:rsid w:val="395A4FE5"/>
    <w:rsid w:val="399F120C"/>
    <w:rsid w:val="39DC420F"/>
    <w:rsid w:val="3A3F654C"/>
    <w:rsid w:val="3A97467B"/>
    <w:rsid w:val="3AD1189A"/>
    <w:rsid w:val="3AE80991"/>
    <w:rsid w:val="3B343BD6"/>
    <w:rsid w:val="3B4C0F20"/>
    <w:rsid w:val="3B7641EF"/>
    <w:rsid w:val="3B912DD7"/>
    <w:rsid w:val="3C0C5900"/>
    <w:rsid w:val="3C0D4DE0"/>
    <w:rsid w:val="3C2E3BA0"/>
    <w:rsid w:val="3C8D359E"/>
    <w:rsid w:val="3C925059"/>
    <w:rsid w:val="3CDE204C"/>
    <w:rsid w:val="3CE37662"/>
    <w:rsid w:val="3D0024EA"/>
    <w:rsid w:val="3D0F48FB"/>
    <w:rsid w:val="3D152858"/>
    <w:rsid w:val="3D614725"/>
    <w:rsid w:val="3D89020A"/>
    <w:rsid w:val="3DB702C7"/>
    <w:rsid w:val="3DD76E93"/>
    <w:rsid w:val="3E0755D2"/>
    <w:rsid w:val="3E3A1504"/>
    <w:rsid w:val="3E4660FB"/>
    <w:rsid w:val="3E4E37BE"/>
    <w:rsid w:val="3E5F71BC"/>
    <w:rsid w:val="3E9D5518"/>
    <w:rsid w:val="3EAD617A"/>
    <w:rsid w:val="3F4B3E0B"/>
    <w:rsid w:val="3F8B2DDB"/>
    <w:rsid w:val="3F8F600D"/>
    <w:rsid w:val="3F9F199D"/>
    <w:rsid w:val="3FB35A12"/>
    <w:rsid w:val="3FD316F4"/>
    <w:rsid w:val="3FDD44B4"/>
    <w:rsid w:val="3FDD65EB"/>
    <w:rsid w:val="3FE71217"/>
    <w:rsid w:val="3FF57DD8"/>
    <w:rsid w:val="401A0360"/>
    <w:rsid w:val="4084115C"/>
    <w:rsid w:val="408722F8"/>
    <w:rsid w:val="40D93256"/>
    <w:rsid w:val="40DE6ABE"/>
    <w:rsid w:val="40EA5463"/>
    <w:rsid w:val="41037366"/>
    <w:rsid w:val="411918A4"/>
    <w:rsid w:val="411C3143"/>
    <w:rsid w:val="412070D7"/>
    <w:rsid w:val="41263FC1"/>
    <w:rsid w:val="41A575DC"/>
    <w:rsid w:val="41B94E35"/>
    <w:rsid w:val="41E02099"/>
    <w:rsid w:val="41ED4A02"/>
    <w:rsid w:val="41F20E6B"/>
    <w:rsid w:val="42181B5C"/>
    <w:rsid w:val="425177C5"/>
    <w:rsid w:val="426052B1"/>
    <w:rsid w:val="427F607F"/>
    <w:rsid w:val="42876CE2"/>
    <w:rsid w:val="42AD60F2"/>
    <w:rsid w:val="42BC698B"/>
    <w:rsid w:val="4355293C"/>
    <w:rsid w:val="436A2857"/>
    <w:rsid w:val="43A84885"/>
    <w:rsid w:val="43B64397"/>
    <w:rsid w:val="43DF5027"/>
    <w:rsid w:val="447A08AC"/>
    <w:rsid w:val="447F5EC2"/>
    <w:rsid w:val="449D427A"/>
    <w:rsid w:val="44E53F39"/>
    <w:rsid w:val="450B1E4C"/>
    <w:rsid w:val="453E35D7"/>
    <w:rsid w:val="460348D1"/>
    <w:rsid w:val="46843675"/>
    <w:rsid w:val="46A00372"/>
    <w:rsid w:val="46AC79CB"/>
    <w:rsid w:val="46B10F4E"/>
    <w:rsid w:val="46B424A8"/>
    <w:rsid w:val="46BF2EEE"/>
    <w:rsid w:val="46E33A03"/>
    <w:rsid w:val="46FC61EA"/>
    <w:rsid w:val="479B1265"/>
    <w:rsid w:val="47B70069"/>
    <w:rsid w:val="47EC1AC1"/>
    <w:rsid w:val="47F6649C"/>
    <w:rsid w:val="47F70B35"/>
    <w:rsid w:val="47FD5FEE"/>
    <w:rsid w:val="48054931"/>
    <w:rsid w:val="48AA5E9E"/>
    <w:rsid w:val="48EB7FCA"/>
    <w:rsid w:val="495F758F"/>
    <w:rsid w:val="499F60FC"/>
    <w:rsid w:val="49B145F3"/>
    <w:rsid w:val="49C7262C"/>
    <w:rsid w:val="49CE5884"/>
    <w:rsid w:val="49E07403"/>
    <w:rsid w:val="4A1E1CDA"/>
    <w:rsid w:val="4A325785"/>
    <w:rsid w:val="4A392FB7"/>
    <w:rsid w:val="4A435BE4"/>
    <w:rsid w:val="4A527BD5"/>
    <w:rsid w:val="4A673681"/>
    <w:rsid w:val="4A965D14"/>
    <w:rsid w:val="4ABA5EA6"/>
    <w:rsid w:val="4AE44CD1"/>
    <w:rsid w:val="4AF764A2"/>
    <w:rsid w:val="4B195815"/>
    <w:rsid w:val="4B6940A7"/>
    <w:rsid w:val="4B8F77C2"/>
    <w:rsid w:val="4BDD5D96"/>
    <w:rsid w:val="4C4E41CF"/>
    <w:rsid w:val="4C6E198B"/>
    <w:rsid w:val="4C7836CE"/>
    <w:rsid w:val="4C8C24C5"/>
    <w:rsid w:val="4C984D68"/>
    <w:rsid w:val="4CA46E0E"/>
    <w:rsid w:val="4CB15087"/>
    <w:rsid w:val="4CE33DE5"/>
    <w:rsid w:val="4CE4720A"/>
    <w:rsid w:val="4D281F18"/>
    <w:rsid w:val="4D411299"/>
    <w:rsid w:val="4D5A74CD"/>
    <w:rsid w:val="4D622825"/>
    <w:rsid w:val="4D956757"/>
    <w:rsid w:val="4E0062C6"/>
    <w:rsid w:val="4EC05A55"/>
    <w:rsid w:val="4EC07FC0"/>
    <w:rsid w:val="4EEF00E8"/>
    <w:rsid w:val="4EF23735"/>
    <w:rsid w:val="4F592AD9"/>
    <w:rsid w:val="4FDF015D"/>
    <w:rsid w:val="4FE70DC0"/>
    <w:rsid w:val="502D757B"/>
    <w:rsid w:val="50BF3B17"/>
    <w:rsid w:val="50C07F8E"/>
    <w:rsid w:val="51051AF2"/>
    <w:rsid w:val="5119144D"/>
    <w:rsid w:val="517B5C63"/>
    <w:rsid w:val="51C927CA"/>
    <w:rsid w:val="51D535C6"/>
    <w:rsid w:val="51E1640E"/>
    <w:rsid w:val="52493560"/>
    <w:rsid w:val="525E35BB"/>
    <w:rsid w:val="52C36A6C"/>
    <w:rsid w:val="52C673B2"/>
    <w:rsid w:val="52D84A49"/>
    <w:rsid w:val="53254E69"/>
    <w:rsid w:val="53335890"/>
    <w:rsid w:val="53373E0C"/>
    <w:rsid w:val="534053B7"/>
    <w:rsid w:val="53530C46"/>
    <w:rsid w:val="53786204"/>
    <w:rsid w:val="539C2D37"/>
    <w:rsid w:val="539F032F"/>
    <w:rsid w:val="53E62980"/>
    <w:rsid w:val="53FB25AA"/>
    <w:rsid w:val="54332825"/>
    <w:rsid w:val="544D2504"/>
    <w:rsid w:val="5495624D"/>
    <w:rsid w:val="54E67CF3"/>
    <w:rsid w:val="5523289A"/>
    <w:rsid w:val="55651104"/>
    <w:rsid w:val="557B0928"/>
    <w:rsid w:val="5596306C"/>
    <w:rsid w:val="55A21A11"/>
    <w:rsid w:val="55C641E0"/>
    <w:rsid w:val="55D32512"/>
    <w:rsid w:val="55E22755"/>
    <w:rsid w:val="55F70057"/>
    <w:rsid w:val="55FD0ED7"/>
    <w:rsid w:val="56372584"/>
    <w:rsid w:val="563F3703"/>
    <w:rsid w:val="564E7DEA"/>
    <w:rsid w:val="56CB31E9"/>
    <w:rsid w:val="56D820F0"/>
    <w:rsid w:val="56EA300E"/>
    <w:rsid w:val="57173EB7"/>
    <w:rsid w:val="57406E67"/>
    <w:rsid w:val="575B27BF"/>
    <w:rsid w:val="578711E9"/>
    <w:rsid w:val="57A6006F"/>
    <w:rsid w:val="57B05CDE"/>
    <w:rsid w:val="57C06AC6"/>
    <w:rsid w:val="57F33189"/>
    <w:rsid w:val="580544D9"/>
    <w:rsid w:val="588B2C30"/>
    <w:rsid w:val="58DF2F7C"/>
    <w:rsid w:val="590F46C1"/>
    <w:rsid w:val="592B2432"/>
    <w:rsid w:val="594153E6"/>
    <w:rsid w:val="59586958"/>
    <w:rsid w:val="5968157E"/>
    <w:rsid w:val="597B0EF6"/>
    <w:rsid w:val="5991071A"/>
    <w:rsid w:val="59EA607C"/>
    <w:rsid w:val="5A094754"/>
    <w:rsid w:val="5A206BE2"/>
    <w:rsid w:val="5A336BC5"/>
    <w:rsid w:val="5A395DA5"/>
    <w:rsid w:val="5A473648"/>
    <w:rsid w:val="5A530A0C"/>
    <w:rsid w:val="5ADC2091"/>
    <w:rsid w:val="5AE661B3"/>
    <w:rsid w:val="5B09315A"/>
    <w:rsid w:val="5B1E7D8B"/>
    <w:rsid w:val="5B3752F1"/>
    <w:rsid w:val="5B7976B8"/>
    <w:rsid w:val="5B7C4AB2"/>
    <w:rsid w:val="5B8F2A37"/>
    <w:rsid w:val="5B9462A0"/>
    <w:rsid w:val="5BA34735"/>
    <w:rsid w:val="5BEB56D8"/>
    <w:rsid w:val="5C036EF9"/>
    <w:rsid w:val="5C1A18C6"/>
    <w:rsid w:val="5C4A2E02"/>
    <w:rsid w:val="5C6B34A4"/>
    <w:rsid w:val="5CC61D78"/>
    <w:rsid w:val="5D081B2B"/>
    <w:rsid w:val="5D0B433F"/>
    <w:rsid w:val="5D4D3138"/>
    <w:rsid w:val="5D4F7C58"/>
    <w:rsid w:val="5D6A69E1"/>
    <w:rsid w:val="5D804126"/>
    <w:rsid w:val="5DCA41FA"/>
    <w:rsid w:val="5DE51ACA"/>
    <w:rsid w:val="5E072899"/>
    <w:rsid w:val="5E115985"/>
    <w:rsid w:val="5E7423B8"/>
    <w:rsid w:val="5E954808"/>
    <w:rsid w:val="5EC0474E"/>
    <w:rsid w:val="5ECD7C67"/>
    <w:rsid w:val="5EDC077C"/>
    <w:rsid w:val="5EF84ABD"/>
    <w:rsid w:val="5F2360BB"/>
    <w:rsid w:val="5F385194"/>
    <w:rsid w:val="5F3A0F0C"/>
    <w:rsid w:val="5F4669A6"/>
    <w:rsid w:val="5F5666D4"/>
    <w:rsid w:val="5F5B2891"/>
    <w:rsid w:val="5FED5F7E"/>
    <w:rsid w:val="6008194E"/>
    <w:rsid w:val="60561D75"/>
    <w:rsid w:val="606A75CF"/>
    <w:rsid w:val="60C01654"/>
    <w:rsid w:val="60CF4E6A"/>
    <w:rsid w:val="617C42B7"/>
    <w:rsid w:val="61AD1CEC"/>
    <w:rsid w:val="61C565C4"/>
    <w:rsid w:val="61C96577"/>
    <w:rsid w:val="61D2367E"/>
    <w:rsid w:val="61D4389A"/>
    <w:rsid w:val="61E543BD"/>
    <w:rsid w:val="61EF0FBE"/>
    <w:rsid w:val="61F23D20"/>
    <w:rsid w:val="62093DC7"/>
    <w:rsid w:val="62347E94"/>
    <w:rsid w:val="623B56C7"/>
    <w:rsid w:val="626C6FC7"/>
    <w:rsid w:val="6299063F"/>
    <w:rsid w:val="62CE653B"/>
    <w:rsid w:val="62FF4946"/>
    <w:rsid w:val="6390559E"/>
    <w:rsid w:val="63E3044C"/>
    <w:rsid w:val="64191A38"/>
    <w:rsid w:val="64405216"/>
    <w:rsid w:val="645E569D"/>
    <w:rsid w:val="645E7F01"/>
    <w:rsid w:val="646A5DEF"/>
    <w:rsid w:val="648558A4"/>
    <w:rsid w:val="64904662"/>
    <w:rsid w:val="64947310"/>
    <w:rsid w:val="64FE101E"/>
    <w:rsid w:val="650E70C3"/>
    <w:rsid w:val="65603E36"/>
    <w:rsid w:val="65B337C6"/>
    <w:rsid w:val="65D06126"/>
    <w:rsid w:val="65D138A0"/>
    <w:rsid w:val="66A01F9C"/>
    <w:rsid w:val="66BB6DD6"/>
    <w:rsid w:val="66BE3E7B"/>
    <w:rsid w:val="66D6776C"/>
    <w:rsid w:val="66E61827"/>
    <w:rsid w:val="67550FD9"/>
    <w:rsid w:val="676E5BF7"/>
    <w:rsid w:val="67854174"/>
    <w:rsid w:val="678E6299"/>
    <w:rsid w:val="6852376A"/>
    <w:rsid w:val="688310C6"/>
    <w:rsid w:val="69201173"/>
    <w:rsid w:val="692B02A6"/>
    <w:rsid w:val="694F1A58"/>
    <w:rsid w:val="69886D18"/>
    <w:rsid w:val="69A769FC"/>
    <w:rsid w:val="6A49294B"/>
    <w:rsid w:val="6A7379C8"/>
    <w:rsid w:val="6AC344AB"/>
    <w:rsid w:val="6AC73F77"/>
    <w:rsid w:val="6AED752E"/>
    <w:rsid w:val="6AFC5C0F"/>
    <w:rsid w:val="6C20148A"/>
    <w:rsid w:val="6C7D08A0"/>
    <w:rsid w:val="6CE9552B"/>
    <w:rsid w:val="6D1E25CC"/>
    <w:rsid w:val="6D8A0F12"/>
    <w:rsid w:val="6D936DDA"/>
    <w:rsid w:val="6DAE5815"/>
    <w:rsid w:val="6DCA6938"/>
    <w:rsid w:val="6E2C5401"/>
    <w:rsid w:val="6E5C0F22"/>
    <w:rsid w:val="6E8721F8"/>
    <w:rsid w:val="6F0357BE"/>
    <w:rsid w:val="6F155E56"/>
    <w:rsid w:val="6F461A28"/>
    <w:rsid w:val="6F6A3147"/>
    <w:rsid w:val="6F7915DC"/>
    <w:rsid w:val="6F7F4719"/>
    <w:rsid w:val="6F90122F"/>
    <w:rsid w:val="6F9B0BDC"/>
    <w:rsid w:val="6FC00FB9"/>
    <w:rsid w:val="6FF9096F"/>
    <w:rsid w:val="7026148A"/>
    <w:rsid w:val="70377A4E"/>
    <w:rsid w:val="706A0C87"/>
    <w:rsid w:val="70AF4082"/>
    <w:rsid w:val="70BA6260"/>
    <w:rsid w:val="71092E34"/>
    <w:rsid w:val="710E70F9"/>
    <w:rsid w:val="71243FB9"/>
    <w:rsid w:val="7169742F"/>
    <w:rsid w:val="717958C4"/>
    <w:rsid w:val="71B132B0"/>
    <w:rsid w:val="71B35C7C"/>
    <w:rsid w:val="71F65166"/>
    <w:rsid w:val="721A5C0D"/>
    <w:rsid w:val="72423790"/>
    <w:rsid w:val="72800ED4"/>
    <w:rsid w:val="729953A7"/>
    <w:rsid w:val="729A60F8"/>
    <w:rsid w:val="72A21E55"/>
    <w:rsid w:val="72AC1CC9"/>
    <w:rsid w:val="72AC3A77"/>
    <w:rsid w:val="72CA46B1"/>
    <w:rsid w:val="72D87801"/>
    <w:rsid w:val="72DC58BB"/>
    <w:rsid w:val="72E265FA"/>
    <w:rsid w:val="72F21DD2"/>
    <w:rsid w:val="737722D7"/>
    <w:rsid w:val="73EA2AA9"/>
    <w:rsid w:val="741B5358"/>
    <w:rsid w:val="74393A30"/>
    <w:rsid w:val="745C7D6C"/>
    <w:rsid w:val="746257F9"/>
    <w:rsid w:val="748E70B9"/>
    <w:rsid w:val="7507768A"/>
    <w:rsid w:val="75324707"/>
    <w:rsid w:val="755A1EB0"/>
    <w:rsid w:val="755E3DA9"/>
    <w:rsid w:val="755F34F9"/>
    <w:rsid w:val="757E0D07"/>
    <w:rsid w:val="758A5108"/>
    <w:rsid w:val="75BA46FD"/>
    <w:rsid w:val="75BC4253"/>
    <w:rsid w:val="75C15A8B"/>
    <w:rsid w:val="75C335B1"/>
    <w:rsid w:val="75F61BD9"/>
    <w:rsid w:val="760E661E"/>
    <w:rsid w:val="76215EAA"/>
    <w:rsid w:val="763F0559"/>
    <w:rsid w:val="76516E0F"/>
    <w:rsid w:val="765D69C4"/>
    <w:rsid w:val="765F56E2"/>
    <w:rsid w:val="766A7ED1"/>
    <w:rsid w:val="76764AC8"/>
    <w:rsid w:val="76844168"/>
    <w:rsid w:val="76C21ABB"/>
    <w:rsid w:val="77065F35"/>
    <w:rsid w:val="773B361B"/>
    <w:rsid w:val="777C4360"/>
    <w:rsid w:val="77C8615C"/>
    <w:rsid w:val="77F42148"/>
    <w:rsid w:val="77F751C6"/>
    <w:rsid w:val="78395DAD"/>
    <w:rsid w:val="784B5AE0"/>
    <w:rsid w:val="784D730B"/>
    <w:rsid w:val="78523370"/>
    <w:rsid w:val="78554193"/>
    <w:rsid w:val="786B656E"/>
    <w:rsid w:val="78917997"/>
    <w:rsid w:val="7892370F"/>
    <w:rsid w:val="78A551F0"/>
    <w:rsid w:val="78A77E6A"/>
    <w:rsid w:val="78D95984"/>
    <w:rsid w:val="78F411E0"/>
    <w:rsid w:val="79051BF3"/>
    <w:rsid w:val="795409C4"/>
    <w:rsid w:val="79AC25AE"/>
    <w:rsid w:val="79DD77D1"/>
    <w:rsid w:val="79FA68AB"/>
    <w:rsid w:val="79FC52E4"/>
    <w:rsid w:val="7A075969"/>
    <w:rsid w:val="7A0832B2"/>
    <w:rsid w:val="7A2E1215"/>
    <w:rsid w:val="7A2E32C7"/>
    <w:rsid w:val="7A3E2995"/>
    <w:rsid w:val="7A6425DD"/>
    <w:rsid w:val="7A80073F"/>
    <w:rsid w:val="7A884099"/>
    <w:rsid w:val="7A972543"/>
    <w:rsid w:val="7A9E283F"/>
    <w:rsid w:val="7AAB0B58"/>
    <w:rsid w:val="7AD85D51"/>
    <w:rsid w:val="7AF942D4"/>
    <w:rsid w:val="7B255276"/>
    <w:rsid w:val="7B874925"/>
    <w:rsid w:val="7BF1074D"/>
    <w:rsid w:val="7BFF2E69"/>
    <w:rsid w:val="7C042B76"/>
    <w:rsid w:val="7C224DAA"/>
    <w:rsid w:val="7C232FFC"/>
    <w:rsid w:val="7C5E4034"/>
    <w:rsid w:val="7C786475"/>
    <w:rsid w:val="7C8D2B6B"/>
    <w:rsid w:val="7CA83501"/>
    <w:rsid w:val="7CC65C7E"/>
    <w:rsid w:val="7D146DE8"/>
    <w:rsid w:val="7D4274B2"/>
    <w:rsid w:val="7D470F6C"/>
    <w:rsid w:val="7D5E0064"/>
    <w:rsid w:val="7D743F77"/>
    <w:rsid w:val="7D9D6DDE"/>
    <w:rsid w:val="7DA67EDC"/>
    <w:rsid w:val="7DB4561B"/>
    <w:rsid w:val="7DB859C6"/>
    <w:rsid w:val="7DBD4D8A"/>
    <w:rsid w:val="7DC3534E"/>
    <w:rsid w:val="7DDB3462"/>
    <w:rsid w:val="7DF816DD"/>
    <w:rsid w:val="7E024E93"/>
    <w:rsid w:val="7E7C32D2"/>
    <w:rsid w:val="7E9D1235"/>
    <w:rsid w:val="7EA36676"/>
    <w:rsid w:val="7EBB0BEC"/>
    <w:rsid w:val="7EC02D84"/>
    <w:rsid w:val="7F1430D0"/>
  </w:rsids>
  <w:docVars>
    <w:docVar w:name="commondata" w:val="eyJoZGlkIjoiNGFjMzJkOTMxZmNlOTM4ZjcyZWZlNDFhZjA3N2RlZW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qFormat="1"/>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qFormat="1"/>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5"/>
    <w:qFormat/>
    <w:pPr>
      <w:overflowPunct w:val="0"/>
      <w:autoSpaceDE w:val="0"/>
      <w:autoSpaceDN w:val="0"/>
      <w:adjustRightInd w:val="0"/>
      <w:spacing w:line="440" w:lineRule="exact"/>
      <w:jc w:val="center"/>
      <w:textAlignment w:val="baseline"/>
    </w:pPr>
    <w:rPr>
      <w:rFonts w:asciiTheme="minorEastAsia" w:eastAsiaTheme="minorEastAsia" w:hAnsiTheme="minorEastAsia" w:cstheme="minorEastAsia"/>
      <w:bCs/>
      <w:sz w:val="21"/>
      <w:szCs w:val="21"/>
      <w:lang w:val="en-US" w:eastAsia="zh-CN" w:bidi="ar-SA"/>
    </w:rPr>
  </w:style>
  <w:style w:type="paragraph" w:styleId="Heading1">
    <w:name w:val="heading 1"/>
    <w:basedOn w:val="Normal"/>
    <w:next w:val="Normal"/>
    <w:qFormat/>
    <w:pPr>
      <w:keepNext/>
      <w:keepLines/>
      <w:spacing w:before="340" w:after="330" w:line="578" w:lineRule="auto"/>
      <w:outlineLvl w:val="0"/>
    </w:pPr>
    <w:rPr>
      <w:b/>
      <w:kern w:val="44"/>
      <w:sz w:val="44"/>
      <w:szCs w:val="44"/>
    </w:rPr>
  </w:style>
  <w:style w:type="paragraph" w:styleId="Heading2">
    <w:name w:val="heading 2"/>
    <w:basedOn w:val="Normal"/>
    <w:next w:val="Normal"/>
    <w:unhideWhenUsed/>
    <w:qFormat/>
    <w:pPr>
      <w:keepNext/>
      <w:keepLines/>
      <w:spacing w:line="360" w:lineRule="auto"/>
      <w:ind w:firstLine="964"/>
      <w:outlineLvl w:val="1"/>
    </w:pPr>
    <w:rPr>
      <w:rFonts w:ascii="Cambria" w:eastAsia="仿宋" w:hAnsi="Cambria"/>
      <w:b/>
      <w:sz w:val="30"/>
      <w:szCs w:val="32"/>
    </w:rPr>
  </w:style>
  <w:style w:type="paragraph" w:styleId="Heading3">
    <w:name w:val="heading 3"/>
    <w:basedOn w:val="Normal"/>
    <w:next w:val="Normal"/>
    <w:uiPriority w:val="9"/>
    <w:qFormat/>
    <w:pPr>
      <w:keepNext/>
      <w:keepLines/>
      <w:spacing w:before="260" w:after="260" w:line="360" w:lineRule="auto"/>
      <w:jc w:val="left"/>
      <w:outlineLvl w:val="2"/>
    </w:pPr>
    <w:rPr>
      <w:rFonts w:eastAsia="黑体"/>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5">
    <w:name w:val="标题 5（有编号）（绿盟科技）"/>
    <w:basedOn w:val="Normal"/>
    <w:next w:val="a"/>
    <w:qFormat/>
    <w:pPr>
      <w:keepNext/>
      <w:keepLines/>
      <w:numPr>
        <w:ilvl w:val="4"/>
        <w:numId w:val="1"/>
      </w:numPr>
      <w:jc w:val="left"/>
      <w:outlineLvl w:val="4"/>
    </w:pPr>
    <w:rPr>
      <w:rFonts w:cs="黑体"/>
    </w:rPr>
  </w:style>
  <w:style w:type="paragraph" w:customStyle="1" w:styleId="a">
    <w:name w:val="正文（绿盟科技）"/>
    <w:qFormat/>
    <w:pPr>
      <w:spacing w:line="300" w:lineRule="auto"/>
      <w:ind w:firstLine="420"/>
    </w:pPr>
    <w:rPr>
      <w:rFonts w:asciiTheme="minorEastAsia" w:eastAsiaTheme="minorEastAsia" w:hAnsiTheme="minorEastAsia" w:cs="黑体"/>
      <w:sz w:val="21"/>
      <w:szCs w:val="21"/>
      <w:lang w:val="en-US" w:eastAsia="zh-CN" w:bidi="ar-SA"/>
    </w:rPr>
  </w:style>
  <w:style w:type="paragraph" w:styleId="CommentText">
    <w:name w:val="annotation text"/>
    <w:basedOn w:val="Normal"/>
    <w:uiPriority w:val="99"/>
    <w:unhideWhenUsed/>
    <w:qFormat/>
    <w:pPr>
      <w:jc w:val="left"/>
    </w:pPr>
  </w:style>
  <w:style w:type="paragraph" w:styleId="BodyText">
    <w:name w:val="Body Text"/>
    <w:basedOn w:val="Normal"/>
    <w:next w:val="Normal"/>
    <w:uiPriority w:val="1"/>
    <w:qFormat/>
    <w:rPr>
      <w:szCs w:val="24"/>
      <w:lang w:val="zh-CN"/>
    </w:rPr>
  </w:style>
  <w:style w:type="paragraph" w:styleId="PlainText">
    <w:name w:val="Plain Text"/>
    <w:basedOn w:val="Normal"/>
    <w:next w:val="Normal"/>
    <w:uiPriority w:val="99"/>
    <w:unhideWhenUsed/>
    <w:qFormat/>
    <w:rPr>
      <w:rFonts w:ascii="宋体" w:hAnsi="Courier New" w:cs="Courier New"/>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pacing w:line="240" w:lineRule="auto"/>
      <w:jc w:val="center"/>
    </w:pPr>
    <w:rPr>
      <w:sz w:val="18"/>
      <w:szCs w:val="18"/>
    </w:rPr>
  </w:style>
  <w:style w:type="paragraph" w:styleId="TOC1">
    <w:name w:val="toc 1"/>
    <w:basedOn w:val="Normal"/>
    <w:next w:val="Normal"/>
    <w:uiPriority w:val="39"/>
    <w:unhideWhenUsed/>
    <w:qFormat/>
  </w:style>
  <w:style w:type="paragraph" w:styleId="TOC2">
    <w:name w:val="toc 2"/>
    <w:basedOn w:val="Normal"/>
    <w:next w:val="Normal"/>
    <w:uiPriority w:val="39"/>
    <w:unhideWhenUsed/>
    <w:qFormat/>
    <w:pPr>
      <w:ind w:left="420" w:leftChars="200"/>
    </w:pPr>
  </w:style>
  <w:style w:type="paragraph" w:styleId="NormalWeb">
    <w:name w:val="Normal (Web)"/>
    <w:basedOn w:val="Normal"/>
    <w:uiPriority w:val="99"/>
    <w:unhideWhenUsed/>
    <w:qFormat/>
    <w:pPr>
      <w:spacing w:before="100" w:beforeAutospacing="1" w:after="100" w:afterAutospacing="1"/>
      <w:jc w:val="left"/>
    </w:pPr>
    <w:rPr>
      <w:rFonts w:ascii="宋体" w:hAnsi="宋体" w:cs="宋体"/>
      <w:sz w:val="24"/>
      <w:szCs w:val="24"/>
    </w:rPr>
  </w:style>
  <w:style w:type="paragraph" w:styleId="Title">
    <w:name w:val="Title"/>
    <w:basedOn w:val="Normal"/>
    <w:next w:val="Normal"/>
    <w:qFormat/>
    <w:pPr>
      <w:spacing w:before="240" w:after="60"/>
      <w:jc w:val="center"/>
      <w:outlineLvl w:val="0"/>
    </w:pPr>
    <w:rPr>
      <w:rFonts w:ascii="Calibri Light" w:eastAsia="宋体" w:hAnsi="Calibri Light" w:cs="Times New Roman"/>
      <w:b/>
      <w:sz w:val="32"/>
      <w:szCs w:val="32"/>
    </w:rPr>
  </w:style>
  <w:style w:type="paragraph" w:styleId="BodyTextFirstIndent">
    <w:name w:val="Body Text First Indent"/>
    <w:basedOn w:val="BodyText"/>
    <w:qFormat/>
    <w:pPr>
      <w:spacing w:line="380" w:lineRule="atLeast"/>
      <w:ind w:firstLine="420" w:firstLineChars="100"/>
    </w:pPr>
    <w:rPr>
      <w:rFonts w:ascii="宋体" w:hAnsi="Times New Roman"/>
      <w:sz w:val="20"/>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PageNumber">
    <w:name w:val="page number"/>
    <w:uiPriority w:val="99"/>
    <w:qFormat/>
  </w:style>
  <w:style w:type="character" w:styleId="Emphasis">
    <w:name w:val="Emphasis"/>
    <w:qFormat/>
    <w:rPr>
      <w:rFonts w:ascii="Tahoma" w:hAnsi="Tahoma"/>
      <w:sz w:val="24"/>
      <w:szCs w:val="20"/>
    </w:rPr>
  </w:style>
  <w:style w:type="character" w:styleId="Hyperlink">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lang w:val="en-US" w:eastAsia="zh-CN" w:bidi="ar-SA"/>
    </w:rPr>
  </w:style>
  <w:style w:type="paragraph" w:customStyle="1" w:styleId="null3">
    <w:name w:val="null3"/>
    <w:qFormat/>
    <w:rPr>
      <w:rFonts w:ascii="Calibri" w:eastAsia="宋体" w:hAnsi="Calibri" w:cs="Times New Roman" w:hint="eastAsia"/>
      <w:lang w:val="en-US" w:eastAsia="zh-CN" w:bidi="ar-SA"/>
    </w:rPr>
  </w:style>
  <w:style w:type="paragraph" w:customStyle="1" w:styleId="a0">
    <w:name w:val="_正文"/>
    <w:basedOn w:val="Normal"/>
    <w:qFormat/>
    <w:pPr>
      <w:snapToGrid w:val="0"/>
      <w:spacing w:line="360" w:lineRule="auto"/>
      <w:ind w:firstLine="200" w:firstLineChars="200"/>
    </w:pPr>
    <w:rPr>
      <w:rFonts w:ascii="Times New Roman" w:hAnsi="Times New Roman"/>
      <w:sz w:val="24"/>
      <w:szCs w:val="24"/>
    </w:rPr>
  </w:style>
  <w:style w:type="paragraph" w:customStyle="1" w:styleId="1">
    <w:name w:val="样式1"/>
    <w:basedOn w:val="Normal"/>
    <w:qFormat/>
    <w:rPr>
      <w:rFonts w:eastAsia="方正大标宋简体"/>
      <w:sz w:val="52"/>
    </w:rPr>
  </w:style>
  <w:style w:type="paragraph" w:customStyle="1" w:styleId="NormalIndent1">
    <w:name w:val="Normal Indent1"/>
    <w:qFormat/>
    <w:pPr>
      <w:spacing w:afterLines="50" w:line="360" w:lineRule="auto"/>
      <w:ind w:firstLine="420" w:firstLineChars="200"/>
    </w:pPr>
    <w:rPr>
      <w:rFonts w:ascii="Times New Roman" w:eastAsia="宋体" w:hAnsi="Times New Roman" w:cs="Times New Roman"/>
      <w:lang w:val="en-US" w:eastAsia="zh-CN" w:bidi="ar-SA"/>
    </w:rPr>
  </w:style>
  <w:style w:type="paragraph" w:styleId="ListParagraph">
    <w:name w:val="List Paragraph"/>
    <w:basedOn w:val="Normal"/>
    <w:uiPriority w:val="34"/>
    <w:qFormat/>
    <w:pPr>
      <w:ind w:firstLine="420" w:firstLineChars="200"/>
    </w:pPr>
    <w:rPr>
      <w:rFonts w:ascii="Calibri" w:eastAsia="宋体" w:hAnsi="Calibri" w:cs="Times New Roman"/>
    </w:rPr>
  </w:style>
  <w:style w:type="paragraph" w:customStyle="1" w:styleId="a1">
    <w:name w:val="方欣正文小四"/>
    <w:basedOn w:val="Normal"/>
    <w:qFormat/>
    <w:pPr>
      <w:spacing w:line="360" w:lineRule="auto"/>
      <w:ind w:firstLine="640" w:firstLineChars="200"/>
      <w:jc w:val="left"/>
    </w:pPr>
    <w:rPr>
      <w:rFonts w:ascii="Times New Roman" w:hAnsi="Times New Roman"/>
      <w:sz w:val="24"/>
      <w:szCs w:val="24"/>
    </w:rPr>
  </w:style>
  <w:style w:type="paragraph" w:customStyle="1" w:styleId="a2">
    <w:name w:val="模板缩进正文"/>
    <w:basedOn w:val="Normal"/>
    <w:qFormat/>
    <w:pPr>
      <w:ind w:firstLine="480"/>
    </w:pPr>
  </w:style>
  <w:style w:type="character" w:customStyle="1" w:styleId="font11">
    <w:name w:val="font11"/>
    <w:basedOn w:val="DefaultParagraphFont"/>
    <w:qFormat/>
    <w:rPr>
      <w:rFonts w:ascii="宋体" w:eastAsia="宋体" w:hAnsi="宋体" w:cs="宋体" w:hint="eastAsia"/>
      <w:color w:val="000000"/>
      <w:sz w:val="28"/>
      <w:szCs w:val="28"/>
      <w:u w:val="none"/>
    </w:rPr>
  </w:style>
  <w:style w:type="paragraph" w:customStyle="1" w:styleId="TableText">
    <w:name w:val="Table Text"/>
    <w:basedOn w:val="Normal"/>
    <w:semiHidden/>
    <w:qFormat/>
    <w:rPr>
      <w:rFonts w:cs="宋体"/>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yperlink" Target="http://www.ccgp.gov.cn" TargetMode="Externa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43077</Words>
  <Characters>45719</Characters>
  <Application>Microsoft Office Word</Application>
  <DocSecurity>0</DocSecurity>
  <Lines>0</Lines>
  <Paragraphs>0</Paragraphs>
  <ScaleCrop>false</ScaleCrop>
  <Company/>
  <LinksUpToDate>false</LinksUpToDate>
  <CharactersWithSpaces>47008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宁冰</dc:creator>
  <cp:lastModifiedBy>郭露菲菲</cp:lastModifiedBy>
  <cp:revision>1</cp:revision>
  <dcterms:created xsi:type="dcterms:W3CDTF">2024-06-26T00:45:00Z</dcterms:created>
  <dcterms:modified xsi:type="dcterms:W3CDTF">2024-09-25T07:40:21Z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40355E1C6E9D42C59D5ED507E073818F_13</vt:lpwstr>
  </property>
  <property fmtid="{D5CDD505-2E9C-101B-9397-08002B2CF9AE}" pid="3" name="KSOProductBuildVer">
    <vt:lpwstr>2052-11.8.2.10158</vt:lpwstr>
  </property>
</Properties>
</file>