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C0D05C">
      <w:pPr>
        <w:topLinePunct/>
        <w:autoSpaceDE w:val="0"/>
        <w:autoSpaceDN w:val="0"/>
        <w:snapToGrid w:val="0"/>
        <w:spacing w:line="360" w:lineRule="auto"/>
        <w:jc w:val="center"/>
        <w:rPr>
          <w:rFonts w:hint="eastAsia" w:ascii="宋体" w:eastAsia="宋体"/>
          <w:b/>
          <w:bCs/>
          <w:sz w:val="28"/>
          <w:szCs w:val="28"/>
          <w:lang w:eastAsia="zh-CN"/>
        </w:rPr>
      </w:pPr>
      <w:bookmarkStart w:id="0" w:name="项目名称_fa_planName"/>
      <w:r>
        <w:rPr>
          <w:rFonts w:hint="eastAsia" w:ascii="宋体"/>
          <w:b/>
          <w:bCs/>
          <w:sz w:val="28"/>
          <w:szCs w:val="28"/>
        </w:rPr>
        <w:t>国家税务总局广西壮族自治区税务局2026年短信发送服务</w:t>
      </w:r>
      <w:bookmarkEnd w:id="0"/>
      <w:r>
        <w:rPr>
          <w:rFonts w:hint="eastAsia" w:ascii="宋体"/>
          <w:b/>
          <w:bCs/>
          <w:sz w:val="28"/>
          <w:szCs w:val="28"/>
          <w:lang w:eastAsia="zh-CN"/>
        </w:rPr>
        <w:t>采购需求</w:t>
      </w:r>
    </w:p>
    <w:p w14:paraId="5A7DF04F">
      <w:pPr>
        <w:pStyle w:val="18"/>
        <w:spacing w:before="0" w:after="0" w:line="360" w:lineRule="auto"/>
        <w:jc w:val="center"/>
        <w:rPr>
          <w:rFonts w:ascii="宋体" w:hAnsi="宋体" w:eastAsia="宋体" w:cs="宋体"/>
          <w:sz w:val="32"/>
        </w:rPr>
      </w:pPr>
      <w:bookmarkStart w:id="44" w:name="_GoBack"/>
      <w:r>
        <w:rPr>
          <w:rFonts w:ascii="宋体" w:hAnsi="宋体" w:eastAsia="宋体" w:cs="宋体"/>
          <w:sz w:val="32"/>
        </w:rPr>
        <w:t>目 录</w:t>
      </w:r>
    </w:p>
    <w:bookmarkEnd w:id="44"/>
    <w:p w14:paraId="6CC6F765">
      <w:pPr>
        <w:pStyle w:val="25"/>
        <w:tabs>
          <w:tab w:val="right" w:leader="dot" w:pos="9016"/>
        </w:tabs>
        <w:spacing w:before="0" w:after="0" w:line="360" w:lineRule="auto"/>
        <w:rPr>
          <w:rFonts w:asciiTheme="minorHAnsi" w:hAnsiTheme="minorHAnsi"/>
          <w:sz w:val="22"/>
        </w:rPr>
      </w:pPr>
      <w:r>
        <w:rPr>
          <w:rFonts w:ascii="宋体" w:hAnsi="宋体" w:eastAsia="宋体" w:cs="宋体"/>
          <w:sz w:val="32"/>
        </w:rPr>
        <w:fldChar w:fldCharType="begin"/>
      </w:r>
      <w:r>
        <w:rPr>
          <w:rFonts w:ascii="宋体" w:hAnsi="宋体" w:eastAsia="宋体" w:cs="宋体"/>
          <w:sz w:val="32"/>
        </w:rPr>
        <w:instrText xml:space="preserve">TOC \o "1-3" \h \z \u</w:instrText>
      </w:r>
      <w:r>
        <w:rPr>
          <w:rFonts w:ascii="宋体" w:hAnsi="宋体" w:eastAsia="宋体" w:cs="宋体"/>
          <w:sz w:val="32"/>
        </w:rPr>
        <w:fldChar w:fldCharType="separate"/>
      </w:r>
      <w:r>
        <w:fldChar w:fldCharType="begin"/>
      </w:r>
      <w:r>
        <w:instrText xml:space="preserve"> HYPERLINK \l "_Toc256000000" </w:instrText>
      </w:r>
      <w:r>
        <w:fldChar w:fldCharType="separate"/>
      </w:r>
      <w:r>
        <w:rPr>
          <w:rStyle w:val="37"/>
          <w:rFonts w:ascii="仿宋_GB2312" w:hAnsi="仿宋_GB2312" w:eastAsia="仿宋_GB2312" w:cs="仿宋_GB2312"/>
          <w:kern w:val="36"/>
        </w:rPr>
        <w:t>1项目概述</w:t>
      </w:r>
      <w:r>
        <w:tab/>
      </w:r>
      <w:r>
        <w:fldChar w:fldCharType="begin"/>
      </w:r>
      <w:r>
        <w:instrText xml:space="preserve"> PAGEREF _Toc256000000 \h </w:instrText>
      </w:r>
      <w:r>
        <w:fldChar w:fldCharType="separate"/>
      </w:r>
      <w:r>
        <w:t>4</w:t>
      </w:r>
      <w:r>
        <w:fldChar w:fldCharType="end"/>
      </w:r>
      <w:r>
        <w:fldChar w:fldCharType="end"/>
      </w:r>
    </w:p>
    <w:p w14:paraId="7D386020">
      <w:pPr>
        <w:pStyle w:val="27"/>
        <w:tabs>
          <w:tab w:val="right" w:leader="dot" w:pos="9016"/>
        </w:tabs>
        <w:spacing w:before="0" w:after="0" w:line="360" w:lineRule="auto"/>
        <w:rPr>
          <w:rFonts w:asciiTheme="minorHAnsi" w:hAnsiTheme="minorHAnsi"/>
          <w:sz w:val="22"/>
        </w:rPr>
      </w:pPr>
      <w:r>
        <w:fldChar w:fldCharType="begin"/>
      </w:r>
      <w:r>
        <w:instrText xml:space="preserve"> HYPERLINK \l "_Toc256000001" </w:instrText>
      </w:r>
      <w:r>
        <w:fldChar w:fldCharType="separate"/>
      </w:r>
      <w:r>
        <w:rPr>
          <w:rStyle w:val="37"/>
          <w:rFonts w:ascii="仿宋_GB2312" w:hAnsi="仿宋_GB2312" w:eastAsia="仿宋_GB2312" w:cs="仿宋_GB2312"/>
        </w:rPr>
        <w:t>1.1项目背景</w:t>
      </w:r>
      <w:r>
        <w:tab/>
      </w:r>
      <w:r>
        <w:fldChar w:fldCharType="begin"/>
      </w:r>
      <w:r>
        <w:instrText xml:space="preserve"> PAGEREF _Toc256000001 \h </w:instrText>
      </w:r>
      <w:r>
        <w:fldChar w:fldCharType="separate"/>
      </w:r>
      <w:r>
        <w:t>4</w:t>
      </w:r>
      <w:r>
        <w:fldChar w:fldCharType="end"/>
      </w:r>
      <w:r>
        <w:fldChar w:fldCharType="end"/>
      </w:r>
    </w:p>
    <w:p w14:paraId="0A7E2098">
      <w:pPr>
        <w:pStyle w:val="17"/>
        <w:tabs>
          <w:tab w:val="right" w:leader="dot" w:pos="9016"/>
        </w:tabs>
        <w:spacing w:before="0" w:after="0" w:line="360" w:lineRule="auto"/>
        <w:rPr>
          <w:rFonts w:asciiTheme="minorHAnsi" w:hAnsiTheme="minorHAnsi"/>
          <w:sz w:val="22"/>
        </w:rPr>
      </w:pPr>
      <w:r>
        <w:fldChar w:fldCharType="begin"/>
      </w:r>
      <w:r>
        <w:instrText xml:space="preserve"> HYPERLINK \l "_Toc256000002" </w:instrText>
      </w:r>
      <w:r>
        <w:fldChar w:fldCharType="separate"/>
      </w:r>
      <w:r>
        <w:rPr>
          <w:rStyle w:val="37"/>
          <w:rFonts w:ascii="仿宋_GB2312" w:hAnsi="仿宋_GB2312" w:eastAsia="仿宋_GB2312" w:cs="仿宋_GB2312"/>
        </w:rPr>
        <w:t>1.1.1项目目的、意义及背景</w:t>
      </w:r>
      <w:r>
        <w:tab/>
      </w:r>
      <w:r>
        <w:fldChar w:fldCharType="begin"/>
      </w:r>
      <w:r>
        <w:instrText xml:space="preserve"> PAGEREF _Toc256000002 \h </w:instrText>
      </w:r>
      <w:r>
        <w:fldChar w:fldCharType="separate"/>
      </w:r>
      <w:r>
        <w:t>4</w:t>
      </w:r>
      <w:r>
        <w:fldChar w:fldCharType="end"/>
      </w:r>
      <w:r>
        <w:fldChar w:fldCharType="end"/>
      </w:r>
    </w:p>
    <w:p w14:paraId="235F7F62">
      <w:pPr>
        <w:pStyle w:val="27"/>
        <w:tabs>
          <w:tab w:val="right" w:leader="dot" w:pos="9016"/>
        </w:tabs>
        <w:spacing w:before="0" w:after="0" w:line="360" w:lineRule="auto"/>
        <w:rPr>
          <w:rFonts w:asciiTheme="minorHAnsi" w:hAnsiTheme="minorHAnsi"/>
          <w:sz w:val="22"/>
        </w:rPr>
      </w:pPr>
      <w:r>
        <w:fldChar w:fldCharType="begin"/>
      </w:r>
      <w:r>
        <w:instrText xml:space="preserve"> HYPERLINK \l "_Toc256000003" </w:instrText>
      </w:r>
      <w:r>
        <w:fldChar w:fldCharType="separate"/>
      </w:r>
      <w:r>
        <w:rPr>
          <w:rStyle w:val="37"/>
          <w:rFonts w:ascii="仿宋_GB2312" w:hAnsi="仿宋_GB2312" w:eastAsia="仿宋_GB2312" w:cs="仿宋_GB2312"/>
        </w:rPr>
        <w:t>1.2项目内容</w:t>
      </w:r>
      <w:r>
        <w:tab/>
      </w:r>
      <w:r>
        <w:fldChar w:fldCharType="begin"/>
      </w:r>
      <w:r>
        <w:instrText xml:space="preserve"> PAGEREF _Toc256000003 \h </w:instrText>
      </w:r>
      <w:r>
        <w:fldChar w:fldCharType="separate"/>
      </w:r>
      <w:r>
        <w:t>4</w:t>
      </w:r>
      <w:r>
        <w:fldChar w:fldCharType="end"/>
      </w:r>
      <w:r>
        <w:fldChar w:fldCharType="end"/>
      </w:r>
    </w:p>
    <w:p w14:paraId="034295E2">
      <w:pPr>
        <w:pStyle w:val="17"/>
        <w:tabs>
          <w:tab w:val="right" w:leader="dot" w:pos="9016"/>
        </w:tabs>
        <w:spacing w:before="0" w:after="0" w:line="360" w:lineRule="auto"/>
        <w:rPr>
          <w:rFonts w:asciiTheme="minorHAnsi" w:hAnsiTheme="minorHAnsi"/>
          <w:sz w:val="22"/>
        </w:rPr>
      </w:pPr>
      <w:r>
        <w:fldChar w:fldCharType="begin"/>
      </w:r>
      <w:r>
        <w:instrText xml:space="preserve"> HYPERLINK \l "_Toc256000004" </w:instrText>
      </w:r>
      <w:r>
        <w:fldChar w:fldCharType="separate"/>
      </w:r>
      <w:r>
        <w:rPr>
          <w:rStyle w:val="37"/>
          <w:rFonts w:ascii="仿宋_GB2312" w:hAnsi="仿宋_GB2312" w:eastAsia="仿宋_GB2312" w:cs="仿宋_GB2312"/>
        </w:rPr>
        <w:t>1.2.1项目建设思路</w:t>
      </w:r>
      <w:r>
        <w:tab/>
      </w:r>
      <w:r>
        <w:fldChar w:fldCharType="begin"/>
      </w:r>
      <w:r>
        <w:instrText xml:space="preserve"> PAGEREF _Toc256000004 \h </w:instrText>
      </w:r>
      <w:r>
        <w:fldChar w:fldCharType="separate"/>
      </w:r>
      <w:r>
        <w:t>4</w:t>
      </w:r>
      <w:r>
        <w:fldChar w:fldCharType="end"/>
      </w:r>
      <w:r>
        <w:fldChar w:fldCharType="end"/>
      </w:r>
    </w:p>
    <w:p w14:paraId="19F78013">
      <w:pPr>
        <w:pStyle w:val="17"/>
        <w:tabs>
          <w:tab w:val="right" w:leader="dot" w:pos="9016"/>
        </w:tabs>
        <w:spacing w:before="0" w:after="0" w:line="360" w:lineRule="auto"/>
        <w:rPr>
          <w:rFonts w:asciiTheme="minorHAnsi" w:hAnsiTheme="minorHAnsi"/>
          <w:sz w:val="22"/>
        </w:rPr>
      </w:pPr>
      <w:r>
        <w:fldChar w:fldCharType="begin"/>
      </w:r>
      <w:r>
        <w:instrText xml:space="preserve"> HYPERLINK \l "_Toc256000005" </w:instrText>
      </w:r>
      <w:r>
        <w:fldChar w:fldCharType="separate"/>
      </w:r>
      <w:r>
        <w:rPr>
          <w:rStyle w:val="37"/>
          <w:rFonts w:ascii="仿宋_GB2312" w:hAnsi="仿宋_GB2312" w:eastAsia="仿宋_GB2312" w:cs="仿宋_GB2312"/>
        </w:rPr>
        <w:t>1.2.2采购内容</w:t>
      </w:r>
      <w:r>
        <w:tab/>
      </w:r>
      <w:r>
        <w:fldChar w:fldCharType="begin"/>
      </w:r>
      <w:r>
        <w:instrText xml:space="preserve"> PAGEREF _Toc256000005 \h </w:instrText>
      </w:r>
      <w:r>
        <w:fldChar w:fldCharType="separate"/>
      </w:r>
      <w:r>
        <w:t>4</w:t>
      </w:r>
      <w:r>
        <w:fldChar w:fldCharType="end"/>
      </w:r>
      <w:r>
        <w:fldChar w:fldCharType="end"/>
      </w:r>
    </w:p>
    <w:p w14:paraId="3A2FE6FE">
      <w:pPr>
        <w:pStyle w:val="17"/>
        <w:tabs>
          <w:tab w:val="right" w:leader="dot" w:pos="9016"/>
        </w:tabs>
        <w:spacing w:before="0" w:after="0" w:line="360" w:lineRule="auto"/>
        <w:rPr>
          <w:rFonts w:asciiTheme="minorHAnsi" w:hAnsiTheme="minorHAnsi"/>
          <w:sz w:val="22"/>
        </w:rPr>
      </w:pPr>
      <w:r>
        <w:fldChar w:fldCharType="begin"/>
      </w:r>
      <w:r>
        <w:instrText xml:space="preserve"> HYPERLINK \l "_Toc256000006" </w:instrText>
      </w:r>
      <w:r>
        <w:fldChar w:fldCharType="separate"/>
      </w:r>
      <w:r>
        <w:rPr>
          <w:rStyle w:val="37"/>
          <w:rFonts w:ascii="仿宋_GB2312" w:hAnsi="仿宋_GB2312" w:eastAsia="仿宋_GB2312" w:cs="仿宋_GB2312"/>
        </w:rPr>
        <w:t>1.2.3项目实施要求</w:t>
      </w:r>
      <w:r>
        <w:tab/>
      </w:r>
      <w:r>
        <w:fldChar w:fldCharType="begin"/>
      </w:r>
      <w:r>
        <w:instrText xml:space="preserve"> PAGEREF _Toc256000006 \h </w:instrText>
      </w:r>
      <w:r>
        <w:fldChar w:fldCharType="separate"/>
      </w:r>
      <w:r>
        <w:t>4</w:t>
      </w:r>
      <w:r>
        <w:fldChar w:fldCharType="end"/>
      </w:r>
      <w:r>
        <w:fldChar w:fldCharType="end"/>
      </w:r>
    </w:p>
    <w:p w14:paraId="7534EF9E">
      <w:pPr>
        <w:pStyle w:val="27"/>
        <w:tabs>
          <w:tab w:val="right" w:leader="dot" w:pos="9016"/>
        </w:tabs>
        <w:spacing w:before="0" w:after="0" w:line="360" w:lineRule="auto"/>
        <w:rPr>
          <w:rFonts w:asciiTheme="minorHAnsi" w:hAnsiTheme="minorHAnsi"/>
          <w:sz w:val="22"/>
        </w:rPr>
      </w:pPr>
      <w:r>
        <w:fldChar w:fldCharType="begin"/>
      </w:r>
      <w:r>
        <w:instrText xml:space="preserve"> HYPERLINK \l "_Toc256000007" </w:instrText>
      </w:r>
      <w:r>
        <w:fldChar w:fldCharType="separate"/>
      </w:r>
      <w:r>
        <w:rPr>
          <w:rStyle w:val="37"/>
          <w:rFonts w:ascii="仿宋_GB2312" w:hAnsi="仿宋_GB2312" w:eastAsia="仿宋_GB2312" w:cs="仿宋_GB2312"/>
        </w:rPr>
        <w:t>1.3其他要求</w:t>
      </w:r>
      <w:r>
        <w:tab/>
      </w:r>
      <w:r>
        <w:fldChar w:fldCharType="begin"/>
      </w:r>
      <w:r>
        <w:instrText xml:space="preserve"> PAGEREF _Toc256000007 \h </w:instrText>
      </w:r>
      <w:r>
        <w:fldChar w:fldCharType="separate"/>
      </w:r>
      <w:r>
        <w:t>5</w:t>
      </w:r>
      <w:r>
        <w:fldChar w:fldCharType="end"/>
      </w:r>
      <w:r>
        <w:fldChar w:fldCharType="end"/>
      </w:r>
    </w:p>
    <w:p w14:paraId="79DA92AB">
      <w:pPr>
        <w:pStyle w:val="17"/>
        <w:tabs>
          <w:tab w:val="right" w:leader="dot" w:pos="9016"/>
        </w:tabs>
        <w:spacing w:before="0" w:after="0" w:line="360" w:lineRule="auto"/>
        <w:rPr>
          <w:rFonts w:asciiTheme="minorHAnsi" w:hAnsiTheme="minorHAnsi"/>
          <w:sz w:val="22"/>
        </w:rPr>
      </w:pPr>
      <w:r>
        <w:fldChar w:fldCharType="begin"/>
      </w:r>
      <w:r>
        <w:instrText xml:space="preserve"> HYPERLINK \l "_Toc256000008" </w:instrText>
      </w:r>
      <w:r>
        <w:fldChar w:fldCharType="separate"/>
      </w:r>
      <w:r>
        <w:rPr>
          <w:rStyle w:val="37"/>
          <w:rFonts w:ascii="仿宋_GB2312" w:hAnsi="仿宋_GB2312" w:eastAsia="仿宋_GB2312" w:cs="仿宋_GB2312"/>
        </w:rPr>
        <w:t>1.3.1采购标的需执行的相关标准规范</w:t>
      </w:r>
      <w:r>
        <w:tab/>
      </w:r>
      <w:r>
        <w:fldChar w:fldCharType="begin"/>
      </w:r>
      <w:r>
        <w:instrText xml:space="preserve"> PAGEREF _Toc256000008 \h </w:instrText>
      </w:r>
      <w:r>
        <w:fldChar w:fldCharType="separate"/>
      </w:r>
      <w:r>
        <w:t>5</w:t>
      </w:r>
      <w:r>
        <w:fldChar w:fldCharType="end"/>
      </w:r>
      <w:r>
        <w:fldChar w:fldCharType="end"/>
      </w:r>
    </w:p>
    <w:p w14:paraId="57BAFEC1">
      <w:pPr>
        <w:pStyle w:val="25"/>
        <w:tabs>
          <w:tab w:val="right" w:leader="dot" w:pos="9016"/>
        </w:tabs>
        <w:spacing w:before="0" w:after="0" w:line="360" w:lineRule="auto"/>
        <w:rPr>
          <w:rFonts w:asciiTheme="minorHAnsi" w:hAnsiTheme="minorHAnsi"/>
          <w:sz w:val="22"/>
        </w:rPr>
      </w:pPr>
      <w:r>
        <w:fldChar w:fldCharType="begin"/>
      </w:r>
      <w:r>
        <w:instrText xml:space="preserve"> HYPERLINK \l "_Toc256000009" </w:instrText>
      </w:r>
      <w:r>
        <w:fldChar w:fldCharType="separate"/>
      </w:r>
      <w:r>
        <w:rPr>
          <w:rStyle w:val="37"/>
          <w:rFonts w:ascii="仿宋_GB2312" w:hAnsi="仿宋_GB2312" w:eastAsia="仿宋_GB2312" w:cs="仿宋_GB2312"/>
          <w:kern w:val="36"/>
        </w:rPr>
        <w:t>2投标/响应要求</w:t>
      </w:r>
      <w:r>
        <w:tab/>
      </w:r>
      <w:r>
        <w:fldChar w:fldCharType="begin"/>
      </w:r>
      <w:r>
        <w:instrText xml:space="preserve"> PAGEREF _Toc256000009 \h </w:instrText>
      </w:r>
      <w:r>
        <w:fldChar w:fldCharType="separate"/>
      </w:r>
      <w:r>
        <w:t>6</w:t>
      </w:r>
      <w:r>
        <w:fldChar w:fldCharType="end"/>
      </w:r>
      <w:r>
        <w:fldChar w:fldCharType="end"/>
      </w:r>
    </w:p>
    <w:p w14:paraId="06FA9483">
      <w:pPr>
        <w:pStyle w:val="27"/>
        <w:tabs>
          <w:tab w:val="right" w:leader="dot" w:pos="9016"/>
        </w:tabs>
        <w:spacing w:before="0" w:after="0" w:line="360" w:lineRule="auto"/>
        <w:rPr>
          <w:rFonts w:asciiTheme="minorHAnsi" w:hAnsiTheme="minorHAnsi"/>
          <w:sz w:val="22"/>
        </w:rPr>
      </w:pPr>
      <w:r>
        <w:fldChar w:fldCharType="begin"/>
      </w:r>
      <w:r>
        <w:instrText xml:space="preserve"> HYPERLINK \l "_Toc256000010" </w:instrText>
      </w:r>
      <w:r>
        <w:fldChar w:fldCharType="separate"/>
      </w:r>
      <w:r>
        <w:rPr>
          <w:rStyle w:val="37"/>
          <w:rFonts w:ascii="仿宋_GB2312" w:hAnsi="仿宋_GB2312" w:eastAsia="仿宋_GB2312" w:cs="仿宋_GB2312"/>
        </w:rPr>
        <w:t>2.1对供应商的要求</w:t>
      </w:r>
      <w:r>
        <w:tab/>
      </w:r>
      <w:r>
        <w:fldChar w:fldCharType="begin"/>
      </w:r>
      <w:r>
        <w:instrText xml:space="preserve"> PAGEREF _Toc256000010 \h </w:instrText>
      </w:r>
      <w:r>
        <w:fldChar w:fldCharType="separate"/>
      </w:r>
      <w:r>
        <w:t>6</w:t>
      </w:r>
      <w:r>
        <w:fldChar w:fldCharType="end"/>
      </w:r>
      <w:r>
        <w:fldChar w:fldCharType="end"/>
      </w:r>
    </w:p>
    <w:p w14:paraId="3F993525">
      <w:pPr>
        <w:pStyle w:val="17"/>
        <w:tabs>
          <w:tab w:val="right" w:leader="dot" w:pos="9016"/>
        </w:tabs>
        <w:spacing w:before="0" w:after="0" w:line="360" w:lineRule="auto"/>
        <w:rPr>
          <w:rFonts w:asciiTheme="minorHAnsi" w:hAnsiTheme="minorHAnsi"/>
          <w:sz w:val="22"/>
        </w:rPr>
      </w:pPr>
      <w:r>
        <w:fldChar w:fldCharType="begin"/>
      </w:r>
      <w:r>
        <w:instrText xml:space="preserve"> HYPERLINK \l "_Toc256000011" </w:instrText>
      </w:r>
      <w:r>
        <w:fldChar w:fldCharType="separate"/>
      </w:r>
      <w:r>
        <w:rPr>
          <w:rStyle w:val="37"/>
          <w:rFonts w:ascii="仿宋_GB2312" w:hAnsi="仿宋_GB2312" w:eastAsia="仿宋_GB2312" w:cs="仿宋_GB2312"/>
        </w:rPr>
        <w:t>2.1.1必备资质</w:t>
      </w:r>
      <w:r>
        <w:tab/>
      </w:r>
      <w:r>
        <w:fldChar w:fldCharType="begin"/>
      </w:r>
      <w:r>
        <w:instrText xml:space="preserve"> PAGEREF _Toc256000011 \h </w:instrText>
      </w:r>
      <w:r>
        <w:fldChar w:fldCharType="separate"/>
      </w:r>
      <w:r>
        <w:t>6</w:t>
      </w:r>
      <w:r>
        <w:fldChar w:fldCharType="end"/>
      </w:r>
      <w:r>
        <w:fldChar w:fldCharType="end"/>
      </w:r>
    </w:p>
    <w:p w14:paraId="7E639359">
      <w:pPr>
        <w:pStyle w:val="17"/>
        <w:tabs>
          <w:tab w:val="right" w:leader="dot" w:pos="9016"/>
        </w:tabs>
        <w:spacing w:before="0" w:after="0" w:line="360" w:lineRule="auto"/>
        <w:rPr>
          <w:rFonts w:asciiTheme="minorHAnsi" w:hAnsiTheme="minorHAnsi"/>
          <w:sz w:val="22"/>
        </w:rPr>
      </w:pPr>
      <w:r>
        <w:fldChar w:fldCharType="begin"/>
      </w:r>
      <w:r>
        <w:instrText xml:space="preserve"> HYPERLINK \l "_Toc256000012" </w:instrText>
      </w:r>
      <w:r>
        <w:fldChar w:fldCharType="separate"/>
      </w:r>
      <w:r>
        <w:rPr>
          <w:rStyle w:val="37"/>
          <w:rFonts w:ascii="仿宋_GB2312" w:hAnsi="仿宋_GB2312" w:eastAsia="仿宋_GB2312" w:cs="仿宋_GB2312"/>
        </w:rPr>
        <w:t>2.1.2优选资质/优选指标</w:t>
      </w:r>
      <w:r>
        <w:tab/>
      </w:r>
      <w:r>
        <w:fldChar w:fldCharType="begin"/>
      </w:r>
      <w:r>
        <w:instrText xml:space="preserve"> PAGEREF _Toc256000012 \h </w:instrText>
      </w:r>
      <w:r>
        <w:fldChar w:fldCharType="separate"/>
      </w:r>
      <w:r>
        <w:t>6</w:t>
      </w:r>
      <w:r>
        <w:fldChar w:fldCharType="end"/>
      </w:r>
      <w:r>
        <w:fldChar w:fldCharType="end"/>
      </w:r>
    </w:p>
    <w:p w14:paraId="3C5F7C21">
      <w:pPr>
        <w:pStyle w:val="17"/>
        <w:tabs>
          <w:tab w:val="right" w:leader="dot" w:pos="9016"/>
        </w:tabs>
        <w:spacing w:before="0" w:after="0" w:line="360" w:lineRule="auto"/>
        <w:rPr>
          <w:rFonts w:asciiTheme="minorHAnsi" w:hAnsiTheme="minorHAnsi"/>
          <w:sz w:val="22"/>
        </w:rPr>
      </w:pPr>
      <w:r>
        <w:fldChar w:fldCharType="begin"/>
      </w:r>
      <w:r>
        <w:instrText xml:space="preserve"> HYPERLINK \l "_Toc256000013" </w:instrText>
      </w:r>
      <w:r>
        <w:fldChar w:fldCharType="separate"/>
      </w:r>
      <w:r>
        <w:rPr>
          <w:rStyle w:val="37"/>
          <w:rFonts w:ascii="仿宋_GB2312" w:hAnsi="仿宋_GB2312" w:eastAsia="仿宋_GB2312" w:cs="仿宋_GB2312"/>
        </w:rPr>
        <w:t>2.1.3是否允许联合体</w:t>
      </w:r>
      <w:r>
        <w:tab/>
      </w:r>
      <w:r>
        <w:fldChar w:fldCharType="begin"/>
      </w:r>
      <w:r>
        <w:instrText xml:space="preserve"> PAGEREF _Toc256000013 \h </w:instrText>
      </w:r>
      <w:r>
        <w:fldChar w:fldCharType="separate"/>
      </w:r>
      <w:r>
        <w:t>6</w:t>
      </w:r>
      <w:r>
        <w:fldChar w:fldCharType="end"/>
      </w:r>
      <w:r>
        <w:fldChar w:fldCharType="end"/>
      </w:r>
    </w:p>
    <w:p w14:paraId="2101E696">
      <w:pPr>
        <w:pStyle w:val="17"/>
        <w:tabs>
          <w:tab w:val="right" w:leader="dot" w:pos="9016"/>
        </w:tabs>
        <w:spacing w:before="0" w:after="0" w:line="360" w:lineRule="auto"/>
        <w:rPr>
          <w:rFonts w:asciiTheme="minorHAnsi" w:hAnsiTheme="minorHAnsi"/>
          <w:sz w:val="22"/>
        </w:rPr>
      </w:pPr>
      <w:r>
        <w:fldChar w:fldCharType="begin"/>
      </w:r>
      <w:r>
        <w:instrText xml:space="preserve"> HYPERLINK \l "_Toc256000014" </w:instrText>
      </w:r>
      <w:r>
        <w:fldChar w:fldCharType="separate"/>
      </w:r>
      <w:r>
        <w:rPr>
          <w:rStyle w:val="37"/>
          <w:rFonts w:ascii="仿宋_GB2312" w:hAnsi="仿宋_GB2312" w:eastAsia="仿宋_GB2312" w:cs="仿宋_GB2312"/>
        </w:rPr>
        <w:t>2.1.4是否专门面向中小企业</w:t>
      </w:r>
      <w:r>
        <w:tab/>
      </w:r>
      <w:r>
        <w:fldChar w:fldCharType="begin"/>
      </w:r>
      <w:r>
        <w:instrText xml:space="preserve"> PAGEREF _Toc256000014 \h </w:instrText>
      </w:r>
      <w:r>
        <w:fldChar w:fldCharType="separate"/>
      </w:r>
      <w:r>
        <w:t>6</w:t>
      </w:r>
      <w:r>
        <w:fldChar w:fldCharType="end"/>
      </w:r>
      <w:r>
        <w:fldChar w:fldCharType="end"/>
      </w:r>
    </w:p>
    <w:p w14:paraId="2E2EEBC8">
      <w:pPr>
        <w:pStyle w:val="17"/>
        <w:tabs>
          <w:tab w:val="right" w:leader="dot" w:pos="9016"/>
        </w:tabs>
        <w:spacing w:before="0" w:after="0" w:line="360" w:lineRule="auto"/>
        <w:rPr>
          <w:rFonts w:asciiTheme="minorHAnsi" w:hAnsiTheme="minorHAnsi"/>
          <w:sz w:val="22"/>
        </w:rPr>
      </w:pPr>
      <w:r>
        <w:fldChar w:fldCharType="begin"/>
      </w:r>
      <w:r>
        <w:instrText xml:space="preserve"> HYPERLINK \l "_Toc256000015" </w:instrText>
      </w:r>
      <w:r>
        <w:fldChar w:fldCharType="separate"/>
      </w:r>
      <w:r>
        <w:rPr>
          <w:rStyle w:val="37"/>
          <w:rFonts w:ascii="仿宋_GB2312" w:hAnsi="仿宋_GB2312" w:eastAsia="仿宋_GB2312" w:cs="仿宋_GB2312"/>
        </w:rPr>
        <w:t>2.1.5其他要求</w:t>
      </w:r>
      <w:r>
        <w:tab/>
      </w:r>
      <w:r>
        <w:fldChar w:fldCharType="begin"/>
      </w:r>
      <w:r>
        <w:instrText xml:space="preserve"> PAGEREF _Toc256000015 \h </w:instrText>
      </w:r>
      <w:r>
        <w:fldChar w:fldCharType="separate"/>
      </w:r>
      <w:r>
        <w:t>6</w:t>
      </w:r>
      <w:r>
        <w:fldChar w:fldCharType="end"/>
      </w:r>
      <w:r>
        <w:fldChar w:fldCharType="end"/>
      </w:r>
    </w:p>
    <w:p w14:paraId="6C31CE8F">
      <w:pPr>
        <w:pStyle w:val="27"/>
        <w:tabs>
          <w:tab w:val="right" w:leader="dot" w:pos="9016"/>
        </w:tabs>
        <w:spacing w:before="0" w:after="0" w:line="360" w:lineRule="auto"/>
        <w:rPr>
          <w:rFonts w:asciiTheme="minorHAnsi" w:hAnsiTheme="minorHAnsi"/>
          <w:sz w:val="22"/>
        </w:rPr>
      </w:pPr>
      <w:r>
        <w:fldChar w:fldCharType="begin"/>
      </w:r>
      <w:r>
        <w:instrText xml:space="preserve"> HYPERLINK \l "_Toc256000016" </w:instrText>
      </w:r>
      <w:r>
        <w:fldChar w:fldCharType="separate"/>
      </w:r>
      <w:r>
        <w:rPr>
          <w:rStyle w:val="37"/>
          <w:rFonts w:ascii="仿宋_GB2312" w:hAnsi="仿宋_GB2312" w:eastAsia="仿宋_GB2312" w:cs="仿宋_GB2312"/>
        </w:rPr>
        <w:t>2.2技术部分投标/响应内容</w:t>
      </w:r>
      <w:r>
        <w:tab/>
      </w:r>
      <w:r>
        <w:fldChar w:fldCharType="begin"/>
      </w:r>
      <w:r>
        <w:instrText xml:space="preserve"> PAGEREF _Toc256000016 \h </w:instrText>
      </w:r>
      <w:r>
        <w:fldChar w:fldCharType="separate"/>
      </w:r>
      <w:r>
        <w:t>7</w:t>
      </w:r>
      <w:r>
        <w:fldChar w:fldCharType="end"/>
      </w:r>
      <w:r>
        <w:fldChar w:fldCharType="end"/>
      </w:r>
    </w:p>
    <w:p w14:paraId="5E63DD35">
      <w:pPr>
        <w:pStyle w:val="17"/>
        <w:tabs>
          <w:tab w:val="right" w:leader="dot" w:pos="9016"/>
        </w:tabs>
        <w:spacing w:before="0" w:after="0" w:line="360" w:lineRule="auto"/>
        <w:rPr>
          <w:rFonts w:asciiTheme="minorHAnsi" w:hAnsiTheme="minorHAnsi"/>
          <w:sz w:val="22"/>
        </w:rPr>
      </w:pPr>
      <w:r>
        <w:fldChar w:fldCharType="begin"/>
      </w:r>
      <w:r>
        <w:instrText xml:space="preserve"> HYPERLINK \l "_Toc256000017" </w:instrText>
      </w:r>
      <w:r>
        <w:fldChar w:fldCharType="separate"/>
      </w:r>
      <w:r>
        <w:rPr>
          <w:rStyle w:val="37"/>
          <w:rFonts w:ascii="仿宋_GB2312" w:hAnsi="仿宋_GB2312" w:eastAsia="仿宋_GB2312" w:cs="仿宋_GB2312"/>
        </w:rPr>
        <w:t>2.2.1技术投标/响应总要求</w:t>
      </w:r>
      <w:r>
        <w:tab/>
      </w:r>
      <w:r>
        <w:fldChar w:fldCharType="begin"/>
      </w:r>
      <w:r>
        <w:instrText xml:space="preserve"> PAGEREF _Toc256000017 \h </w:instrText>
      </w:r>
      <w:r>
        <w:fldChar w:fldCharType="separate"/>
      </w:r>
      <w:r>
        <w:t>7</w:t>
      </w:r>
      <w:r>
        <w:fldChar w:fldCharType="end"/>
      </w:r>
      <w:r>
        <w:fldChar w:fldCharType="end"/>
      </w:r>
    </w:p>
    <w:p w14:paraId="217F3695">
      <w:pPr>
        <w:pStyle w:val="17"/>
        <w:tabs>
          <w:tab w:val="right" w:leader="dot" w:pos="9016"/>
        </w:tabs>
        <w:spacing w:before="0" w:after="0" w:line="360" w:lineRule="auto"/>
        <w:rPr>
          <w:rFonts w:asciiTheme="minorHAnsi" w:hAnsiTheme="minorHAnsi"/>
          <w:sz w:val="22"/>
        </w:rPr>
      </w:pPr>
      <w:r>
        <w:fldChar w:fldCharType="begin"/>
      </w:r>
      <w:r>
        <w:instrText xml:space="preserve"> HYPERLINK \l "_Toc256000018" </w:instrText>
      </w:r>
      <w:r>
        <w:fldChar w:fldCharType="separate"/>
      </w:r>
      <w:r>
        <w:rPr>
          <w:rStyle w:val="37"/>
          <w:rFonts w:ascii="仿宋_GB2312" w:hAnsi="仿宋_GB2312" w:eastAsia="仿宋_GB2312" w:cs="仿宋_GB2312"/>
        </w:rPr>
        <w:t>2.2.2投标/响应方案要求</w:t>
      </w:r>
      <w:r>
        <w:tab/>
      </w:r>
      <w:r>
        <w:fldChar w:fldCharType="begin"/>
      </w:r>
      <w:r>
        <w:instrText xml:space="preserve"> PAGEREF _Toc256000018 \h </w:instrText>
      </w:r>
      <w:r>
        <w:fldChar w:fldCharType="separate"/>
      </w:r>
      <w:r>
        <w:t>9</w:t>
      </w:r>
      <w:r>
        <w:fldChar w:fldCharType="end"/>
      </w:r>
      <w:r>
        <w:fldChar w:fldCharType="end"/>
      </w:r>
    </w:p>
    <w:p w14:paraId="6375B2CA">
      <w:pPr>
        <w:pStyle w:val="25"/>
        <w:tabs>
          <w:tab w:val="right" w:leader="dot" w:pos="9016"/>
        </w:tabs>
        <w:spacing w:before="0" w:after="0" w:line="360" w:lineRule="auto"/>
        <w:rPr>
          <w:rFonts w:asciiTheme="minorHAnsi" w:hAnsiTheme="minorHAnsi"/>
          <w:sz w:val="22"/>
        </w:rPr>
      </w:pPr>
      <w:r>
        <w:fldChar w:fldCharType="begin"/>
      </w:r>
      <w:r>
        <w:instrText xml:space="preserve"> HYPERLINK \l "_Toc256000019" </w:instrText>
      </w:r>
      <w:r>
        <w:fldChar w:fldCharType="separate"/>
      </w:r>
      <w:r>
        <w:rPr>
          <w:rStyle w:val="37"/>
          <w:rFonts w:ascii="仿宋_GB2312" w:hAnsi="仿宋_GB2312" w:eastAsia="仿宋_GB2312" w:cs="仿宋_GB2312"/>
          <w:kern w:val="36"/>
        </w:rPr>
        <w:t>3项目需求</w:t>
      </w:r>
      <w:r>
        <w:tab/>
      </w:r>
      <w:r>
        <w:fldChar w:fldCharType="begin"/>
      </w:r>
      <w:r>
        <w:instrText xml:space="preserve"> PAGEREF _Toc256000019 \h </w:instrText>
      </w:r>
      <w:r>
        <w:fldChar w:fldCharType="separate"/>
      </w:r>
      <w:r>
        <w:t>10</w:t>
      </w:r>
      <w:r>
        <w:fldChar w:fldCharType="end"/>
      </w:r>
      <w:r>
        <w:fldChar w:fldCharType="end"/>
      </w:r>
    </w:p>
    <w:p w14:paraId="21A1ADEE">
      <w:pPr>
        <w:pStyle w:val="27"/>
        <w:tabs>
          <w:tab w:val="right" w:leader="dot" w:pos="9016"/>
        </w:tabs>
        <w:spacing w:before="0" w:after="0" w:line="360" w:lineRule="auto"/>
        <w:rPr>
          <w:rFonts w:asciiTheme="minorHAnsi" w:hAnsiTheme="minorHAnsi"/>
          <w:sz w:val="22"/>
        </w:rPr>
      </w:pPr>
      <w:r>
        <w:fldChar w:fldCharType="begin"/>
      </w:r>
      <w:r>
        <w:instrText xml:space="preserve"> HYPERLINK \l "_Toc256000020" </w:instrText>
      </w:r>
      <w:r>
        <w:fldChar w:fldCharType="separate"/>
      </w:r>
      <w:r>
        <w:rPr>
          <w:rStyle w:val="37"/>
          <w:rFonts w:ascii="仿宋_GB2312" w:hAnsi="仿宋_GB2312" w:eastAsia="仿宋_GB2312" w:cs="仿宋_GB2312"/>
        </w:rPr>
        <w:t>3.1总体要求</w:t>
      </w:r>
      <w:r>
        <w:tab/>
      </w:r>
      <w:r>
        <w:fldChar w:fldCharType="begin"/>
      </w:r>
      <w:r>
        <w:instrText xml:space="preserve"> PAGEREF _Toc256000020 \h </w:instrText>
      </w:r>
      <w:r>
        <w:fldChar w:fldCharType="separate"/>
      </w:r>
      <w:r>
        <w:t>10</w:t>
      </w:r>
      <w:r>
        <w:fldChar w:fldCharType="end"/>
      </w:r>
      <w:r>
        <w:fldChar w:fldCharType="end"/>
      </w:r>
    </w:p>
    <w:p w14:paraId="5764BB28">
      <w:pPr>
        <w:pStyle w:val="27"/>
        <w:tabs>
          <w:tab w:val="right" w:leader="dot" w:pos="9016"/>
        </w:tabs>
        <w:spacing w:before="0" w:after="0" w:line="360" w:lineRule="auto"/>
        <w:rPr>
          <w:rFonts w:asciiTheme="minorHAnsi" w:hAnsiTheme="minorHAnsi"/>
          <w:sz w:val="22"/>
        </w:rPr>
      </w:pPr>
      <w:r>
        <w:fldChar w:fldCharType="begin"/>
      </w:r>
      <w:r>
        <w:instrText xml:space="preserve"> HYPERLINK \l "_Toc256000021" </w:instrText>
      </w:r>
      <w:r>
        <w:fldChar w:fldCharType="separate"/>
      </w:r>
      <w:r>
        <w:rPr>
          <w:rStyle w:val="37"/>
          <w:rFonts w:ascii="仿宋_GB2312" w:hAnsi="仿宋_GB2312" w:eastAsia="仿宋_GB2312" w:cs="仿宋_GB2312"/>
        </w:rPr>
        <w:t>3.2服务内容和要求</w:t>
      </w:r>
      <w:r>
        <w:tab/>
      </w:r>
      <w:r>
        <w:fldChar w:fldCharType="begin"/>
      </w:r>
      <w:r>
        <w:instrText xml:space="preserve"> PAGEREF _Toc256000021 \h </w:instrText>
      </w:r>
      <w:r>
        <w:fldChar w:fldCharType="separate"/>
      </w:r>
      <w:r>
        <w:t>10</w:t>
      </w:r>
      <w:r>
        <w:fldChar w:fldCharType="end"/>
      </w:r>
      <w:r>
        <w:fldChar w:fldCharType="end"/>
      </w:r>
    </w:p>
    <w:p w14:paraId="381EFD98">
      <w:pPr>
        <w:pStyle w:val="17"/>
        <w:tabs>
          <w:tab w:val="right" w:leader="dot" w:pos="9016"/>
        </w:tabs>
        <w:spacing w:before="0" w:after="0" w:line="360" w:lineRule="auto"/>
        <w:rPr>
          <w:rFonts w:asciiTheme="minorHAnsi" w:hAnsiTheme="minorHAnsi"/>
          <w:sz w:val="22"/>
        </w:rPr>
      </w:pPr>
      <w:r>
        <w:fldChar w:fldCharType="begin"/>
      </w:r>
      <w:r>
        <w:instrText xml:space="preserve"> HYPERLINK \l "_Toc256000022" </w:instrText>
      </w:r>
      <w:r>
        <w:fldChar w:fldCharType="separate"/>
      </w:r>
      <w:r>
        <w:rPr>
          <w:rStyle w:val="37"/>
          <w:rFonts w:ascii="仿宋_GB2312" w:hAnsi="仿宋_GB2312" w:eastAsia="仿宋_GB2312" w:cs="仿宋_GB2312"/>
        </w:rPr>
        <w:t>3.2.1技术和服务客观指标</w:t>
      </w:r>
      <w:r>
        <w:tab/>
      </w:r>
      <w:r>
        <w:fldChar w:fldCharType="begin"/>
      </w:r>
      <w:r>
        <w:instrText xml:space="preserve"> PAGEREF _Toc256000022 \h </w:instrText>
      </w:r>
      <w:r>
        <w:fldChar w:fldCharType="separate"/>
      </w:r>
      <w:r>
        <w:t>11</w:t>
      </w:r>
      <w:r>
        <w:fldChar w:fldCharType="end"/>
      </w:r>
      <w:r>
        <w:fldChar w:fldCharType="end"/>
      </w:r>
    </w:p>
    <w:p w14:paraId="12F2D8A3">
      <w:pPr>
        <w:pStyle w:val="17"/>
        <w:tabs>
          <w:tab w:val="right" w:leader="dot" w:pos="9016"/>
        </w:tabs>
        <w:spacing w:before="0" w:after="0" w:line="360" w:lineRule="auto"/>
        <w:rPr>
          <w:rFonts w:asciiTheme="minorHAnsi" w:hAnsiTheme="minorHAnsi"/>
          <w:sz w:val="22"/>
        </w:rPr>
      </w:pPr>
      <w:r>
        <w:fldChar w:fldCharType="begin"/>
      </w:r>
      <w:r>
        <w:instrText xml:space="preserve"> HYPERLINK \l "_Toc256000023" </w:instrText>
      </w:r>
      <w:r>
        <w:fldChar w:fldCharType="separate"/>
      </w:r>
      <w:r>
        <w:rPr>
          <w:rStyle w:val="37"/>
          <w:rFonts w:ascii="仿宋_GB2312" w:hAnsi="仿宋_GB2312" w:eastAsia="仿宋_GB2312" w:cs="仿宋_GB2312"/>
        </w:rPr>
        <w:t>3.2.2技术和服务其他要求</w:t>
      </w:r>
      <w:r>
        <w:tab/>
      </w:r>
      <w:r>
        <w:fldChar w:fldCharType="begin"/>
      </w:r>
      <w:r>
        <w:instrText xml:space="preserve"> PAGEREF _Toc256000023 \h </w:instrText>
      </w:r>
      <w:r>
        <w:fldChar w:fldCharType="separate"/>
      </w:r>
      <w:r>
        <w:t>11</w:t>
      </w:r>
      <w:r>
        <w:fldChar w:fldCharType="end"/>
      </w:r>
      <w:r>
        <w:fldChar w:fldCharType="end"/>
      </w:r>
    </w:p>
    <w:p w14:paraId="34FB624D">
      <w:pPr>
        <w:pStyle w:val="25"/>
        <w:tabs>
          <w:tab w:val="right" w:leader="dot" w:pos="9016"/>
        </w:tabs>
        <w:spacing w:before="0" w:after="0" w:line="360" w:lineRule="auto"/>
        <w:rPr>
          <w:rFonts w:asciiTheme="minorHAnsi" w:hAnsiTheme="minorHAnsi"/>
          <w:sz w:val="22"/>
        </w:rPr>
      </w:pPr>
      <w:r>
        <w:fldChar w:fldCharType="begin"/>
      </w:r>
      <w:r>
        <w:instrText xml:space="preserve"> HYPERLINK \l "_Toc256000024" </w:instrText>
      </w:r>
      <w:r>
        <w:fldChar w:fldCharType="separate"/>
      </w:r>
      <w:r>
        <w:rPr>
          <w:rStyle w:val="37"/>
          <w:rFonts w:ascii="仿宋_GB2312" w:hAnsi="仿宋_GB2312" w:eastAsia="仿宋_GB2312" w:cs="仿宋_GB2312"/>
          <w:kern w:val="36"/>
        </w:rPr>
        <w:t>4人员要求</w:t>
      </w:r>
      <w:r>
        <w:tab/>
      </w:r>
      <w:r>
        <w:fldChar w:fldCharType="begin"/>
      </w:r>
      <w:r>
        <w:instrText xml:space="preserve"> PAGEREF _Toc256000024 \h </w:instrText>
      </w:r>
      <w:r>
        <w:fldChar w:fldCharType="separate"/>
      </w:r>
      <w:r>
        <w:t>13</w:t>
      </w:r>
      <w:r>
        <w:fldChar w:fldCharType="end"/>
      </w:r>
      <w:r>
        <w:fldChar w:fldCharType="end"/>
      </w:r>
    </w:p>
    <w:p w14:paraId="2BB6A0BA">
      <w:pPr>
        <w:pStyle w:val="27"/>
        <w:tabs>
          <w:tab w:val="right" w:leader="dot" w:pos="9016"/>
        </w:tabs>
        <w:spacing w:before="0" w:after="0" w:line="360" w:lineRule="auto"/>
        <w:rPr>
          <w:rFonts w:asciiTheme="minorHAnsi" w:hAnsiTheme="minorHAnsi"/>
          <w:sz w:val="22"/>
        </w:rPr>
      </w:pPr>
      <w:r>
        <w:fldChar w:fldCharType="begin"/>
      </w:r>
      <w:r>
        <w:instrText xml:space="preserve"> HYPERLINK \l "_Toc256000025" </w:instrText>
      </w:r>
      <w:r>
        <w:fldChar w:fldCharType="separate"/>
      </w:r>
      <w:r>
        <w:rPr>
          <w:rStyle w:val="37"/>
          <w:rFonts w:ascii="仿宋_GB2312" w:hAnsi="仿宋_GB2312" w:eastAsia="仿宋_GB2312" w:cs="仿宋_GB2312"/>
        </w:rPr>
        <w:t>4.1总体要求</w:t>
      </w:r>
      <w:r>
        <w:tab/>
      </w:r>
      <w:r>
        <w:fldChar w:fldCharType="begin"/>
      </w:r>
      <w:r>
        <w:instrText xml:space="preserve"> PAGEREF _Toc256000025 \h </w:instrText>
      </w:r>
      <w:r>
        <w:fldChar w:fldCharType="separate"/>
      </w:r>
      <w:r>
        <w:t>13</w:t>
      </w:r>
      <w:r>
        <w:fldChar w:fldCharType="end"/>
      </w:r>
      <w:r>
        <w:fldChar w:fldCharType="end"/>
      </w:r>
    </w:p>
    <w:p w14:paraId="37A35F9F">
      <w:pPr>
        <w:pStyle w:val="27"/>
        <w:tabs>
          <w:tab w:val="right" w:leader="dot" w:pos="9016"/>
        </w:tabs>
        <w:spacing w:before="0" w:after="0" w:line="360" w:lineRule="auto"/>
        <w:rPr>
          <w:rFonts w:asciiTheme="minorHAnsi" w:hAnsiTheme="minorHAnsi"/>
          <w:sz w:val="22"/>
        </w:rPr>
      </w:pPr>
      <w:r>
        <w:fldChar w:fldCharType="begin"/>
      </w:r>
      <w:r>
        <w:instrText xml:space="preserve"> HYPERLINK \l "_Toc256000026" </w:instrText>
      </w:r>
      <w:r>
        <w:fldChar w:fldCharType="separate"/>
      </w:r>
      <w:r>
        <w:rPr>
          <w:rStyle w:val="37"/>
          <w:rFonts w:ascii="仿宋_GB2312" w:hAnsi="仿宋_GB2312" w:eastAsia="仿宋_GB2312" w:cs="仿宋_GB2312"/>
        </w:rPr>
        <w:t>4.2管理团队</w:t>
      </w:r>
      <w:r>
        <w:tab/>
      </w:r>
      <w:r>
        <w:fldChar w:fldCharType="begin"/>
      </w:r>
      <w:r>
        <w:instrText xml:space="preserve"> PAGEREF _Toc256000026 \h </w:instrText>
      </w:r>
      <w:r>
        <w:fldChar w:fldCharType="separate"/>
      </w:r>
      <w:r>
        <w:t>14</w:t>
      </w:r>
      <w:r>
        <w:fldChar w:fldCharType="end"/>
      </w:r>
      <w:r>
        <w:fldChar w:fldCharType="end"/>
      </w:r>
    </w:p>
    <w:p w14:paraId="2A4549B4">
      <w:pPr>
        <w:pStyle w:val="17"/>
        <w:tabs>
          <w:tab w:val="right" w:leader="dot" w:pos="9016"/>
        </w:tabs>
        <w:spacing w:before="0" w:after="0" w:line="360" w:lineRule="auto"/>
        <w:rPr>
          <w:rFonts w:asciiTheme="minorHAnsi" w:hAnsiTheme="minorHAnsi"/>
          <w:sz w:val="22"/>
        </w:rPr>
      </w:pPr>
      <w:r>
        <w:fldChar w:fldCharType="begin"/>
      </w:r>
      <w:r>
        <w:instrText xml:space="preserve"> HYPERLINK \l "_Toc256000027" </w:instrText>
      </w:r>
      <w:r>
        <w:fldChar w:fldCharType="separate"/>
      </w:r>
      <w:r>
        <w:rPr>
          <w:rStyle w:val="37"/>
          <w:rFonts w:ascii="仿宋_GB2312" w:hAnsi="仿宋_GB2312" w:eastAsia="仿宋_GB2312" w:cs="仿宋_GB2312"/>
        </w:rPr>
        <w:t>4.2.1项目经理</w:t>
      </w:r>
      <w:r>
        <w:tab/>
      </w:r>
      <w:r>
        <w:fldChar w:fldCharType="begin"/>
      </w:r>
      <w:r>
        <w:instrText xml:space="preserve"> PAGEREF _Toc256000027 \h </w:instrText>
      </w:r>
      <w:r>
        <w:fldChar w:fldCharType="separate"/>
      </w:r>
      <w:r>
        <w:t>14</w:t>
      </w:r>
      <w:r>
        <w:fldChar w:fldCharType="end"/>
      </w:r>
      <w:r>
        <w:fldChar w:fldCharType="end"/>
      </w:r>
    </w:p>
    <w:p w14:paraId="6A901514">
      <w:pPr>
        <w:pStyle w:val="27"/>
        <w:tabs>
          <w:tab w:val="right" w:leader="dot" w:pos="9016"/>
        </w:tabs>
        <w:spacing w:before="0" w:after="0" w:line="360" w:lineRule="auto"/>
        <w:rPr>
          <w:rFonts w:asciiTheme="minorHAnsi" w:hAnsiTheme="minorHAnsi"/>
          <w:sz w:val="22"/>
        </w:rPr>
      </w:pPr>
      <w:r>
        <w:fldChar w:fldCharType="begin"/>
      </w:r>
      <w:r>
        <w:instrText xml:space="preserve"> HYPERLINK \l "_Toc256000028" </w:instrText>
      </w:r>
      <w:r>
        <w:fldChar w:fldCharType="separate"/>
      </w:r>
      <w:r>
        <w:rPr>
          <w:rStyle w:val="37"/>
          <w:rFonts w:ascii="仿宋_GB2312" w:hAnsi="仿宋_GB2312" w:eastAsia="仿宋_GB2312" w:cs="仿宋_GB2312"/>
        </w:rPr>
        <w:t>4.3技术团队</w:t>
      </w:r>
      <w:r>
        <w:tab/>
      </w:r>
      <w:r>
        <w:fldChar w:fldCharType="begin"/>
      </w:r>
      <w:r>
        <w:instrText xml:space="preserve"> PAGEREF _Toc256000028 \h </w:instrText>
      </w:r>
      <w:r>
        <w:fldChar w:fldCharType="separate"/>
      </w:r>
      <w:r>
        <w:t>14</w:t>
      </w:r>
      <w:r>
        <w:fldChar w:fldCharType="end"/>
      </w:r>
      <w:r>
        <w:fldChar w:fldCharType="end"/>
      </w:r>
    </w:p>
    <w:p w14:paraId="7235D5D5">
      <w:pPr>
        <w:pStyle w:val="27"/>
        <w:tabs>
          <w:tab w:val="right" w:leader="dot" w:pos="9016"/>
        </w:tabs>
        <w:spacing w:before="0" w:after="0" w:line="360" w:lineRule="auto"/>
        <w:rPr>
          <w:rFonts w:asciiTheme="minorHAnsi" w:hAnsiTheme="minorHAnsi"/>
          <w:sz w:val="22"/>
        </w:rPr>
      </w:pPr>
      <w:r>
        <w:fldChar w:fldCharType="begin"/>
      </w:r>
      <w:r>
        <w:instrText xml:space="preserve"> HYPERLINK \l "_Toc256000029" </w:instrText>
      </w:r>
      <w:r>
        <w:fldChar w:fldCharType="separate"/>
      </w:r>
      <w:r>
        <w:rPr>
          <w:rStyle w:val="37"/>
          <w:rFonts w:ascii="仿宋_GB2312" w:hAnsi="仿宋_GB2312" w:eastAsia="仿宋_GB2312" w:cs="仿宋_GB2312"/>
        </w:rPr>
        <w:t>4.4优选资质/优选指标</w:t>
      </w:r>
      <w:r>
        <w:tab/>
      </w:r>
      <w:r>
        <w:fldChar w:fldCharType="begin"/>
      </w:r>
      <w:r>
        <w:instrText xml:space="preserve"> PAGEREF _Toc256000029 \h </w:instrText>
      </w:r>
      <w:r>
        <w:fldChar w:fldCharType="separate"/>
      </w:r>
      <w:r>
        <w:t>14</w:t>
      </w:r>
      <w:r>
        <w:fldChar w:fldCharType="end"/>
      </w:r>
      <w:r>
        <w:fldChar w:fldCharType="end"/>
      </w:r>
    </w:p>
    <w:p w14:paraId="2AE34DB3">
      <w:pPr>
        <w:pStyle w:val="25"/>
        <w:tabs>
          <w:tab w:val="right" w:leader="dot" w:pos="9016"/>
        </w:tabs>
        <w:spacing w:before="0" w:after="0" w:line="360" w:lineRule="auto"/>
        <w:rPr>
          <w:rFonts w:asciiTheme="minorHAnsi" w:hAnsiTheme="minorHAnsi"/>
          <w:sz w:val="22"/>
        </w:rPr>
      </w:pPr>
      <w:r>
        <w:fldChar w:fldCharType="begin"/>
      </w:r>
      <w:r>
        <w:instrText xml:space="preserve"> HYPERLINK \l "_Toc256000030" </w:instrText>
      </w:r>
      <w:r>
        <w:fldChar w:fldCharType="separate"/>
      </w:r>
      <w:r>
        <w:rPr>
          <w:rStyle w:val="37"/>
          <w:rFonts w:ascii="仿宋_GB2312" w:hAnsi="仿宋_GB2312" w:eastAsia="仿宋_GB2312" w:cs="仿宋_GB2312"/>
          <w:kern w:val="36"/>
        </w:rPr>
        <w:t>5管理实施要求</w:t>
      </w:r>
      <w:r>
        <w:tab/>
      </w:r>
      <w:r>
        <w:fldChar w:fldCharType="begin"/>
      </w:r>
      <w:r>
        <w:instrText xml:space="preserve"> PAGEREF _Toc256000030 \h </w:instrText>
      </w:r>
      <w:r>
        <w:fldChar w:fldCharType="separate"/>
      </w:r>
      <w:r>
        <w:t>14</w:t>
      </w:r>
      <w:r>
        <w:fldChar w:fldCharType="end"/>
      </w:r>
      <w:r>
        <w:fldChar w:fldCharType="end"/>
      </w:r>
    </w:p>
    <w:p w14:paraId="176F3BD7">
      <w:pPr>
        <w:pStyle w:val="25"/>
        <w:tabs>
          <w:tab w:val="right" w:leader="dot" w:pos="9016"/>
        </w:tabs>
        <w:spacing w:before="0" w:after="0" w:line="360" w:lineRule="auto"/>
        <w:rPr>
          <w:rFonts w:asciiTheme="minorHAnsi" w:hAnsiTheme="minorHAnsi"/>
          <w:sz w:val="22"/>
        </w:rPr>
      </w:pPr>
      <w:r>
        <w:fldChar w:fldCharType="begin"/>
      </w:r>
      <w:r>
        <w:instrText xml:space="preserve"> HYPERLINK \l "_Toc256000031" </w:instrText>
      </w:r>
      <w:r>
        <w:fldChar w:fldCharType="separate"/>
      </w:r>
      <w:r>
        <w:rPr>
          <w:rStyle w:val="37"/>
          <w:rFonts w:ascii="仿宋_GB2312" w:hAnsi="仿宋_GB2312" w:eastAsia="仿宋_GB2312" w:cs="仿宋_GB2312"/>
          <w:kern w:val="36"/>
        </w:rPr>
        <w:t>6风险管控要求</w:t>
      </w:r>
      <w:r>
        <w:tab/>
      </w:r>
      <w:r>
        <w:fldChar w:fldCharType="begin"/>
      </w:r>
      <w:r>
        <w:instrText xml:space="preserve"> PAGEREF _Toc256000031 \h </w:instrText>
      </w:r>
      <w:r>
        <w:fldChar w:fldCharType="separate"/>
      </w:r>
      <w:r>
        <w:t>14</w:t>
      </w:r>
      <w:r>
        <w:fldChar w:fldCharType="end"/>
      </w:r>
      <w:r>
        <w:fldChar w:fldCharType="end"/>
      </w:r>
    </w:p>
    <w:p w14:paraId="178E2C35">
      <w:pPr>
        <w:pStyle w:val="25"/>
        <w:tabs>
          <w:tab w:val="right" w:leader="dot" w:pos="9016"/>
        </w:tabs>
        <w:spacing w:before="0" w:after="0" w:line="360" w:lineRule="auto"/>
        <w:rPr>
          <w:rFonts w:asciiTheme="minorHAnsi" w:hAnsiTheme="minorHAnsi"/>
          <w:sz w:val="22"/>
        </w:rPr>
      </w:pPr>
      <w:r>
        <w:fldChar w:fldCharType="begin"/>
      </w:r>
      <w:r>
        <w:instrText xml:space="preserve"> HYPERLINK \l "_Toc256000032" </w:instrText>
      </w:r>
      <w:r>
        <w:fldChar w:fldCharType="separate"/>
      </w:r>
      <w:r>
        <w:rPr>
          <w:rStyle w:val="37"/>
          <w:rFonts w:ascii="仿宋_GB2312" w:hAnsi="仿宋_GB2312" w:eastAsia="仿宋_GB2312" w:cs="仿宋_GB2312"/>
          <w:kern w:val="36"/>
        </w:rPr>
        <w:t>7履约验收要求</w:t>
      </w:r>
      <w:r>
        <w:tab/>
      </w:r>
      <w:r>
        <w:fldChar w:fldCharType="begin"/>
      </w:r>
      <w:r>
        <w:instrText xml:space="preserve"> PAGEREF _Toc256000032 \h </w:instrText>
      </w:r>
      <w:r>
        <w:fldChar w:fldCharType="separate"/>
      </w:r>
      <w:r>
        <w:t>15</w:t>
      </w:r>
      <w:r>
        <w:fldChar w:fldCharType="end"/>
      </w:r>
      <w:r>
        <w:fldChar w:fldCharType="end"/>
      </w:r>
    </w:p>
    <w:p w14:paraId="40E0E68B">
      <w:pPr>
        <w:pStyle w:val="27"/>
        <w:tabs>
          <w:tab w:val="right" w:leader="dot" w:pos="9016"/>
        </w:tabs>
        <w:spacing w:before="0" w:after="0" w:line="360" w:lineRule="auto"/>
        <w:rPr>
          <w:rFonts w:asciiTheme="minorHAnsi" w:hAnsiTheme="minorHAnsi"/>
          <w:sz w:val="22"/>
        </w:rPr>
      </w:pPr>
      <w:r>
        <w:fldChar w:fldCharType="begin"/>
      </w:r>
      <w:r>
        <w:instrText xml:space="preserve"> HYPERLINK \l "_Toc256000033" </w:instrText>
      </w:r>
      <w:r>
        <w:fldChar w:fldCharType="separate"/>
      </w:r>
      <w:r>
        <w:rPr>
          <w:rStyle w:val="37"/>
          <w:rFonts w:ascii="仿宋_GB2312" w:hAnsi="仿宋_GB2312" w:eastAsia="仿宋_GB2312" w:cs="仿宋_GB2312"/>
        </w:rPr>
        <w:t>7.1总体要求</w:t>
      </w:r>
      <w:r>
        <w:tab/>
      </w:r>
      <w:r>
        <w:fldChar w:fldCharType="begin"/>
      </w:r>
      <w:r>
        <w:instrText xml:space="preserve"> PAGEREF _Toc256000033 \h </w:instrText>
      </w:r>
      <w:r>
        <w:fldChar w:fldCharType="separate"/>
      </w:r>
      <w:r>
        <w:t>15</w:t>
      </w:r>
      <w:r>
        <w:fldChar w:fldCharType="end"/>
      </w:r>
      <w:r>
        <w:fldChar w:fldCharType="end"/>
      </w:r>
    </w:p>
    <w:p w14:paraId="6545F94E">
      <w:pPr>
        <w:pStyle w:val="27"/>
        <w:tabs>
          <w:tab w:val="right" w:leader="dot" w:pos="9016"/>
        </w:tabs>
        <w:spacing w:before="0" w:after="0" w:line="360" w:lineRule="auto"/>
        <w:rPr>
          <w:rFonts w:asciiTheme="minorHAnsi" w:hAnsiTheme="minorHAnsi"/>
          <w:sz w:val="22"/>
        </w:rPr>
      </w:pPr>
      <w:r>
        <w:fldChar w:fldCharType="begin"/>
      </w:r>
      <w:r>
        <w:instrText xml:space="preserve"> HYPERLINK \l "_Toc256000034" </w:instrText>
      </w:r>
      <w:r>
        <w:fldChar w:fldCharType="separate"/>
      </w:r>
      <w:r>
        <w:rPr>
          <w:rStyle w:val="37"/>
          <w:rFonts w:ascii="仿宋_GB2312" w:hAnsi="仿宋_GB2312" w:eastAsia="仿宋_GB2312" w:cs="仿宋_GB2312"/>
        </w:rPr>
        <w:t>7.2具体要求</w:t>
      </w:r>
      <w:r>
        <w:tab/>
      </w:r>
      <w:r>
        <w:fldChar w:fldCharType="begin"/>
      </w:r>
      <w:r>
        <w:instrText xml:space="preserve"> PAGEREF _Toc256000034 \h </w:instrText>
      </w:r>
      <w:r>
        <w:fldChar w:fldCharType="separate"/>
      </w:r>
      <w:r>
        <w:t>15</w:t>
      </w:r>
      <w:r>
        <w:fldChar w:fldCharType="end"/>
      </w:r>
      <w:r>
        <w:fldChar w:fldCharType="end"/>
      </w:r>
    </w:p>
    <w:p w14:paraId="0E9C3B37">
      <w:pPr>
        <w:pStyle w:val="25"/>
        <w:tabs>
          <w:tab w:val="right" w:leader="dot" w:pos="9016"/>
        </w:tabs>
        <w:spacing w:before="0" w:after="0" w:line="360" w:lineRule="auto"/>
        <w:rPr>
          <w:rFonts w:asciiTheme="minorHAnsi" w:hAnsiTheme="minorHAnsi"/>
          <w:sz w:val="22"/>
        </w:rPr>
      </w:pPr>
      <w:r>
        <w:fldChar w:fldCharType="begin"/>
      </w:r>
      <w:r>
        <w:instrText xml:space="preserve"> HYPERLINK \l "_Toc256000035" </w:instrText>
      </w:r>
      <w:r>
        <w:fldChar w:fldCharType="separate"/>
      </w:r>
      <w:r>
        <w:rPr>
          <w:rStyle w:val="37"/>
          <w:rFonts w:ascii="仿宋_GB2312" w:hAnsi="仿宋_GB2312" w:eastAsia="仿宋_GB2312" w:cs="仿宋_GB2312"/>
          <w:kern w:val="36"/>
        </w:rPr>
        <w:t>8其他要求</w:t>
      </w:r>
      <w:r>
        <w:tab/>
      </w:r>
      <w:r>
        <w:fldChar w:fldCharType="begin"/>
      </w:r>
      <w:r>
        <w:instrText xml:space="preserve"> PAGEREF _Toc256000035 \h </w:instrText>
      </w:r>
      <w:r>
        <w:fldChar w:fldCharType="separate"/>
      </w:r>
      <w:r>
        <w:t>16</w:t>
      </w:r>
      <w:r>
        <w:fldChar w:fldCharType="end"/>
      </w:r>
      <w:r>
        <w:fldChar w:fldCharType="end"/>
      </w:r>
    </w:p>
    <w:p w14:paraId="372C4758">
      <w:pPr>
        <w:pStyle w:val="27"/>
        <w:tabs>
          <w:tab w:val="right" w:leader="dot" w:pos="9016"/>
        </w:tabs>
        <w:spacing w:before="0" w:after="0" w:line="360" w:lineRule="auto"/>
        <w:rPr>
          <w:rFonts w:asciiTheme="minorHAnsi" w:hAnsiTheme="minorHAnsi"/>
          <w:sz w:val="22"/>
        </w:rPr>
      </w:pPr>
      <w:r>
        <w:fldChar w:fldCharType="begin"/>
      </w:r>
      <w:r>
        <w:instrText xml:space="preserve"> HYPERLINK \l "_Toc256000036" </w:instrText>
      </w:r>
      <w:r>
        <w:fldChar w:fldCharType="separate"/>
      </w:r>
      <w:r>
        <w:rPr>
          <w:rStyle w:val="37"/>
          <w:rFonts w:ascii="仿宋_GB2312" w:hAnsi="仿宋_GB2312" w:eastAsia="仿宋_GB2312" w:cs="仿宋_GB2312"/>
        </w:rPr>
        <w:t>8.1必备要求</w:t>
      </w:r>
      <w:r>
        <w:tab/>
      </w:r>
      <w:r>
        <w:fldChar w:fldCharType="begin"/>
      </w:r>
      <w:r>
        <w:instrText xml:space="preserve"> PAGEREF _Toc256000036 \h </w:instrText>
      </w:r>
      <w:r>
        <w:fldChar w:fldCharType="separate"/>
      </w:r>
      <w:r>
        <w:t>16</w:t>
      </w:r>
      <w:r>
        <w:fldChar w:fldCharType="end"/>
      </w:r>
      <w:r>
        <w:fldChar w:fldCharType="end"/>
      </w:r>
    </w:p>
    <w:p w14:paraId="2F4C8B6B">
      <w:pPr>
        <w:pStyle w:val="17"/>
        <w:tabs>
          <w:tab w:val="right" w:leader="dot" w:pos="9016"/>
        </w:tabs>
        <w:spacing w:before="0" w:after="0" w:line="360" w:lineRule="auto"/>
        <w:rPr>
          <w:rFonts w:asciiTheme="minorHAnsi" w:hAnsiTheme="minorHAnsi"/>
          <w:sz w:val="22"/>
        </w:rPr>
      </w:pPr>
      <w:r>
        <w:fldChar w:fldCharType="begin"/>
      </w:r>
      <w:r>
        <w:instrText xml:space="preserve"> HYPERLINK \l "_Toc256000037" </w:instrText>
      </w:r>
      <w:r>
        <w:fldChar w:fldCharType="separate"/>
      </w:r>
      <w:r>
        <w:rPr>
          <w:rStyle w:val="37"/>
          <w:rFonts w:ascii="仿宋_GB2312" w:hAnsi="仿宋_GB2312" w:eastAsia="仿宋_GB2312" w:cs="仿宋_GB2312"/>
        </w:rPr>
        <w:t>8.1.1通用必备要求</w:t>
      </w:r>
      <w:r>
        <w:tab/>
      </w:r>
      <w:r>
        <w:fldChar w:fldCharType="begin"/>
      </w:r>
      <w:r>
        <w:instrText xml:space="preserve"> PAGEREF _Toc256000037 \h </w:instrText>
      </w:r>
      <w:r>
        <w:fldChar w:fldCharType="separate"/>
      </w:r>
      <w:r>
        <w:t>16</w:t>
      </w:r>
      <w:r>
        <w:fldChar w:fldCharType="end"/>
      </w:r>
      <w:r>
        <w:fldChar w:fldCharType="end"/>
      </w:r>
    </w:p>
    <w:p w14:paraId="45C2BC1F">
      <w:pPr>
        <w:pStyle w:val="27"/>
        <w:tabs>
          <w:tab w:val="right" w:leader="dot" w:pos="9016"/>
        </w:tabs>
        <w:spacing w:before="0" w:after="0" w:line="360" w:lineRule="auto"/>
        <w:rPr>
          <w:rFonts w:asciiTheme="minorHAnsi" w:hAnsiTheme="minorHAnsi"/>
          <w:sz w:val="22"/>
        </w:rPr>
      </w:pPr>
      <w:r>
        <w:fldChar w:fldCharType="begin"/>
      </w:r>
      <w:r>
        <w:instrText xml:space="preserve"> HYPERLINK \l "_Toc256000038" </w:instrText>
      </w:r>
      <w:r>
        <w:fldChar w:fldCharType="separate"/>
      </w:r>
      <w:r>
        <w:rPr>
          <w:rStyle w:val="37"/>
          <w:rFonts w:ascii="仿宋_GB2312" w:hAnsi="仿宋_GB2312" w:eastAsia="仿宋_GB2312" w:cs="仿宋_GB2312"/>
        </w:rPr>
        <w:t>8.2付款安排建议</w:t>
      </w:r>
      <w:r>
        <w:tab/>
      </w:r>
      <w:r>
        <w:fldChar w:fldCharType="begin"/>
      </w:r>
      <w:r>
        <w:instrText xml:space="preserve"> PAGEREF _Toc256000038 \h </w:instrText>
      </w:r>
      <w:r>
        <w:fldChar w:fldCharType="separate"/>
      </w:r>
      <w:r>
        <w:t>17</w:t>
      </w:r>
      <w:r>
        <w:fldChar w:fldCharType="end"/>
      </w:r>
      <w:r>
        <w:fldChar w:fldCharType="end"/>
      </w:r>
    </w:p>
    <w:p w14:paraId="56DC1416">
      <w:pPr>
        <w:pStyle w:val="27"/>
        <w:tabs>
          <w:tab w:val="right" w:leader="dot" w:pos="9016"/>
        </w:tabs>
        <w:spacing w:before="0" w:after="0" w:line="360" w:lineRule="auto"/>
        <w:rPr>
          <w:rFonts w:asciiTheme="minorHAnsi" w:hAnsiTheme="minorHAnsi"/>
          <w:sz w:val="22"/>
        </w:rPr>
      </w:pPr>
      <w:r>
        <w:fldChar w:fldCharType="begin"/>
      </w:r>
      <w:r>
        <w:instrText xml:space="preserve"> HYPERLINK \l "_Toc256000039" </w:instrText>
      </w:r>
      <w:r>
        <w:fldChar w:fldCharType="separate"/>
      </w:r>
      <w:r>
        <w:rPr>
          <w:rStyle w:val="37"/>
          <w:rFonts w:ascii="仿宋_GB2312" w:hAnsi="仿宋_GB2312" w:eastAsia="仿宋_GB2312" w:cs="仿宋_GB2312"/>
        </w:rPr>
        <w:t>8.3其他要求</w:t>
      </w:r>
      <w:r>
        <w:tab/>
      </w:r>
      <w:r>
        <w:fldChar w:fldCharType="begin"/>
      </w:r>
      <w:r>
        <w:instrText xml:space="preserve"> PAGEREF _Toc256000039 \h </w:instrText>
      </w:r>
      <w:r>
        <w:fldChar w:fldCharType="separate"/>
      </w:r>
      <w:r>
        <w:t>17</w:t>
      </w:r>
      <w:r>
        <w:fldChar w:fldCharType="end"/>
      </w:r>
      <w:r>
        <w:fldChar w:fldCharType="end"/>
      </w:r>
    </w:p>
    <w:p w14:paraId="5963A834">
      <w:pPr>
        <w:pStyle w:val="17"/>
        <w:tabs>
          <w:tab w:val="right" w:leader="dot" w:pos="9016"/>
        </w:tabs>
        <w:spacing w:before="0" w:after="0" w:line="360" w:lineRule="auto"/>
        <w:rPr>
          <w:rFonts w:asciiTheme="minorHAnsi" w:hAnsiTheme="minorHAnsi"/>
          <w:sz w:val="22"/>
        </w:rPr>
      </w:pPr>
      <w:r>
        <w:fldChar w:fldCharType="begin"/>
      </w:r>
      <w:r>
        <w:instrText xml:space="preserve"> HYPERLINK \l "_Toc256000040" </w:instrText>
      </w:r>
      <w:r>
        <w:fldChar w:fldCharType="separate"/>
      </w:r>
      <w:r>
        <w:rPr>
          <w:rStyle w:val="37"/>
          <w:rFonts w:ascii="仿宋_GB2312" w:hAnsi="仿宋_GB2312" w:eastAsia="仿宋_GB2312" w:cs="仿宋_GB2312"/>
        </w:rPr>
        <w:t>8.3.1保密要求</w:t>
      </w:r>
      <w:r>
        <w:tab/>
      </w:r>
      <w:r>
        <w:fldChar w:fldCharType="begin"/>
      </w:r>
      <w:r>
        <w:instrText xml:space="preserve"> PAGEREF _Toc256000040 \h </w:instrText>
      </w:r>
      <w:r>
        <w:fldChar w:fldCharType="separate"/>
      </w:r>
      <w:r>
        <w:t>17</w:t>
      </w:r>
      <w:r>
        <w:fldChar w:fldCharType="end"/>
      </w:r>
      <w:r>
        <w:fldChar w:fldCharType="end"/>
      </w:r>
    </w:p>
    <w:p w14:paraId="7875AABD">
      <w:pPr>
        <w:pStyle w:val="17"/>
        <w:tabs>
          <w:tab w:val="right" w:leader="dot" w:pos="9016"/>
        </w:tabs>
        <w:spacing w:before="0" w:after="0" w:line="360" w:lineRule="auto"/>
        <w:rPr>
          <w:rFonts w:asciiTheme="minorHAnsi" w:hAnsiTheme="minorHAnsi"/>
          <w:sz w:val="22"/>
        </w:rPr>
      </w:pPr>
      <w:r>
        <w:fldChar w:fldCharType="begin"/>
      </w:r>
      <w:r>
        <w:instrText xml:space="preserve"> HYPERLINK \l "_Toc256000041" </w:instrText>
      </w:r>
      <w:r>
        <w:fldChar w:fldCharType="separate"/>
      </w:r>
      <w:r>
        <w:rPr>
          <w:rStyle w:val="37"/>
          <w:rFonts w:ascii="仿宋_GB2312" w:hAnsi="仿宋_GB2312" w:eastAsia="仿宋_GB2312" w:cs="仿宋_GB2312"/>
        </w:rPr>
        <w:t>8.3.2知识转移要求</w:t>
      </w:r>
      <w:r>
        <w:tab/>
      </w:r>
      <w:r>
        <w:fldChar w:fldCharType="begin"/>
      </w:r>
      <w:r>
        <w:instrText xml:space="preserve"> PAGEREF _Toc256000041 \h </w:instrText>
      </w:r>
      <w:r>
        <w:fldChar w:fldCharType="separate"/>
      </w:r>
      <w:r>
        <w:t>17</w:t>
      </w:r>
      <w:r>
        <w:fldChar w:fldCharType="end"/>
      </w:r>
      <w:r>
        <w:fldChar w:fldCharType="end"/>
      </w:r>
    </w:p>
    <w:p w14:paraId="18ECBF99">
      <w:pPr>
        <w:pStyle w:val="17"/>
        <w:tabs>
          <w:tab w:val="right" w:leader="dot" w:pos="9016"/>
        </w:tabs>
        <w:spacing w:before="0" w:after="0" w:line="360" w:lineRule="auto"/>
        <w:rPr>
          <w:rFonts w:asciiTheme="minorHAnsi" w:hAnsiTheme="minorHAnsi"/>
          <w:sz w:val="22"/>
        </w:rPr>
      </w:pPr>
      <w:r>
        <w:fldChar w:fldCharType="begin"/>
      </w:r>
      <w:r>
        <w:instrText xml:space="preserve"> HYPERLINK \l "_Toc256000042" </w:instrText>
      </w:r>
      <w:r>
        <w:fldChar w:fldCharType="separate"/>
      </w:r>
      <w:r>
        <w:rPr>
          <w:rStyle w:val="37"/>
          <w:rFonts w:ascii="仿宋_GB2312" w:hAnsi="仿宋_GB2312" w:eastAsia="仿宋_GB2312" w:cs="仿宋_GB2312"/>
        </w:rPr>
        <w:t>8.3.3知识产权要求</w:t>
      </w:r>
      <w:r>
        <w:tab/>
      </w:r>
      <w:r>
        <w:fldChar w:fldCharType="begin"/>
      </w:r>
      <w:r>
        <w:instrText xml:space="preserve"> PAGEREF _Toc256000042 \h </w:instrText>
      </w:r>
      <w:r>
        <w:fldChar w:fldCharType="separate"/>
      </w:r>
      <w:r>
        <w:t>17</w:t>
      </w:r>
      <w:r>
        <w:fldChar w:fldCharType="end"/>
      </w:r>
      <w:r>
        <w:fldChar w:fldCharType="end"/>
      </w:r>
    </w:p>
    <w:p w14:paraId="43C098A9">
      <w:pPr>
        <w:pStyle w:val="18"/>
        <w:spacing w:before="0" w:after="0" w:line="360" w:lineRule="auto"/>
        <w:jc w:val="left"/>
      </w:pPr>
      <w:r>
        <w:rPr>
          <w:rFonts w:ascii="宋体" w:hAnsi="宋体" w:eastAsia="宋体" w:cs="宋体"/>
          <w:sz w:val="32"/>
        </w:rPr>
        <w:fldChar w:fldCharType="end"/>
      </w:r>
      <w:r>
        <w:br w:type="page"/>
      </w:r>
    </w:p>
    <w:p w14:paraId="2DB02C88">
      <w:pPr>
        <w:pStyle w:val="90"/>
        <w:keepNext w:val="0"/>
        <w:spacing w:before="0" w:after="0" w:line="360" w:lineRule="auto"/>
        <w:jc w:val="center"/>
        <w:rPr>
          <w:rFonts w:ascii="仿宋_GB2312" w:hAnsi="仿宋_GB2312" w:eastAsia="仿宋_GB2312" w:cs="仿宋_GB2312"/>
          <w:b/>
          <w:bCs/>
          <w:sz w:val="32"/>
          <w:szCs w:val="32"/>
        </w:rPr>
      </w:pPr>
      <w:bookmarkStart w:id="1" w:name="_Toc256000000"/>
      <w:r>
        <w:rPr>
          <w:rFonts w:ascii="仿宋_GB2312" w:hAnsi="仿宋_GB2312" w:eastAsia="仿宋_GB2312" w:cs="仿宋_GB2312"/>
          <w:kern w:val="36"/>
        </w:rPr>
        <w:t>1项目概述</w:t>
      </w:r>
      <w:bookmarkEnd w:id="1"/>
    </w:p>
    <w:p w14:paraId="53CC0F3A">
      <w:pPr>
        <w:pStyle w:val="91"/>
        <w:keepNext w:val="0"/>
        <w:spacing w:before="0" w:after="0" w:line="360" w:lineRule="auto"/>
        <w:rPr>
          <w:rFonts w:ascii="仿宋_GB2312" w:hAnsi="仿宋_GB2312" w:eastAsia="仿宋_GB2312" w:cs="仿宋_GB2312"/>
          <w:b/>
          <w:bCs/>
          <w:sz w:val="28"/>
          <w:szCs w:val="28"/>
        </w:rPr>
      </w:pPr>
      <w:bookmarkStart w:id="2" w:name="_Toc256000001"/>
      <w:r>
        <w:rPr>
          <w:rFonts w:ascii="仿宋_GB2312" w:hAnsi="仿宋_GB2312" w:eastAsia="仿宋_GB2312" w:cs="仿宋_GB2312"/>
          <w:i w:val="0"/>
          <w:iCs w:val="0"/>
        </w:rPr>
        <w:t>1.1项目背景</w:t>
      </w:r>
      <w:bookmarkEnd w:id="2"/>
    </w:p>
    <w:p w14:paraId="79382AD9">
      <w:pPr>
        <w:pStyle w:val="92"/>
        <w:keepNext w:val="0"/>
        <w:spacing w:before="0" w:after="0" w:line="360" w:lineRule="auto"/>
        <w:rPr>
          <w:rFonts w:ascii="仿宋_GB2312" w:hAnsi="仿宋_GB2312" w:eastAsia="仿宋_GB2312" w:cs="仿宋_GB2312"/>
          <w:b/>
          <w:bCs/>
          <w:sz w:val="28"/>
          <w:szCs w:val="28"/>
        </w:rPr>
      </w:pPr>
      <w:bookmarkStart w:id="3" w:name="_Toc256000002"/>
      <w:r>
        <w:rPr>
          <w:rFonts w:ascii="仿宋_GB2312" w:hAnsi="仿宋_GB2312" w:eastAsia="仿宋_GB2312" w:cs="仿宋_GB2312"/>
          <w:sz w:val="28"/>
          <w:szCs w:val="28"/>
        </w:rPr>
        <w:t>1.1.1项目目的、意义及背景</w:t>
      </w:r>
      <w:bookmarkEnd w:id="3"/>
    </w:p>
    <w:p w14:paraId="68CF7D06">
      <w:pPr>
        <w:pStyle w:val="93"/>
        <w:spacing w:before="0" w:after="0" w:line="360" w:lineRule="auto"/>
        <w:ind w:firstLine="480"/>
        <w:jc w:val="both"/>
        <w:rPr>
          <w:rFonts w:ascii="Times New Roman" w:hAnsi="Times New Roman" w:eastAsia="Times New Roman" w:cs="Times New Roman"/>
        </w:rPr>
      </w:pPr>
      <w:r>
        <w:rPr>
          <w:rFonts w:ascii="FangSong_GB2312" w:hAnsi="FangSong_GB2312" w:eastAsia="FangSong_GB2312" w:cs="FangSong_GB2312"/>
          <w:sz w:val="28"/>
          <w:szCs w:val="28"/>
        </w:rPr>
        <w:t>当前，广西税务统一身份认证、征纳互动、新电子税务局等税费应用平台，均需依托短信服务开展登录验证、业务办理、政策推送等工作，此外，税费政策宣传、申报提示提醒、涉税风险预警、税务廉政提醒等信息，也需通过短信服务向纳税人缴费人、税务人进行精准推送，因此短信服务已成为保障税费业务安全规范、高效运转的关键基础支撑。为充分满足日益增长的业务使用需求，确保涉税费服务高效稳定，亟需开展短信服务采购。</w:t>
      </w:r>
    </w:p>
    <w:p w14:paraId="4CFD1F1B">
      <w:pPr>
        <w:pStyle w:val="91"/>
        <w:keepNext w:val="0"/>
        <w:spacing w:before="0" w:after="0" w:line="360" w:lineRule="auto"/>
        <w:rPr>
          <w:rFonts w:ascii="仿宋_GB2312" w:hAnsi="仿宋_GB2312" w:eastAsia="仿宋_GB2312" w:cs="仿宋_GB2312"/>
          <w:b/>
          <w:bCs/>
          <w:sz w:val="28"/>
          <w:szCs w:val="28"/>
        </w:rPr>
      </w:pPr>
      <w:bookmarkStart w:id="4" w:name="_Toc256000003"/>
      <w:r>
        <w:rPr>
          <w:rFonts w:ascii="仿宋_GB2312" w:hAnsi="仿宋_GB2312" w:eastAsia="仿宋_GB2312" w:cs="仿宋_GB2312"/>
          <w:i w:val="0"/>
          <w:iCs w:val="0"/>
        </w:rPr>
        <w:t>1.2项目内容</w:t>
      </w:r>
      <w:bookmarkEnd w:id="4"/>
    </w:p>
    <w:p w14:paraId="08A4E152">
      <w:pPr>
        <w:pStyle w:val="92"/>
        <w:keepNext w:val="0"/>
        <w:spacing w:before="0" w:after="0" w:line="360" w:lineRule="auto"/>
        <w:rPr>
          <w:rFonts w:ascii="仿宋_GB2312" w:hAnsi="仿宋_GB2312" w:eastAsia="仿宋_GB2312" w:cs="仿宋_GB2312"/>
          <w:b/>
          <w:bCs/>
          <w:sz w:val="28"/>
          <w:szCs w:val="28"/>
        </w:rPr>
      </w:pPr>
      <w:bookmarkStart w:id="5" w:name="_Toc256000004"/>
      <w:r>
        <w:rPr>
          <w:rFonts w:ascii="仿宋_GB2312" w:hAnsi="仿宋_GB2312" w:eastAsia="仿宋_GB2312" w:cs="仿宋_GB2312"/>
          <w:sz w:val="28"/>
          <w:szCs w:val="28"/>
        </w:rPr>
        <w:t>1.2.1项目建设思路</w:t>
      </w:r>
      <w:bookmarkEnd w:id="5"/>
    </w:p>
    <w:p w14:paraId="313BB919">
      <w:pPr>
        <w:pStyle w:val="93"/>
        <w:spacing w:before="0" w:after="0" w:line="360" w:lineRule="auto"/>
        <w:ind w:firstLine="480"/>
        <w:jc w:val="both"/>
        <w:rPr>
          <w:rFonts w:ascii="Times New Roman" w:hAnsi="Times New Roman" w:eastAsia="Times New Roman" w:cs="Times New Roman"/>
        </w:rPr>
      </w:pPr>
      <w:r>
        <w:rPr>
          <w:rFonts w:ascii="FangSong_GB2312" w:hAnsi="FangSong_GB2312" w:eastAsia="FangSong_GB2312" w:cs="FangSong_GB2312"/>
          <w:sz w:val="28"/>
          <w:szCs w:val="28"/>
        </w:rPr>
        <w:t>广西税务系统短信服务主要通过短信平台为纳税人缴费人和税务干部提供规范、便捷的短信信息推送服务，实现涉税业务办理的短信验证、税法宣传、涉税提醒、通知通告等服务功能，预计2026年短信发送量约达8570万条。为确保短信发送服务全天候稳定不间断，现拟对广西税务系统短信服务进行采购，每条短信单价不高于0.035元/条，预算金额300万元。</w:t>
      </w:r>
    </w:p>
    <w:p w14:paraId="5AC5760D">
      <w:pPr>
        <w:pStyle w:val="92"/>
        <w:keepNext w:val="0"/>
        <w:spacing w:before="0" w:after="0" w:line="360" w:lineRule="auto"/>
        <w:rPr>
          <w:rFonts w:ascii="仿宋_GB2312" w:hAnsi="仿宋_GB2312" w:eastAsia="仿宋_GB2312" w:cs="仿宋_GB2312"/>
          <w:b/>
          <w:bCs/>
          <w:sz w:val="28"/>
          <w:szCs w:val="28"/>
        </w:rPr>
      </w:pPr>
      <w:bookmarkStart w:id="6" w:name="_Toc256000005"/>
      <w:r>
        <w:rPr>
          <w:rFonts w:ascii="仿宋_GB2312" w:hAnsi="仿宋_GB2312" w:eastAsia="仿宋_GB2312" w:cs="仿宋_GB2312"/>
          <w:sz w:val="28"/>
          <w:szCs w:val="28"/>
        </w:rPr>
        <w:t>1.2.2采购内容</w:t>
      </w:r>
      <w:bookmarkEnd w:id="6"/>
    </w:p>
    <w:p w14:paraId="2436F6B0">
      <w:pPr>
        <w:pStyle w:val="93"/>
        <w:spacing w:before="0" w:after="0" w:line="360" w:lineRule="auto"/>
        <w:ind w:firstLine="480"/>
        <w:jc w:val="both"/>
        <w:rPr>
          <w:rFonts w:ascii="Times New Roman" w:hAnsi="Times New Roman" w:eastAsia="Times New Roman" w:cs="Times New Roman"/>
        </w:rPr>
      </w:pPr>
      <w:r>
        <w:rPr>
          <w:rFonts w:ascii="FangSong_GB2312" w:hAnsi="FangSong_GB2312" w:eastAsia="FangSong_GB2312" w:cs="FangSong_GB2312"/>
          <w:sz w:val="28"/>
          <w:szCs w:val="28"/>
        </w:rPr>
        <w:t>为确保短信发送服务全天候稳定不间断，现拟对广西税务系统短信服务进行采购，每条短信单价不高于0.035元/条，预算金额300万元。</w:t>
      </w:r>
    </w:p>
    <w:p w14:paraId="3CE54450">
      <w:pPr>
        <w:pStyle w:val="93"/>
        <w:spacing w:before="0" w:after="0" w:line="360" w:lineRule="auto"/>
        <w:ind w:firstLine="480"/>
        <w:jc w:val="both"/>
        <w:rPr>
          <w:rFonts w:ascii="Times New Roman" w:hAnsi="Times New Roman" w:eastAsia="Times New Roman" w:cs="Times New Roman"/>
        </w:rPr>
      </w:pPr>
      <w:r>
        <w:rPr>
          <w:rFonts w:ascii="FangSong_GB2312" w:hAnsi="FangSong_GB2312" w:eastAsia="FangSong_GB2312" w:cs="FangSong_GB2312"/>
          <w:sz w:val="28"/>
          <w:szCs w:val="28"/>
        </w:rPr>
        <w:t>1.中标人应具有三网发送的网络资源通道，通道发送速率不低于500条/秒，短信送达率应在99%以上。</w:t>
      </w:r>
    </w:p>
    <w:p w14:paraId="514E05AA">
      <w:pPr>
        <w:pStyle w:val="93"/>
        <w:spacing w:before="0" w:after="0" w:line="360" w:lineRule="auto"/>
        <w:ind w:firstLine="480"/>
        <w:jc w:val="both"/>
        <w:rPr>
          <w:rFonts w:ascii="Times New Roman" w:hAnsi="Times New Roman" w:eastAsia="Times New Roman" w:cs="Times New Roman"/>
        </w:rPr>
      </w:pPr>
      <w:r>
        <w:rPr>
          <w:rFonts w:ascii="FangSong_GB2312" w:hAnsi="FangSong_GB2312" w:eastAsia="FangSong_GB2312" w:cs="FangSong_GB2312"/>
          <w:sz w:val="28"/>
          <w:szCs w:val="28"/>
        </w:rPr>
        <w:t>2.中标人须根据广西税务系统的业务需求，在项目服务期内开发并部署短信平台系统给采购人使用，承担短信平台上线后的后续维护工作。</w:t>
      </w:r>
    </w:p>
    <w:p w14:paraId="355E44B1">
      <w:pPr>
        <w:pStyle w:val="93"/>
        <w:spacing w:before="0" w:after="0" w:line="360" w:lineRule="auto"/>
        <w:ind w:firstLine="480"/>
        <w:jc w:val="both"/>
        <w:rPr>
          <w:rFonts w:ascii="Times New Roman" w:hAnsi="Times New Roman" w:eastAsia="Times New Roman" w:cs="Times New Roman"/>
        </w:rPr>
      </w:pPr>
      <w:r>
        <w:rPr>
          <w:rFonts w:ascii="FangSong_GB2312" w:hAnsi="FangSong_GB2312" w:eastAsia="FangSong_GB2312" w:cs="FangSong_GB2312"/>
          <w:sz w:val="28"/>
          <w:szCs w:val="28"/>
        </w:rPr>
        <w:t>3.中标人对于短信平台系统故障、用户无法接收短信等突发情况，应提供7×24小时技术支持服务，第一时间启动故障自查机制，配合采购人完成问题溯源及修复，并制定应急预案，确保服务连续性。</w:t>
      </w:r>
    </w:p>
    <w:p w14:paraId="370212E7">
      <w:pPr>
        <w:pStyle w:val="93"/>
        <w:spacing w:before="0" w:after="0" w:line="360" w:lineRule="auto"/>
        <w:ind w:firstLine="480"/>
        <w:jc w:val="both"/>
        <w:rPr>
          <w:rFonts w:ascii="Times New Roman" w:hAnsi="Times New Roman" w:eastAsia="Times New Roman" w:cs="Times New Roman"/>
        </w:rPr>
      </w:pPr>
      <w:r>
        <w:rPr>
          <w:rFonts w:ascii="FangSong_GB2312" w:hAnsi="FangSong_GB2312" w:eastAsia="FangSong_GB2312" w:cs="FangSong_GB2312"/>
          <w:sz w:val="28"/>
          <w:szCs w:val="28"/>
        </w:rPr>
        <w:t>4.本项目根据实际短信发送成功量，据实按月支付费用。</w:t>
      </w:r>
    </w:p>
    <w:p w14:paraId="0BBB42F7">
      <w:pPr>
        <w:pStyle w:val="92"/>
        <w:keepNext w:val="0"/>
        <w:spacing w:before="0" w:after="0" w:line="360" w:lineRule="auto"/>
        <w:rPr>
          <w:rFonts w:ascii="仿宋_GB2312" w:hAnsi="仿宋_GB2312" w:eastAsia="仿宋_GB2312" w:cs="仿宋_GB2312"/>
          <w:b/>
          <w:bCs/>
          <w:sz w:val="28"/>
          <w:szCs w:val="28"/>
        </w:rPr>
      </w:pPr>
      <w:bookmarkStart w:id="7" w:name="_Toc256000006"/>
      <w:r>
        <w:rPr>
          <w:rFonts w:ascii="仿宋_GB2312" w:hAnsi="仿宋_GB2312" w:eastAsia="仿宋_GB2312" w:cs="仿宋_GB2312"/>
          <w:sz w:val="28"/>
          <w:szCs w:val="28"/>
        </w:rPr>
        <w:t>1.2.3项目实施要求</w:t>
      </w:r>
      <w:bookmarkEnd w:id="7"/>
    </w:p>
    <w:p w14:paraId="57915FC6">
      <w:pPr>
        <w:pStyle w:val="94"/>
        <w:keepNext w:val="0"/>
        <w:spacing w:before="0" w:after="0" w:line="360" w:lineRule="auto"/>
        <w:rPr>
          <w:rFonts w:ascii="仿宋_GB2312" w:hAnsi="仿宋_GB2312" w:eastAsia="仿宋_GB2312" w:cs="仿宋_GB2312"/>
          <w:b/>
          <w:bCs/>
          <w:sz w:val="28"/>
          <w:szCs w:val="28"/>
        </w:rPr>
      </w:pPr>
      <w:r>
        <w:rPr>
          <w:rFonts w:ascii="仿宋_GB2312" w:hAnsi="仿宋_GB2312" w:eastAsia="仿宋_GB2312" w:cs="仿宋_GB2312"/>
        </w:rPr>
        <w:t>1.2.3.1实施范围要求</w:t>
      </w:r>
    </w:p>
    <w:p w14:paraId="3776B123">
      <w:pPr>
        <w:pStyle w:val="93"/>
        <w:spacing w:before="0" w:after="0" w:line="360" w:lineRule="auto"/>
        <w:ind w:firstLine="480"/>
        <w:jc w:val="both"/>
        <w:rPr>
          <w:rFonts w:ascii="Times New Roman" w:hAnsi="Times New Roman" w:eastAsia="Times New Roman" w:cs="Times New Roman"/>
        </w:rPr>
      </w:pPr>
      <w:r>
        <w:rPr>
          <w:rFonts w:ascii="FangSong_GB2312" w:hAnsi="FangSong_GB2312" w:eastAsia="FangSong_GB2312" w:cs="FangSong_GB2312"/>
          <w:sz w:val="28"/>
          <w:szCs w:val="28"/>
        </w:rPr>
        <w:t>1.在短信平台与各税费应用平台对接过程中，能有效保障既有短信服务不中断；对接过程、调试过程、割接过程、测试过程不能对生产系统产生影响。</w:t>
      </w:r>
    </w:p>
    <w:p w14:paraId="6D555E62">
      <w:pPr>
        <w:pStyle w:val="93"/>
        <w:spacing w:before="0" w:after="0" w:line="360" w:lineRule="auto"/>
        <w:ind w:firstLine="480"/>
        <w:jc w:val="both"/>
        <w:rPr>
          <w:rFonts w:ascii="Times New Roman" w:hAnsi="Times New Roman" w:eastAsia="Times New Roman" w:cs="Times New Roman"/>
        </w:rPr>
      </w:pPr>
      <w:r>
        <w:rPr>
          <w:rFonts w:ascii="FangSong_GB2312" w:hAnsi="FangSong_GB2312" w:eastAsia="FangSong_GB2312" w:cs="FangSong_GB2312"/>
          <w:sz w:val="28"/>
          <w:szCs w:val="28"/>
        </w:rPr>
        <w:t>2.短信平台与采购人各类平台对接时，应确保连接安全，在税务网络内部署时需满足税务系统安全审核要求。</w:t>
      </w:r>
    </w:p>
    <w:p w14:paraId="3E37921E">
      <w:pPr>
        <w:pStyle w:val="93"/>
        <w:spacing w:before="0" w:after="0" w:line="360" w:lineRule="auto"/>
        <w:ind w:firstLine="480"/>
        <w:jc w:val="both"/>
        <w:rPr>
          <w:rFonts w:ascii="Times New Roman" w:hAnsi="Times New Roman" w:eastAsia="Times New Roman" w:cs="Times New Roman"/>
        </w:rPr>
      </w:pPr>
      <w:r>
        <w:rPr>
          <w:rFonts w:ascii="FangSong_GB2312" w:hAnsi="FangSong_GB2312" w:eastAsia="FangSong_GB2312" w:cs="FangSong_GB2312"/>
          <w:sz w:val="28"/>
          <w:szCs w:val="28"/>
        </w:rPr>
        <w:t>3.每季度前10天内向采购人提供上个季度短信发送报告，报告内容包括但不限于发送总量，发送成功量，发送失败数量，发送成功率，发送失败原因，短信平台故障问题及问题解决方法等。</w:t>
      </w:r>
    </w:p>
    <w:p w14:paraId="5B4A9D88">
      <w:pPr>
        <w:pStyle w:val="93"/>
        <w:spacing w:before="0" w:after="0" w:line="360" w:lineRule="auto"/>
        <w:ind w:firstLine="480"/>
        <w:jc w:val="both"/>
        <w:rPr>
          <w:rFonts w:ascii="Times New Roman" w:hAnsi="Times New Roman" w:eastAsia="Times New Roman" w:cs="Times New Roman"/>
        </w:rPr>
      </w:pPr>
      <w:r>
        <w:rPr>
          <w:rFonts w:ascii="FangSong_GB2312" w:hAnsi="FangSong_GB2312" w:eastAsia="FangSong_GB2312" w:cs="FangSong_GB2312"/>
          <w:sz w:val="28"/>
          <w:szCs w:val="28"/>
        </w:rPr>
        <w:t>4.投标人需提供不少于3人的技术支撑人员，并在投标文件中提供与其签订的劳动合同复印件。出现重大故障或重大任务需要现场保障时，技术支撑人员能在30分钟内抵达现场。技术支撑人员主要负责以下几方面工作：</w:t>
      </w:r>
    </w:p>
    <w:p w14:paraId="1235AEAA">
      <w:pPr>
        <w:pStyle w:val="93"/>
        <w:spacing w:before="0" w:after="0" w:line="360" w:lineRule="auto"/>
        <w:ind w:firstLine="480"/>
        <w:jc w:val="both"/>
        <w:rPr>
          <w:rFonts w:ascii="Times New Roman" w:hAnsi="Times New Roman" w:eastAsia="Times New Roman" w:cs="Times New Roman"/>
        </w:rPr>
      </w:pPr>
      <w:r>
        <w:rPr>
          <w:rFonts w:ascii="FangSong_GB2312" w:hAnsi="FangSong_GB2312" w:eastAsia="FangSong_GB2312" w:cs="FangSong_GB2312"/>
          <w:sz w:val="28"/>
          <w:szCs w:val="28"/>
        </w:rPr>
        <w:t>（1）日常运维：包括短信平台的日常巡检，平台稳定性及故障监控，短信发送质量监测及问题处理，根据采购人需求完善平台功能、解决平台使用问题等。</w:t>
      </w:r>
    </w:p>
    <w:p w14:paraId="07D62A18">
      <w:pPr>
        <w:pStyle w:val="93"/>
        <w:spacing w:before="0" w:after="0" w:line="360" w:lineRule="auto"/>
        <w:ind w:firstLine="480"/>
        <w:jc w:val="both"/>
        <w:rPr>
          <w:rFonts w:ascii="Times New Roman" w:hAnsi="Times New Roman" w:eastAsia="Times New Roman" w:cs="Times New Roman"/>
        </w:rPr>
      </w:pPr>
      <w:r>
        <w:rPr>
          <w:rFonts w:ascii="FangSong_GB2312" w:hAnsi="FangSong_GB2312" w:eastAsia="FangSong_GB2312" w:cs="FangSong_GB2312"/>
          <w:sz w:val="28"/>
          <w:szCs w:val="28"/>
        </w:rPr>
        <w:t>（2）售后服务：包括短信发送数据的统计、分析、备份和恢复，与广西税务系统的安全对接以及根据需要进行补丁升级、数据安全管理等。</w:t>
      </w:r>
    </w:p>
    <w:p w14:paraId="61AFAA62">
      <w:pPr>
        <w:pStyle w:val="93"/>
        <w:spacing w:before="0" w:after="0" w:line="360" w:lineRule="auto"/>
        <w:ind w:firstLine="480"/>
        <w:jc w:val="both"/>
        <w:rPr>
          <w:rFonts w:ascii="Times New Roman" w:hAnsi="Times New Roman" w:eastAsia="Times New Roman" w:cs="Times New Roman"/>
        </w:rPr>
      </w:pPr>
      <w:r>
        <w:rPr>
          <w:rFonts w:ascii="FangSong_GB2312" w:hAnsi="FangSong_GB2312" w:eastAsia="FangSong_GB2312" w:cs="FangSong_GB2312"/>
          <w:sz w:val="28"/>
          <w:szCs w:val="28"/>
        </w:rPr>
        <w:t>（3）故障排查处理：包括制定故障应急方案，含排查处理流程、时间要求及应急措施；及时明确故障产生原因、制定故障处理方案及进行故障修复；故障解决后向采购人提供防止类似故障再次发生的解决方案等。</w:t>
      </w:r>
    </w:p>
    <w:p w14:paraId="0209FF9E">
      <w:pPr>
        <w:pStyle w:val="93"/>
        <w:spacing w:before="0" w:after="0" w:line="360" w:lineRule="auto"/>
        <w:ind w:firstLine="480"/>
        <w:jc w:val="both"/>
        <w:rPr>
          <w:rFonts w:ascii="Times New Roman" w:hAnsi="Times New Roman" w:eastAsia="Times New Roman" w:cs="Times New Roman"/>
        </w:rPr>
      </w:pPr>
      <w:r>
        <w:rPr>
          <w:rFonts w:ascii="FangSong_GB2312" w:hAnsi="FangSong_GB2312" w:eastAsia="FangSong_GB2312" w:cs="FangSong_GB2312"/>
          <w:sz w:val="28"/>
          <w:szCs w:val="28"/>
        </w:rPr>
        <w:t>（4）与运营商沟通：包括与运营商短信发送通道的顺利对接，协调解决短信发送质量降低、发送通道不畅及网间通信不佳的问题等。</w:t>
      </w:r>
    </w:p>
    <w:p w14:paraId="5A9B392B">
      <w:pPr>
        <w:pStyle w:val="93"/>
        <w:spacing w:before="0" w:after="0" w:line="360" w:lineRule="auto"/>
        <w:ind w:firstLine="480"/>
        <w:jc w:val="both"/>
        <w:rPr>
          <w:rFonts w:ascii="Times New Roman" w:hAnsi="Times New Roman" w:eastAsia="Times New Roman" w:cs="Times New Roman"/>
        </w:rPr>
      </w:pPr>
      <w:r>
        <w:rPr>
          <w:rFonts w:ascii="FangSong_GB2312" w:hAnsi="FangSong_GB2312" w:eastAsia="FangSong_GB2312" w:cs="FangSong_GB2312"/>
          <w:sz w:val="28"/>
          <w:szCs w:val="28"/>
        </w:rPr>
        <w:t>5.技术支撑人员学历为本科及以上，具有二年以上同类项目技术支撑服务经验，专业为计算机类专业；具有计算机技术与软件专业技术资格中级以上证书优先。</w:t>
      </w:r>
    </w:p>
    <w:p w14:paraId="7C82FA8C">
      <w:pPr>
        <w:pStyle w:val="94"/>
        <w:keepNext w:val="0"/>
        <w:spacing w:before="0" w:after="0" w:line="360" w:lineRule="auto"/>
        <w:rPr>
          <w:rFonts w:ascii="仿宋_GB2312" w:hAnsi="仿宋_GB2312" w:eastAsia="仿宋_GB2312" w:cs="仿宋_GB2312"/>
          <w:b/>
          <w:bCs/>
          <w:sz w:val="28"/>
          <w:szCs w:val="28"/>
        </w:rPr>
      </w:pPr>
      <w:r>
        <w:rPr>
          <w:rFonts w:ascii="仿宋_GB2312" w:hAnsi="仿宋_GB2312" w:eastAsia="仿宋_GB2312" w:cs="仿宋_GB2312"/>
        </w:rPr>
        <w:t>1.2.3.2实施时间要求</w:t>
      </w:r>
    </w:p>
    <w:p w14:paraId="7CB1BEBD">
      <w:pPr>
        <w:pStyle w:val="93"/>
        <w:spacing w:before="0" w:after="0" w:line="360" w:lineRule="auto"/>
        <w:ind w:firstLine="480"/>
        <w:jc w:val="both"/>
        <w:rPr>
          <w:rFonts w:ascii="Times New Roman" w:hAnsi="Times New Roman" w:eastAsia="Times New Roman" w:cs="Times New Roman"/>
        </w:rPr>
      </w:pPr>
      <w:r>
        <w:rPr>
          <w:rFonts w:ascii="FangSong_GB2312" w:hAnsi="FangSong_GB2312" w:eastAsia="FangSong_GB2312" w:cs="FangSong_GB2312"/>
          <w:sz w:val="28"/>
          <w:szCs w:val="28"/>
        </w:rPr>
        <w:t>1.项目合同签订后，中标人应于10日之内完成系统部署、账号设置及功能调试，并提供正常服务。</w:t>
      </w:r>
    </w:p>
    <w:p w14:paraId="01068850">
      <w:pPr>
        <w:pStyle w:val="93"/>
        <w:spacing w:before="0" w:after="0" w:line="360" w:lineRule="auto"/>
        <w:ind w:firstLine="480"/>
        <w:jc w:val="both"/>
        <w:rPr>
          <w:rFonts w:ascii="Times New Roman" w:hAnsi="Times New Roman" w:eastAsia="Times New Roman" w:cs="Times New Roman"/>
        </w:rPr>
      </w:pPr>
      <w:r>
        <w:rPr>
          <w:rFonts w:ascii="FangSong_GB2312" w:hAnsi="FangSong_GB2312" w:eastAsia="FangSong_GB2312" w:cs="FangSong_GB2312"/>
          <w:sz w:val="28"/>
          <w:szCs w:val="28"/>
        </w:rPr>
        <w:t>★2.项目服务期限内，中标人应主动实时监控短信发送质效，若短信发送出现延迟故障（服务验证码在五分钟内发送时长超过20秒的比例大于20%、群发类短信发送失败率高于千分之一），应于出现延迟故障后10分钟内主动发现并于半小时之内解决。在故障解决后的三个工作日内做出故障原因报告并采取有效措施加以预防，确保此类故障不再发生。</w:t>
      </w:r>
    </w:p>
    <w:p w14:paraId="39D7B9A6">
      <w:pPr>
        <w:pStyle w:val="93"/>
        <w:spacing w:before="0" w:after="0" w:line="360" w:lineRule="auto"/>
        <w:ind w:firstLine="480"/>
        <w:jc w:val="both"/>
        <w:rPr>
          <w:rFonts w:ascii="Times New Roman" w:hAnsi="Times New Roman" w:eastAsia="Times New Roman" w:cs="Times New Roman"/>
        </w:rPr>
      </w:pPr>
      <w:r>
        <w:rPr>
          <w:rFonts w:ascii="FangSong_GB2312" w:hAnsi="FangSong_GB2312" w:eastAsia="FangSong_GB2312" w:cs="FangSong_GB2312"/>
          <w:sz w:val="28"/>
          <w:szCs w:val="28"/>
        </w:rPr>
        <w:t>3.项目服务期内，采购人需新增或更换应用系统接入短信平台时，中标人应及时配合开发相应短信应用接口并完成成功发送测试。</w:t>
      </w:r>
    </w:p>
    <w:p w14:paraId="05074F62">
      <w:pPr>
        <w:pStyle w:val="93"/>
        <w:spacing w:before="0" w:after="0" w:line="360" w:lineRule="auto"/>
        <w:ind w:firstLine="480"/>
        <w:jc w:val="both"/>
        <w:rPr>
          <w:rFonts w:ascii="Times New Roman" w:hAnsi="Times New Roman" w:eastAsia="Times New Roman" w:cs="Times New Roman"/>
        </w:rPr>
      </w:pPr>
      <w:r>
        <w:rPr>
          <w:rFonts w:ascii="FangSong_GB2312" w:hAnsi="FangSong_GB2312" w:eastAsia="FangSong_GB2312" w:cs="FangSong_GB2312"/>
          <w:sz w:val="28"/>
          <w:szCs w:val="28"/>
        </w:rPr>
        <w:t>4.如遇短信平台与采购人各税费系统通信中断，应于10分钟内主动发现并于半小时之内解决。</w:t>
      </w:r>
    </w:p>
    <w:p w14:paraId="455ECB55">
      <w:pPr>
        <w:pStyle w:val="93"/>
        <w:spacing w:before="0" w:after="0" w:line="360" w:lineRule="auto"/>
        <w:ind w:firstLine="480"/>
        <w:jc w:val="both"/>
        <w:rPr>
          <w:rFonts w:ascii="Times New Roman" w:hAnsi="Times New Roman" w:eastAsia="Times New Roman" w:cs="Times New Roman"/>
        </w:rPr>
      </w:pPr>
      <w:r>
        <w:rPr>
          <w:rFonts w:ascii="FangSong_GB2312" w:hAnsi="FangSong_GB2312" w:eastAsia="FangSong_GB2312" w:cs="FangSong_GB2312"/>
          <w:sz w:val="28"/>
          <w:szCs w:val="28"/>
        </w:rPr>
        <w:t>5.中标人要提供短信平台使用手册。</w:t>
      </w:r>
    </w:p>
    <w:p w14:paraId="46301443">
      <w:pPr>
        <w:pStyle w:val="94"/>
        <w:keepNext w:val="0"/>
        <w:spacing w:before="0" w:after="0" w:line="360" w:lineRule="auto"/>
        <w:rPr>
          <w:rFonts w:ascii="仿宋_GB2312" w:hAnsi="仿宋_GB2312" w:eastAsia="仿宋_GB2312" w:cs="仿宋_GB2312"/>
          <w:b/>
          <w:bCs/>
          <w:sz w:val="28"/>
          <w:szCs w:val="28"/>
        </w:rPr>
      </w:pPr>
      <w:r>
        <w:rPr>
          <w:rFonts w:ascii="仿宋_GB2312" w:hAnsi="仿宋_GB2312" w:eastAsia="仿宋_GB2312" w:cs="仿宋_GB2312"/>
        </w:rPr>
        <w:t>1.2.3.3实施地点要求</w:t>
      </w:r>
    </w:p>
    <w:p w14:paraId="510E9DDE">
      <w:pPr>
        <w:pStyle w:val="18"/>
        <w:spacing w:before="0" w:after="0" w:line="360" w:lineRule="auto"/>
        <w:ind w:firstLine="560"/>
        <w:jc w:val="both"/>
        <w:rPr>
          <w:rFonts w:ascii="FangSong_GB2312" w:hAnsi="FangSong_GB2312" w:eastAsia="FangSong_GB2312" w:cs="FangSong_GB2312"/>
          <w:sz w:val="28"/>
          <w:szCs w:val="28"/>
        </w:rPr>
      </w:pPr>
      <w:r>
        <w:rPr>
          <w:rFonts w:ascii="FangSong_GB2312" w:hAnsi="FangSong_GB2312" w:eastAsia="FangSong_GB2312" w:cs="FangSong_GB2312"/>
          <w:sz w:val="28"/>
          <w:szCs w:val="28"/>
        </w:rPr>
        <w:t>广西壮族自治区税务局。</w:t>
      </w:r>
    </w:p>
    <w:p w14:paraId="2DE46612">
      <w:pPr>
        <w:pStyle w:val="91"/>
        <w:keepNext w:val="0"/>
        <w:spacing w:before="0" w:after="0" w:line="360" w:lineRule="auto"/>
        <w:rPr>
          <w:rFonts w:ascii="仿宋_GB2312" w:hAnsi="仿宋_GB2312" w:eastAsia="仿宋_GB2312" w:cs="仿宋_GB2312"/>
          <w:b/>
          <w:bCs/>
          <w:sz w:val="28"/>
          <w:szCs w:val="28"/>
        </w:rPr>
      </w:pPr>
      <w:bookmarkStart w:id="8" w:name="_Toc256000007"/>
      <w:r>
        <w:rPr>
          <w:rFonts w:ascii="仿宋_GB2312" w:hAnsi="仿宋_GB2312" w:eastAsia="仿宋_GB2312" w:cs="仿宋_GB2312"/>
          <w:i w:val="0"/>
          <w:iCs w:val="0"/>
        </w:rPr>
        <w:t>1.3其他要求</w:t>
      </w:r>
      <w:bookmarkEnd w:id="8"/>
    </w:p>
    <w:p w14:paraId="16BD7245">
      <w:pPr>
        <w:pStyle w:val="92"/>
        <w:keepNext w:val="0"/>
        <w:spacing w:before="0" w:after="0" w:line="360" w:lineRule="auto"/>
        <w:rPr>
          <w:rFonts w:ascii="仿宋_GB2312" w:hAnsi="仿宋_GB2312" w:eastAsia="仿宋_GB2312" w:cs="仿宋_GB2312"/>
          <w:b/>
          <w:bCs/>
          <w:sz w:val="28"/>
          <w:szCs w:val="28"/>
        </w:rPr>
      </w:pPr>
      <w:bookmarkStart w:id="9" w:name="_Toc256000008"/>
      <w:r>
        <w:rPr>
          <w:rFonts w:ascii="仿宋_GB2312" w:hAnsi="仿宋_GB2312" w:eastAsia="仿宋_GB2312" w:cs="仿宋_GB2312"/>
          <w:sz w:val="28"/>
          <w:szCs w:val="28"/>
        </w:rPr>
        <w:t>1.3.1采购标的需执行的相关标准规范</w:t>
      </w:r>
      <w:bookmarkEnd w:id="9"/>
    </w:p>
    <w:p w14:paraId="18FF6604">
      <w:pPr>
        <w:pStyle w:val="95"/>
        <w:spacing w:before="0" w:after="0" w:line="360" w:lineRule="auto"/>
        <w:ind w:firstLine="480"/>
        <w:jc w:val="both"/>
        <w:rPr>
          <w:rFonts w:ascii="Times New Roman" w:hAnsi="Times New Roman" w:eastAsia="Times New Roman" w:cs="Times New Roman"/>
        </w:rPr>
      </w:pPr>
      <w:r>
        <w:rPr>
          <w:rFonts w:ascii="FangSong_GB2312" w:hAnsi="FangSong_GB2312" w:eastAsia="FangSong_GB2312" w:cs="FangSong_GB2312"/>
          <w:sz w:val="28"/>
          <w:szCs w:val="28"/>
        </w:rPr>
        <w:t>投标人对本项目需求制订的实施进度计划、项目管理组织管控、项目实施过程等实施方案完整、详细、具有可操作性。</w:t>
      </w:r>
    </w:p>
    <w:p w14:paraId="62C5DA93">
      <w:pPr>
        <w:pStyle w:val="90"/>
        <w:keepNext w:val="0"/>
        <w:spacing w:before="0" w:after="0" w:line="360" w:lineRule="auto"/>
        <w:jc w:val="center"/>
        <w:rPr>
          <w:rFonts w:ascii="仿宋_GB2312" w:hAnsi="仿宋_GB2312" w:eastAsia="仿宋_GB2312" w:cs="仿宋_GB2312"/>
          <w:b/>
          <w:bCs/>
          <w:sz w:val="32"/>
          <w:szCs w:val="32"/>
        </w:rPr>
      </w:pPr>
      <w:bookmarkStart w:id="10" w:name="_Toc256000009"/>
      <w:r>
        <w:rPr>
          <w:rFonts w:ascii="仿宋_GB2312" w:hAnsi="仿宋_GB2312" w:eastAsia="仿宋_GB2312" w:cs="仿宋_GB2312"/>
          <w:kern w:val="36"/>
        </w:rPr>
        <w:t>2投标/响应要求</w:t>
      </w:r>
      <w:bookmarkEnd w:id="10"/>
    </w:p>
    <w:p w14:paraId="5BECD04D">
      <w:pPr>
        <w:pStyle w:val="91"/>
        <w:keepNext w:val="0"/>
        <w:spacing w:before="0" w:after="0" w:line="360" w:lineRule="auto"/>
        <w:rPr>
          <w:rFonts w:ascii="仿宋_GB2312" w:hAnsi="仿宋_GB2312" w:eastAsia="仿宋_GB2312" w:cs="仿宋_GB2312"/>
          <w:b/>
          <w:bCs/>
          <w:sz w:val="28"/>
          <w:szCs w:val="28"/>
        </w:rPr>
      </w:pPr>
      <w:bookmarkStart w:id="11" w:name="_Toc256000010"/>
      <w:r>
        <w:rPr>
          <w:rFonts w:ascii="仿宋_GB2312" w:hAnsi="仿宋_GB2312" w:eastAsia="仿宋_GB2312" w:cs="仿宋_GB2312"/>
          <w:i w:val="0"/>
          <w:iCs w:val="0"/>
        </w:rPr>
        <w:t>2.1对供应商的要求</w:t>
      </w:r>
      <w:bookmarkEnd w:id="11"/>
    </w:p>
    <w:p w14:paraId="0D6D7397">
      <w:pPr>
        <w:pStyle w:val="92"/>
        <w:keepNext w:val="0"/>
        <w:spacing w:before="0" w:after="0" w:line="360" w:lineRule="auto"/>
        <w:rPr>
          <w:rFonts w:ascii="仿宋_GB2312" w:hAnsi="仿宋_GB2312" w:eastAsia="仿宋_GB2312" w:cs="仿宋_GB2312"/>
          <w:b/>
          <w:bCs/>
          <w:sz w:val="28"/>
          <w:szCs w:val="28"/>
        </w:rPr>
      </w:pPr>
      <w:bookmarkStart w:id="12" w:name="_Toc256000011"/>
      <w:r>
        <w:rPr>
          <w:rFonts w:ascii="仿宋_GB2312" w:hAnsi="仿宋_GB2312" w:eastAsia="仿宋_GB2312" w:cs="仿宋_GB2312"/>
          <w:sz w:val="28"/>
          <w:szCs w:val="28"/>
        </w:rPr>
        <w:t>2.1.1必备资质</w:t>
      </w:r>
      <w:bookmarkEnd w:id="12"/>
    </w:p>
    <w:p w14:paraId="19563D25">
      <w:pPr>
        <w:pStyle w:val="94"/>
        <w:keepNext w:val="0"/>
        <w:spacing w:before="0" w:after="0" w:line="360" w:lineRule="auto"/>
        <w:rPr>
          <w:rFonts w:ascii="仿宋_GB2312" w:hAnsi="仿宋_GB2312" w:eastAsia="仿宋_GB2312" w:cs="仿宋_GB2312"/>
          <w:b/>
          <w:bCs/>
          <w:sz w:val="28"/>
          <w:szCs w:val="28"/>
        </w:rPr>
      </w:pPr>
      <w:r>
        <w:rPr>
          <w:rFonts w:ascii="仿宋_GB2312" w:hAnsi="仿宋_GB2312" w:eastAsia="仿宋_GB2312" w:cs="仿宋_GB2312"/>
        </w:rPr>
        <w:t>2.1.1.1投标人应遵守有关国家法律、法规和条例,具备《中华人民共和国政府采购法》第二十二条的规定和本文件中规定的条件。</w:t>
      </w:r>
    </w:p>
    <w:p w14:paraId="790D2146">
      <w:pPr>
        <w:pStyle w:val="94"/>
        <w:keepNext w:val="0"/>
        <w:spacing w:before="0" w:after="0" w:line="360" w:lineRule="auto"/>
        <w:rPr>
          <w:rFonts w:ascii="仿宋_GB2312" w:hAnsi="仿宋_GB2312" w:eastAsia="仿宋_GB2312" w:cs="仿宋_GB2312"/>
          <w:b/>
          <w:bCs/>
          <w:sz w:val="28"/>
          <w:szCs w:val="28"/>
        </w:rPr>
      </w:pPr>
      <w:r>
        <w:rPr>
          <w:rFonts w:ascii="仿宋_GB2312" w:hAnsi="仿宋_GB2312" w:eastAsia="仿宋_GB2312" w:cs="仿宋_GB2312"/>
        </w:rPr>
        <w:t>2.1.1.2本项目的特定资格要求</w:t>
      </w:r>
    </w:p>
    <w:p w14:paraId="481DC42D">
      <w:pPr>
        <w:pStyle w:val="95"/>
        <w:spacing w:before="0" w:after="0" w:line="360" w:lineRule="auto"/>
        <w:ind w:left="0" w:firstLine="480"/>
        <w:jc w:val="both"/>
        <w:rPr>
          <w:rFonts w:ascii="Times New Roman" w:hAnsi="Times New Roman" w:eastAsia="Times New Roman" w:cs="Times New Roman"/>
        </w:rPr>
      </w:pPr>
      <w:r>
        <w:rPr>
          <w:rFonts w:ascii="FangSong_GB2312" w:hAnsi="FangSong_GB2312" w:eastAsia="FangSong_GB2312" w:cs="FangSong_GB2312"/>
          <w:sz w:val="28"/>
          <w:szCs w:val="28"/>
        </w:rPr>
        <w:t>供应商须同时具有由工信部颁发的有效的中华人民共和国增值电信业务经营许可证（第二类增值电信业务的信息服务业务，业务覆盖范围：全国）及具有由工信部颁发的电信网码号资源使用许可。</w:t>
      </w:r>
    </w:p>
    <w:p w14:paraId="6EFCE0B1">
      <w:pPr>
        <w:pStyle w:val="92"/>
        <w:keepNext w:val="0"/>
        <w:spacing w:before="0" w:after="0" w:line="360" w:lineRule="auto"/>
        <w:rPr>
          <w:rFonts w:ascii="仿宋_GB2312" w:hAnsi="仿宋_GB2312" w:eastAsia="仿宋_GB2312" w:cs="仿宋_GB2312"/>
          <w:b/>
          <w:bCs/>
          <w:sz w:val="28"/>
          <w:szCs w:val="28"/>
        </w:rPr>
      </w:pPr>
      <w:bookmarkStart w:id="13" w:name="_Toc256000012"/>
      <w:r>
        <w:rPr>
          <w:rFonts w:ascii="仿宋_GB2312" w:hAnsi="仿宋_GB2312" w:eastAsia="仿宋_GB2312" w:cs="仿宋_GB2312"/>
          <w:sz w:val="28"/>
          <w:szCs w:val="28"/>
        </w:rPr>
        <w:t>2.1.2优选资质/优选指标</w:t>
      </w:r>
      <w:bookmarkEnd w:id="13"/>
    </w:p>
    <w:p w14:paraId="03F8EA7F">
      <w:pPr>
        <w:pStyle w:val="94"/>
        <w:keepNext w:val="0"/>
        <w:spacing w:before="0" w:after="0" w:line="360" w:lineRule="auto"/>
        <w:rPr>
          <w:rFonts w:ascii="仿宋_GB2312" w:hAnsi="仿宋_GB2312" w:eastAsia="仿宋_GB2312" w:cs="仿宋_GB2312"/>
          <w:b/>
          <w:bCs/>
          <w:sz w:val="28"/>
          <w:szCs w:val="28"/>
        </w:rPr>
      </w:pPr>
      <w:r>
        <w:rPr>
          <w:rFonts w:ascii="仿宋_GB2312" w:hAnsi="仿宋_GB2312" w:eastAsia="仿宋_GB2312" w:cs="仿宋_GB2312"/>
        </w:rPr>
        <w:t>2.1.2.1相关证书</w:t>
      </w:r>
    </w:p>
    <w:tbl>
      <w:tblPr>
        <w:tblStyle w:val="32"/>
        <w:tblW w:w="5000" w:type="pct"/>
        <w:tblInd w:w="30" w:type="dxa"/>
        <w:tblLayout w:type="autofit"/>
        <w:tblCellMar>
          <w:top w:w="15" w:type="dxa"/>
          <w:left w:w="15" w:type="dxa"/>
          <w:bottom w:w="15" w:type="dxa"/>
          <w:right w:w="15" w:type="dxa"/>
        </w:tblCellMar>
      </w:tblPr>
      <w:tblGrid>
        <w:gridCol w:w="906"/>
        <w:gridCol w:w="4082"/>
        <w:gridCol w:w="4082"/>
      </w:tblGrid>
      <w:tr w14:paraId="16D53A10">
        <w:tblPrEx>
          <w:tblCellMar>
            <w:top w:w="15" w:type="dxa"/>
            <w:left w:w="15" w:type="dxa"/>
            <w:bottom w:w="15" w:type="dxa"/>
            <w:right w:w="15" w:type="dxa"/>
          </w:tblCellMar>
        </w:tblPrEx>
        <w:tc>
          <w:tcPr>
            <w:tcW w:w="500" w:type="pct"/>
            <w:tcBorders>
              <w:top w:val="single" w:color="000000" w:sz="6" w:space="0"/>
              <w:left w:val="single" w:color="000000" w:sz="6" w:space="0"/>
              <w:bottom w:val="single" w:color="000000" w:sz="6" w:space="0"/>
              <w:right w:val="single" w:color="000000" w:sz="6" w:space="0"/>
            </w:tcBorders>
            <w:shd w:val="clear" w:color="auto" w:fill="D3D3D3"/>
            <w:noWrap w:val="0"/>
            <w:tcMar>
              <w:top w:w="22" w:type="dxa"/>
              <w:left w:w="22" w:type="dxa"/>
              <w:bottom w:w="22" w:type="dxa"/>
              <w:right w:w="22" w:type="dxa"/>
            </w:tcMar>
            <w:vAlign w:val="center"/>
          </w:tcPr>
          <w:p w14:paraId="5427609E">
            <w:pPr>
              <w:pStyle w:val="18"/>
              <w:jc w:val="center"/>
              <w:rPr>
                <w:rFonts w:ascii="仿宋_GB2312" w:hAnsi="仿宋_GB2312" w:eastAsia="仿宋_GB2312" w:cs="仿宋_GB2312"/>
                <w:b/>
                <w:bCs/>
                <w:i w:val="0"/>
                <w:iCs w:val="0"/>
                <w:smallCaps w:val="0"/>
                <w:color w:val="000000"/>
                <w:sz w:val="21"/>
                <w:szCs w:val="21"/>
              </w:rPr>
            </w:pPr>
            <w:r>
              <w:rPr>
                <w:rFonts w:ascii="仿宋_GB2312" w:hAnsi="仿宋_GB2312" w:eastAsia="仿宋_GB2312" w:cs="仿宋_GB2312"/>
                <w:b/>
                <w:bCs/>
                <w:i w:val="0"/>
                <w:iCs w:val="0"/>
                <w:smallCaps w:val="0"/>
                <w:color w:val="000000"/>
                <w:sz w:val="21"/>
                <w:szCs w:val="21"/>
              </w:rPr>
              <w:t>序号</w:t>
            </w:r>
          </w:p>
        </w:tc>
        <w:tc>
          <w:tcPr>
            <w:tcW w:w="2250" w:type="pct"/>
            <w:tcBorders>
              <w:top w:val="single" w:color="000000" w:sz="6" w:space="0"/>
              <w:left w:val="single" w:color="000000" w:sz="6" w:space="0"/>
              <w:bottom w:val="single" w:color="000000" w:sz="6" w:space="0"/>
              <w:right w:val="single" w:color="000000" w:sz="6" w:space="0"/>
            </w:tcBorders>
            <w:shd w:val="clear" w:color="auto" w:fill="D3D3D3"/>
            <w:noWrap w:val="0"/>
            <w:tcMar>
              <w:top w:w="22" w:type="dxa"/>
              <w:left w:w="22" w:type="dxa"/>
              <w:bottom w:w="22" w:type="dxa"/>
              <w:right w:w="22" w:type="dxa"/>
            </w:tcMar>
            <w:vAlign w:val="center"/>
          </w:tcPr>
          <w:p w14:paraId="4983113C">
            <w:pPr>
              <w:pStyle w:val="18"/>
              <w:jc w:val="center"/>
              <w:rPr>
                <w:rFonts w:ascii="仿宋_GB2312" w:hAnsi="仿宋_GB2312" w:eastAsia="仿宋_GB2312" w:cs="仿宋_GB2312"/>
                <w:b/>
                <w:bCs/>
                <w:i w:val="0"/>
                <w:iCs w:val="0"/>
                <w:smallCaps w:val="0"/>
                <w:color w:val="000000"/>
                <w:sz w:val="21"/>
                <w:szCs w:val="21"/>
              </w:rPr>
            </w:pPr>
            <w:r>
              <w:rPr>
                <w:rFonts w:ascii="仿宋_GB2312" w:hAnsi="仿宋_GB2312" w:eastAsia="仿宋_GB2312" w:cs="仿宋_GB2312"/>
                <w:b/>
                <w:bCs/>
                <w:i w:val="0"/>
                <w:iCs w:val="0"/>
                <w:smallCaps w:val="0"/>
                <w:color w:val="000000"/>
                <w:sz w:val="21"/>
                <w:szCs w:val="21"/>
              </w:rPr>
              <w:t>证书名称</w:t>
            </w:r>
          </w:p>
        </w:tc>
        <w:tc>
          <w:tcPr>
            <w:tcW w:w="2250" w:type="pct"/>
            <w:tcBorders>
              <w:top w:val="single" w:color="000000" w:sz="6" w:space="0"/>
              <w:left w:val="single" w:color="000000" w:sz="6" w:space="0"/>
              <w:bottom w:val="single" w:color="000000" w:sz="6" w:space="0"/>
              <w:right w:val="single" w:color="000000" w:sz="6" w:space="0"/>
            </w:tcBorders>
            <w:shd w:val="clear" w:color="auto" w:fill="D3D3D3"/>
            <w:noWrap w:val="0"/>
            <w:tcMar>
              <w:top w:w="22" w:type="dxa"/>
              <w:left w:w="22" w:type="dxa"/>
              <w:bottom w:w="22" w:type="dxa"/>
              <w:right w:w="22" w:type="dxa"/>
            </w:tcMar>
            <w:vAlign w:val="center"/>
          </w:tcPr>
          <w:p w14:paraId="7426281B">
            <w:pPr>
              <w:pStyle w:val="18"/>
              <w:jc w:val="center"/>
              <w:rPr>
                <w:rFonts w:ascii="仿宋_GB2312" w:hAnsi="仿宋_GB2312" w:eastAsia="仿宋_GB2312" w:cs="仿宋_GB2312"/>
                <w:b/>
                <w:bCs/>
                <w:i w:val="0"/>
                <w:iCs w:val="0"/>
                <w:smallCaps w:val="0"/>
                <w:color w:val="000000"/>
                <w:sz w:val="21"/>
                <w:szCs w:val="21"/>
              </w:rPr>
            </w:pPr>
            <w:r>
              <w:rPr>
                <w:rFonts w:ascii="仿宋_GB2312" w:hAnsi="仿宋_GB2312" w:eastAsia="仿宋_GB2312" w:cs="仿宋_GB2312"/>
                <w:b/>
                <w:bCs/>
                <w:i w:val="0"/>
                <w:iCs w:val="0"/>
                <w:smallCaps w:val="0"/>
                <w:color w:val="000000"/>
                <w:sz w:val="21"/>
                <w:szCs w:val="21"/>
              </w:rPr>
              <w:t>备注</w:t>
            </w:r>
          </w:p>
        </w:tc>
      </w:tr>
      <w:tr w14:paraId="3731FB80">
        <w:tblPrEx>
          <w:tblCellMar>
            <w:top w:w="15" w:type="dxa"/>
            <w:left w:w="15" w:type="dxa"/>
            <w:bottom w:w="15" w:type="dxa"/>
            <w:right w:w="15" w:type="dxa"/>
          </w:tblCellMar>
        </w:tblPrEx>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37092D81">
            <w:pPr>
              <w:pStyle w:val="18"/>
              <w:jc w:val="center"/>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1</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0A38B5D0">
            <w:pPr>
              <w:pStyle w:val="18"/>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供应商具有有效期内的质量管理体系认证证书(GB/T19001或ISO9001)</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333ABD80">
            <w:pPr>
              <w:pStyle w:val="18"/>
              <w:jc w:val="left"/>
              <w:rPr>
                <w:rFonts w:ascii="仿宋_GB2312" w:hAnsi="仿宋_GB2312" w:eastAsia="仿宋_GB2312" w:cs="仿宋_GB2312"/>
                <w:b w:val="0"/>
                <w:bCs w:val="0"/>
                <w:i w:val="0"/>
                <w:iCs w:val="0"/>
                <w:smallCaps w:val="0"/>
                <w:color w:val="000000"/>
                <w:sz w:val="21"/>
                <w:szCs w:val="21"/>
              </w:rPr>
            </w:pPr>
          </w:p>
        </w:tc>
      </w:tr>
      <w:tr w14:paraId="5FD0375C">
        <w:tblPrEx>
          <w:tblCellMar>
            <w:top w:w="15" w:type="dxa"/>
            <w:left w:w="15" w:type="dxa"/>
            <w:bottom w:w="15" w:type="dxa"/>
            <w:right w:w="15" w:type="dxa"/>
          </w:tblCellMar>
        </w:tblPrEx>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466C3174">
            <w:pPr>
              <w:pStyle w:val="18"/>
              <w:jc w:val="center"/>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2</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4A7719D6">
            <w:pPr>
              <w:pStyle w:val="18"/>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信息技术服务管理体系认证证书（ISO20000）</w:t>
            </w:r>
          </w:p>
        </w:tc>
        <w:tc>
          <w:tcPr>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7480C37A">
            <w:pPr>
              <w:pStyle w:val="18"/>
              <w:jc w:val="left"/>
              <w:rPr>
                <w:rFonts w:ascii="仿宋_GB2312" w:hAnsi="仿宋_GB2312" w:eastAsia="仿宋_GB2312" w:cs="仿宋_GB2312"/>
                <w:b w:val="0"/>
                <w:bCs w:val="0"/>
                <w:i w:val="0"/>
                <w:iCs w:val="0"/>
                <w:smallCaps w:val="0"/>
                <w:color w:val="000000"/>
                <w:sz w:val="21"/>
                <w:szCs w:val="21"/>
              </w:rPr>
            </w:pPr>
          </w:p>
        </w:tc>
      </w:tr>
    </w:tbl>
    <w:p w14:paraId="1DA9B4DB">
      <w:pPr>
        <w:pStyle w:val="94"/>
        <w:keepNext w:val="0"/>
        <w:spacing w:before="0" w:after="0" w:line="360" w:lineRule="auto"/>
        <w:rPr>
          <w:rFonts w:ascii="仿宋_GB2312" w:hAnsi="仿宋_GB2312" w:eastAsia="仿宋_GB2312" w:cs="仿宋_GB2312"/>
          <w:b/>
          <w:bCs/>
          <w:sz w:val="28"/>
          <w:szCs w:val="28"/>
        </w:rPr>
      </w:pPr>
      <w:r>
        <w:rPr>
          <w:rFonts w:ascii="仿宋_GB2312" w:hAnsi="仿宋_GB2312" w:eastAsia="仿宋_GB2312" w:cs="仿宋_GB2312"/>
        </w:rPr>
        <w:t>2.1.2.2成功案例</w:t>
      </w:r>
    </w:p>
    <w:p w14:paraId="35EA47BE">
      <w:pPr>
        <w:pStyle w:val="93"/>
        <w:spacing w:before="0" w:after="0" w:line="360" w:lineRule="auto"/>
        <w:ind w:firstLine="480"/>
        <w:jc w:val="both"/>
        <w:rPr>
          <w:rFonts w:ascii="Times New Roman" w:hAnsi="Times New Roman" w:eastAsia="Times New Roman" w:cs="Times New Roman"/>
        </w:rPr>
      </w:pPr>
      <w:r>
        <w:rPr>
          <w:rFonts w:ascii="FangSong_GB2312" w:hAnsi="FangSong_GB2312" w:eastAsia="FangSong_GB2312" w:cs="FangSong_GB2312"/>
          <w:sz w:val="28"/>
          <w:szCs w:val="28"/>
        </w:rPr>
        <w:t>投标人如有相关成功案例、证书，可按第三章《评标方法及标准》的要求提供相关证明材料。</w:t>
      </w:r>
    </w:p>
    <w:p w14:paraId="34B09653">
      <w:pPr>
        <w:pStyle w:val="92"/>
        <w:keepNext w:val="0"/>
        <w:spacing w:before="0" w:after="0" w:line="360" w:lineRule="auto"/>
        <w:rPr>
          <w:rFonts w:ascii="仿宋_GB2312" w:hAnsi="仿宋_GB2312" w:eastAsia="仿宋_GB2312" w:cs="仿宋_GB2312"/>
          <w:b/>
          <w:bCs/>
          <w:sz w:val="28"/>
          <w:szCs w:val="28"/>
        </w:rPr>
      </w:pPr>
      <w:bookmarkStart w:id="14" w:name="_Toc256000013"/>
      <w:r>
        <w:rPr>
          <w:rFonts w:ascii="仿宋_GB2312" w:hAnsi="仿宋_GB2312" w:eastAsia="仿宋_GB2312" w:cs="仿宋_GB2312"/>
          <w:sz w:val="28"/>
          <w:szCs w:val="28"/>
        </w:rPr>
        <w:t>2.1.3是否允许联合体</w:t>
      </w:r>
      <w:bookmarkEnd w:id="14"/>
    </w:p>
    <w:p w14:paraId="16CB7569">
      <w:pPr>
        <w:pStyle w:val="18"/>
        <w:spacing w:before="0" w:after="0" w:line="360" w:lineRule="auto"/>
        <w:ind w:firstLine="561"/>
        <w:rPr>
          <w:rFonts w:ascii="仿宋_GB2312" w:hAnsi="仿宋_GB2312" w:eastAsia="仿宋_GB2312" w:cs="仿宋_GB2312"/>
          <w:sz w:val="28"/>
          <w:szCs w:val="28"/>
        </w:rPr>
      </w:pPr>
      <w:r>
        <w:rPr>
          <w:rFonts w:ascii="仿宋_GB2312" w:hAnsi="仿宋_GB2312" w:eastAsia="仿宋_GB2312" w:cs="仿宋_GB2312"/>
          <w:sz w:val="28"/>
          <w:szCs w:val="28"/>
        </w:rPr>
        <w:t>否</w:t>
      </w:r>
    </w:p>
    <w:p w14:paraId="0AC7E0E6">
      <w:pPr>
        <w:pStyle w:val="92"/>
        <w:keepNext w:val="0"/>
        <w:spacing w:before="0" w:after="0" w:line="360" w:lineRule="auto"/>
        <w:rPr>
          <w:rFonts w:ascii="仿宋_GB2312" w:hAnsi="仿宋_GB2312" w:eastAsia="仿宋_GB2312" w:cs="仿宋_GB2312"/>
          <w:b/>
          <w:bCs/>
          <w:sz w:val="28"/>
          <w:szCs w:val="28"/>
        </w:rPr>
      </w:pPr>
      <w:bookmarkStart w:id="15" w:name="_Toc256000014"/>
      <w:r>
        <w:rPr>
          <w:rFonts w:ascii="仿宋_GB2312" w:hAnsi="仿宋_GB2312" w:eastAsia="仿宋_GB2312" w:cs="仿宋_GB2312"/>
          <w:sz w:val="28"/>
          <w:szCs w:val="28"/>
        </w:rPr>
        <w:t>2.1.4是否专门面向中小企业</w:t>
      </w:r>
      <w:bookmarkEnd w:id="15"/>
    </w:p>
    <w:p w14:paraId="1833540A">
      <w:pPr>
        <w:pStyle w:val="18"/>
        <w:spacing w:before="0" w:after="0" w:line="360" w:lineRule="auto"/>
        <w:ind w:firstLine="561"/>
        <w:rPr>
          <w:rFonts w:ascii="仿宋_GB2312" w:hAnsi="仿宋_GB2312" w:eastAsia="仿宋_GB2312" w:cs="仿宋_GB2312"/>
          <w:sz w:val="28"/>
          <w:szCs w:val="28"/>
        </w:rPr>
      </w:pPr>
      <w:r>
        <w:rPr>
          <w:rFonts w:ascii="仿宋_GB2312" w:hAnsi="仿宋_GB2312" w:eastAsia="仿宋_GB2312" w:cs="仿宋_GB2312"/>
          <w:sz w:val="28"/>
          <w:szCs w:val="28"/>
        </w:rPr>
        <w:t>本项目不专门面向中小企业采购项目</w:t>
      </w:r>
    </w:p>
    <w:p w14:paraId="541A9B12">
      <w:pPr>
        <w:pStyle w:val="92"/>
        <w:keepNext w:val="0"/>
        <w:spacing w:before="0" w:after="0" w:line="360" w:lineRule="auto"/>
        <w:rPr>
          <w:rFonts w:ascii="仿宋_GB2312" w:hAnsi="仿宋_GB2312" w:eastAsia="仿宋_GB2312" w:cs="仿宋_GB2312"/>
          <w:b/>
          <w:bCs/>
          <w:sz w:val="28"/>
          <w:szCs w:val="28"/>
        </w:rPr>
      </w:pPr>
      <w:bookmarkStart w:id="16" w:name="_Toc256000015"/>
      <w:r>
        <w:rPr>
          <w:rFonts w:ascii="仿宋_GB2312" w:hAnsi="仿宋_GB2312" w:eastAsia="仿宋_GB2312" w:cs="仿宋_GB2312"/>
          <w:sz w:val="28"/>
          <w:szCs w:val="28"/>
        </w:rPr>
        <w:t>2.1.5其他要求</w:t>
      </w:r>
      <w:bookmarkEnd w:id="16"/>
    </w:p>
    <w:p w14:paraId="25201A54">
      <w:pPr>
        <w:pStyle w:val="93"/>
        <w:spacing w:before="0" w:after="0" w:line="360" w:lineRule="auto"/>
        <w:ind w:firstLine="480"/>
        <w:jc w:val="both"/>
        <w:rPr>
          <w:rFonts w:ascii="Times New Roman" w:hAnsi="Times New Roman" w:eastAsia="Times New Roman" w:cs="Times New Roman"/>
        </w:rPr>
      </w:pPr>
      <w:r>
        <w:rPr>
          <w:rFonts w:ascii="FangSong_GB2312" w:hAnsi="FangSong_GB2312" w:eastAsia="FangSong_GB2312" w:cs="FangSong_GB2312"/>
          <w:sz w:val="28"/>
          <w:szCs w:val="28"/>
        </w:rPr>
        <w:t>（一）投标人可以根据项目要求，在投标文件中提供包括但不限于：项目需求理解、实施方案、验收方案等。</w:t>
      </w:r>
    </w:p>
    <w:p w14:paraId="59CDB605">
      <w:pPr>
        <w:pStyle w:val="93"/>
        <w:spacing w:before="0" w:after="0" w:line="360" w:lineRule="auto"/>
        <w:ind w:firstLine="480"/>
        <w:jc w:val="both"/>
        <w:rPr>
          <w:rFonts w:ascii="Times New Roman" w:hAnsi="Times New Roman" w:eastAsia="Times New Roman" w:cs="Times New Roman"/>
        </w:rPr>
      </w:pPr>
      <w:r>
        <w:rPr>
          <w:rFonts w:ascii="FangSong_GB2312" w:hAnsi="FangSong_GB2312" w:eastAsia="FangSong_GB2312" w:cs="FangSong_GB2312"/>
          <w:sz w:val="28"/>
          <w:szCs w:val="28"/>
        </w:rPr>
        <w:t>（1）项目需求理解：投标人对招标文件中项目需求部分进行逐一响应，须充分理解项目招标内容，对工作内容、工作流程、项目实施的重点及难点，对应措施等方面进行详细、深入阐述和分析。</w:t>
      </w:r>
    </w:p>
    <w:p w14:paraId="1C4661A6">
      <w:pPr>
        <w:pStyle w:val="93"/>
        <w:spacing w:before="0" w:after="0" w:line="360" w:lineRule="auto"/>
        <w:ind w:firstLine="480"/>
        <w:jc w:val="both"/>
        <w:rPr>
          <w:rFonts w:ascii="Times New Roman" w:hAnsi="Times New Roman" w:eastAsia="Times New Roman" w:cs="Times New Roman"/>
        </w:rPr>
      </w:pPr>
      <w:r>
        <w:rPr>
          <w:rFonts w:ascii="FangSong_GB2312" w:hAnsi="FangSong_GB2312" w:eastAsia="FangSong_GB2312" w:cs="FangSong_GB2312"/>
          <w:sz w:val="28"/>
          <w:szCs w:val="28"/>
        </w:rPr>
        <w:t>（2）实施方案：投标人对本项目需求制订的实施进度计划、项目管理组织管控、项目实施过程等实施方案完整、详细、具有可操作性。</w:t>
      </w:r>
    </w:p>
    <w:p w14:paraId="57A48BB6">
      <w:pPr>
        <w:pStyle w:val="93"/>
        <w:spacing w:before="0" w:after="0" w:line="360" w:lineRule="auto"/>
        <w:ind w:firstLine="480"/>
        <w:jc w:val="both"/>
        <w:rPr>
          <w:rFonts w:ascii="Times New Roman" w:hAnsi="Times New Roman" w:eastAsia="Times New Roman" w:cs="Times New Roman"/>
        </w:rPr>
      </w:pPr>
      <w:r>
        <w:rPr>
          <w:rFonts w:ascii="FangSong_GB2312" w:hAnsi="FangSong_GB2312" w:eastAsia="FangSong_GB2312" w:cs="FangSong_GB2312"/>
          <w:sz w:val="28"/>
          <w:szCs w:val="28"/>
        </w:rPr>
        <w:t>（3）验收方案：投标人对本项目验收要求制订的验收内容、验收方式、验收流程及标准、验收交付物、验收中出现问题的解决办法和补救措施等验收方案内容完整、详细、具有可操作性。</w:t>
      </w:r>
    </w:p>
    <w:p w14:paraId="700A7603">
      <w:pPr>
        <w:pStyle w:val="93"/>
        <w:spacing w:before="0" w:after="0" w:line="360" w:lineRule="auto"/>
        <w:ind w:firstLine="480"/>
        <w:jc w:val="both"/>
        <w:rPr>
          <w:rFonts w:ascii="Times New Roman" w:hAnsi="Times New Roman" w:eastAsia="Times New Roman" w:cs="Times New Roman"/>
        </w:rPr>
      </w:pPr>
      <w:r>
        <w:rPr>
          <w:rFonts w:ascii="FangSong_GB2312" w:hAnsi="FangSong_GB2312" w:eastAsia="FangSong_GB2312" w:cs="FangSong_GB2312"/>
          <w:sz w:val="28"/>
          <w:szCs w:val="28"/>
        </w:rPr>
        <w:t>（二）投标人相关成功案例、证书：</w:t>
      </w:r>
    </w:p>
    <w:p w14:paraId="1075656F">
      <w:pPr>
        <w:pStyle w:val="93"/>
        <w:spacing w:before="0" w:after="0" w:line="360" w:lineRule="auto"/>
        <w:ind w:firstLine="480"/>
        <w:jc w:val="both"/>
        <w:rPr>
          <w:rFonts w:ascii="Times New Roman" w:hAnsi="Times New Roman" w:eastAsia="Times New Roman" w:cs="Times New Roman"/>
        </w:rPr>
      </w:pPr>
      <w:r>
        <w:rPr>
          <w:rFonts w:ascii="FangSong_GB2312" w:hAnsi="FangSong_GB2312" w:eastAsia="FangSong_GB2312" w:cs="FangSong_GB2312"/>
          <w:sz w:val="28"/>
          <w:szCs w:val="28"/>
        </w:rPr>
        <w:t>投标人如有相关成功案例、证书，可按第三章《评标方法及标准》的要求提供相关证明材料。</w:t>
      </w:r>
    </w:p>
    <w:p w14:paraId="6DF393FB">
      <w:pPr>
        <w:pStyle w:val="91"/>
        <w:keepNext w:val="0"/>
        <w:spacing w:before="0" w:after="0" w:line="360" w:lineRule="auto"/>
        <w:rPr>
          <w:rFonts w:ascii="仿宋_GB2312" w:hAnsi="仿宋_GB2312" w:eastAsia="仿宋_GB2312" w:cs="仿宋_GB2312"/>
          <w:b/>
          <w:bCs/>
          <w:sz w:val="28"/>
          <w:szCs w:val="28"/>
        </w:rPr>
      </w:pPr>
      <w:bookmarkStart w:id="17" w:name="_Toc256000016"/>
      <w:r>
        <w:rPr>
          <w:rFonts w:ascii="仿宋_GB2312" w:hAnsi="仿宋_GB2312" w:eastAsia="仿宋_GB2312" w:cs="仿宋_GB2312"/>
          <w:i w:val="0"/>
          <w:iCs w:val="0"/>
        </w:rPr>
        <w:t>2.2技术部分投标/响应内容</w:t>
      </w:r>
      <w:bookmarkEnd w:id="17"/>
    </w:p>
    <w:p w14:paraId="59AE25BE">
      <w:pPr>
        <w:pStyle w:val="92"/>
        <w:keepNext w:val="0"/>
        <w:spacing w:before="0" w:after="0" w:line="360" w:lineRule="auto"/>
        <w:rPr>
          <w:rFonts w:ascii="仿宋_GB2312" w:hAnsi="仿宋_GB2312" w:eastAsia="仿宋_GB2312" w:cs="仿宋_GB2312"/>
          <w:b/>
          <w:bCs/>
          <w:sz w:val="28"/>
          <w:szCs w:val="28"/>
        </w:rPr>
      </w:pPr>
      <w:bookmarkStart w:id="18" w:name="_Toc256000017"/>
      <w:r>
        <w:rPr>
          <w:rFonts w:ascii="仿宋_GB2312" w:hAnsi="仿宋_GB2312" w:eastAsia="仿宋_GB2312" w:cs="仿宋_GB2312"/>
          <w:sz w:val="28"/>
          <w:szCs w:val="28"/>
        </w:rPr>
        <w:t>2.2.1技术投标/响应总要求</w:t>
      </w:r>
      <w:bookmarkEnd w:id="18"/>
    </w:p>
    <w:p w14:paraId="475313A4">
      <w:pPr>
        <w:pStyle w:val="93"/>
        <w:spacing w:before="0" w:after="0" w:line="360" w:lineRule="auto"/>
        <w:ind w:firstLine="480"/>
        <w:jc w:val="both"/>
        <w:rPr>
          <w:rFonts w:ascii="Times New Roman" w:hAnsi="Times New Roman" w:eastAsia="Times New Roman" w:cs="Times New Roman"/>
        </w:rPr>
      </w:pPr>
      <w:r>
        <w:rPr>
          <w:rFonts w:ascii="FangSong_GB2312" w:hAnsi="FangSong_GB2312" w:eastAsia="FangSong_GB2312" w:cs="FangSong_GB2312"/>
          <w:sz w:val="28"/>
          <w:szCs w:val="28"/>
        </w:rPr>
        <w:t>为确保短信平台运行稳定，实现统一有效的管理，本项目技术需求包括但不限于以下内容：</w:t>
      </w:r>
    </w:p>
    <w:p w14:paraId="44159649">
      <w:pPr>
        <w:pStyle w:val="93"/>
        <w:spacing w:before="0" w:after="0" w:line="360" w:lineRule="auto"/>
        <w:ind w:firstLine="480"/>
        <w:jc w:val="both"/>
        <w:rPr>
          <w:rFonts w:ascii="Times New Roman" w:hAnsi="Times New Roman" w:eastAsia="Times New Roman" w:cs="Times New Roman"/>
        </w:rPr>
      </w:pPr>
      <w:r>
        <w:rPr>
          <w:rFonts w:ascii="FangSong_GB2312" w:hAnsi="FangSong_GB2312" w:eastAsia="FangSong_GB2312" w:cs="FangSong_GB2312"/>
          <w:sz w:val="28"/>
          <w:szCs w:val="28"/>
        </w:rPr>
        <w:t>（一）短信发送技术需求</w:t>
      </w:r>
    </w:p>
    <w:p w14:paraId="33CCE60C">
      <w:pPr>
        <w:pStyle w:val="93"/>
        <w:spacing w:before="0" w:after="0" w:line="360" w:lineRule="auto"/>
        <w:ind w:firstLine="480"/>
        <w:jc w:val="both"/>
        <w:rPr>
          <w:rFonts w:ascii="Times New Roman" w:hAnsi="Times New Roman" w:eastAsia="Times New Roman" w:cs="Times New Roman"/>
        </w:rPr>
      </w:pPr>
      <w:r>
        <w:rPr>
          <w:rFonts w:ascii="FangSong_GB2312" w:hAnsi="FangSong_GB2312" w:eastAsia="FangSong_GB2312" w:cs="FangSong_GB2312"/>
          <w:sz w:val="28"/>
          <w:szCs w:val="28"/>
        </w:rPr>
        <w:t>1.短信通道性能方面</w:t>
      </w:r>
    </w:p>
    <w:p w14:paraId="17D12D16">
      <w:pPr>
        <w:pStyle w:val="93"/>
        <w:spacing w:before="0" w:after="0" w:line="360" w:lineRule="auto"/>
        <w:ind w:firstLine="480"/>
        <w:jc w:val="both"/>
        <w:rPr>
          <w:rFonts w:ascii="Times New Roman" w:hAnsi="Times New Roman" w:eastAsia="Times New Roman" w:cs="Times New Roman"/>
        </w:rPr>
      </w:pPr>
      <w:r>
        <w:rPr>
          <w:rFonts w:ascii="FangSong_GB2312" w:hAnsi="FangSong_GB2312" w:eastAsia="FangSong_GB2312" w:cs="FangSong_GB2312"/>
          <w:sz w:val="28"/>
          <w:szCs w:val="28"/>
        </w:rPr>
        <w:t>（1）对接标准及状态报告的格式均需符合支持三大运营商标准协议接口，能够实现三大运营商及其携号转网号码的发送，具备短信信息上下行送达能力。设置采购人的客户优先级为A级，优先保障采购人的短信发送。</w:t>
      </w:r>
    </w:p>
    <w:p w14:paraId="7BD7CD76">
      <w:pPr>
        <w:pStyle w:val="93"/>
        <w:spacing w:before="0" w:after="0" w:line="360" w:lineRule="auto"/>
        <w:ind w:firstLine="480"/>
        <w:jc w:val="both"/>
        <w:rPr>
          <w:rFonts w:ascii="Times New Roman" w:hAnsi="Times New Roman" w:eastAsia="Times New Roman" w:cs="Times New Roman"/>
        </w:rPr>
      </w:pPr>
      <w:r>
        <w:rPr>
          <w:rFonts w:ascii="FangSong_GB2312" w:hAnsi="FangSong_GB2312" w:eastAsia="FangSong_GB2312" w:cs="FangSong_GB2312"/>
          <w:sz w:val="28"/>
          <w:szCs w:val="28"/>
        </w:rPr>
        <w:t>（2）中标人提供电信、移动、联通的短信通道服务时应具备关停时的应急备用通道应急措施，短信备用通道大于或等于3个。</w:t>
      </w:r>
    </w:p>
    <w:p w14:paraId="5D3D124B">
      <w:pPr>
        <w:pStyle w:val="93"/>
        <w:spacing w:before="0" w:after="0" w:line="360" w:lineRule="auto"/>
        <w:ind w:firstLine="480"/>
        <w:jc w:val="both"/>
        <w:rPr>
          <w:rFonts w:ascii="Times New Roman" w:hAnsi="Times New Roman" w:eastAsia="Times New Roman" w:cs="Times New Roman"/>
        </w:rPr>
      </w:pPr>
      <w:r>
        <w:rPr>
          <w:rFonts w:ascii="FangSong_GB2312" w:hAnsi="FangSong_GB2312" w:eastAsia="FangSong_GB2312" w:cs="FangSong_GB2312"/>
          <w:sz w:val="28"/>
          <w:szCs w:val="28"/>
        </w:rPr>
        <w:t>（3）短信通道发送速率不低于500条/秒，并承诺随着业务的发展，按实际流量的需要对通道的短信发送速率进行扩充，以满足实际业务需求。</w:t>
      </w:r>
    </w:p>
    <w:p w14:paraId="329B184F">
      <w:pPr>
        <w:pStyle w:val="93"/>
        <w:spacing w:before="0" w:after="0" w:line="360" w:lineRule="auto"/>
        <w:ind w:firstLine="480"/>
        <w:jc w:val="both"/>
        <w:rPr>
          <w:rFonts w:ascii="Times New Roman" w:hAnsi="Times New Roman" w:eastAsia="Times New Roman" w:cs="Times New Roman"/>
        </w:rPr>
      </w:pPr>
      <w:r>
        <w:rPr>
          <w:rFonts w:ascii="FangSong_GB2312" w:hAnsi="FangSong_GB2312" w:eastAsia="FangSong_GB2312" w:cs="FangSong_GB2312"/>
          <w:sz w:val="28"/>
          <w:szCs w:val="28"/>
        </w:rPr>
        <w:t>（4）各类短信发送应在以下规定时长内到达纳税人、缴费人手机终端，如未在规定时长内到达纳税人、缴费人手机终端的，视同短信发送失败，中标人应建立完善的短信发送成功保障机制以满足该要求。各类短信发送时长具体规定如下：</w:t>
      </w:r>
    </w:p>
    <w:p w14:paraId="1401A68A">
      <w:pPr>
        <w:pStyle w:val="93"/>
        <w:spacing w:before="0" w:after="0" w:line="360" w:lineRule="auto"/>
        <w:ind w:firstLine="480"/>
        <w:jc w:val="both"/>
        <w:rPr>
          <w:rFonts w:ascii="Times New Roman" w:hAnsi="Times New Roman" w:eastAsia="Times New Roman" w:cs="Times New Roman"/>
        </w:rPr>
      </w:pPr>
      <w:r>
        <w:rPr>
          <w:rFonts w:ascii="FangSong_GB2312" w:hAnsi="FangSong_GB2312" w:eastAsia="FangSong_GB2312" w:cs="FangSong_GB2312"/>
          <w:sz w:val="28"/>
          <w:szCs w:val="28"/>
        </w:rPr>
        <w:t>①群发类短信（除服务验证码短信以外）发送成功到达纳税人、缴费人手机终端时长应小于10秒/千条。</w:t>
      </w:r>
    </w:p>
    <w:p w14:paraId="140CC20F">
      <w:pPr>
        <w:pStyle w:val="93"/>
        <w:spacing w:before="0" w:after="0" w:line="360" w:lineRule="auto"/>
        <w:ind w:firstLine="480"/>
        <w:jc w:val="both"/>
        <w:rPr>
          <w:rFonts w:ascii="Times New Roman" w:hAnsi="Times New Roman" w:eastAsia="Times New Roman" w:cs="Times New Roman"/>
        </w:rPr>
      </w:pPr>
      <w:r>
        <w:rPr>
          <w:rFonts w:ascii="FangSong_GB2312" w:hAnsi="FangSong_GB2312" w:eastAsia="FangSong_GB2312" w:cs="FangSong_GB2312"/>
          <w:sz w:val="28"/>
          <w:szCs w:val="28"/>
        </w:rPr>
        <w:t>②涉税互联网平台服务验证码到达纳税人、缴费人手机终端时间需满足：10秒以内成功到达的至少占发送成功量 90%，15秒以内成功到达的至少占发送成功量95%，20秒以内成功到达的为100%。如当月该三个比例有下降，则按照一定比率扣减当月短信服务费用（各比例每降低1%，扣减当月短信服务费用总结算金额的1%）。</w:t>
      </w:r>
    </w:p>
    <w:p w14:paraId="1626D17B">
      <w:pPr>
        <w:pStyle w:val="93"/>
        <w:spacing w:before="0" w:after="0" w:line="360" w:lineRule="auto"/>
        <w:ind w:firstLine="480"/>
        <w:jc w:val="both"/>
        <w:rPr>
          <w:rFonts w:ascii="Times New Roman" w:hAnsi="Times New Roman" w:eastAsia="Times New Roman" w:cs="Times New Roman"/>
        </w:rPr>
      </w:pPr>
      <w:r>
        <w:rPr>
          <w:rFonts w:ascii="FangSong_GB2312" w:hAnsi="FangSong_GB2312" w:eastAsia="FangSong_GB2312" w:cs="FangSong_GB2312"/>
          <w:sz w:val="28"/>
          <w:szCs w:val="28"/>
        </w:rPr>
        <w:t>（5）短信发送失败率剔除无效号码和排除手机终端问题（关机、欠费、无信号等）后不高于万分之一。当月如该比率提高，则按照一定比率扣减当月短信服务费用（失败率每提高10%，扣减当月短信服务费用总结算金额的1%）。</w:t>
      </w:r>
    </w:p>
    <w:p w14:paraId="0DFE71F5">
      <w:pPr>
        <w:pStyle w:val="93"/>
        <w:spacing w:before="0" w:after="0" w:line="360" w:lineRule="auto"/>
        <w:ind w:firstLine="480"/>
        <w:jc w:val="both"/>
        <w:rPr>
          <w:rFonts w:ascii="Times New Roman" w:hAnsi="Times New Roman" w:eastAsia="Times New Roman" w:cs="Times New Roman"/>
        </w:rPr>
      </w:pPr>
      <w:r>
        <w:rPr>
          <w:rFonts w:ascii="FangSong_GB2312" w:hAnsi="FangSong_GB2312" w:eastAsia="FangSong_GB2312" w:cs="FangSong_GB2312"/>
          <w:sz w:val="28"/>
          <w:szCs w:val="28"/>
        </w:rPr>
        <w:t>（6）中标人应对短信发送速率、成功率、时延等情况进行实时监测，并确保短信发送相关数据真实无误，采购人将不定时邀请第三方对中标人的短信发送数据进行核验，中标人需无条件配合。</w:t>
      </w:r>
    </w:p>
    <w:p w14:paraId="06CD27BF">
      <w:pPr>
        <w:pStyle w:val="93"/>
        <w:spacing w:before="0" w:after="0" w:line="360" w:lineRule="auto"/>
        <w:ind w:firstLine="480"/>
        <w:jc w:val="both"/>
        <w:rPr>
          <w:rFonts w:ascii="Times New Roman" w:hAnsi="Times New Roman" w:eastAsia="Times New Roman" w:cs="Times New Roman"/>
        </w:rPr>
      </w:pPr>
      <w:r>
        <w:rPr>
          <w:rFonts w:ascii="FangSong_GB2312" w:hAnsi="FangSong_GB2312" w:eastAsia="FangSong_GB2312" w:cs="FangSong_GB2312"/>
          <w:sz w:val="28"/>
          <w:szCs w:val="28"/>
        </w:rPr>
        <w:t>（7）采购人对同一个号码每天发送短信的次数不受限制；涉税互联网平台服务验证码单人每天获取短信的次数不受限制。</w:t>
      </w:r>
    </w:p>
    <w:p w14:paraId="4633F555">
      <w:pPr>
        <w:pStyle w:val="93"/>
        <w:spacing w:before="0" w:after="0" w:line="360" w:lineRule="auto"/>
        <w:ind w:firstLine="480"/>
        <w:jc w:val="both"/>
        <w:rPr>
          <w:rFonts w:ascii="Times New Roman" w:hAnsi="Times New Roman" w:eastAsia="Times New Roman" w:cs="Times New Roman"/>
        </w:rPr>
      </w:pPr>
      <w:r>
        <w:rPr>
          <w:rFonts w:ascii="FangSong_GB2312" w:hAnsi="FangSong_GB2312" w:eastAsia="FangSong_GB2312" w:cs="FangSong_GB2312"/>
          <w:sz w:val="28"/>
          <w:szCs w:val="28"/>
        </w:rPr>
        <w:t>2.码号方面</w:t>
      </w:r>
    </w:p>
    <w:p w14:paraId="08CFD7CD">
      <w:pPr>
        <w:pStyle w:val="93"/>
        <w:spacing w:before="0" w:after="0" w:line="360" w:lineRule="auto"/>
        <w:ind w:firstLine="480"/>
        <w:jc w:val="both"/>
        <w:rPr>
          <w:rFonts w:ascii="Times New Roman" w:hAnsi="Times New Roman" w:eastAsia="Times New Roman" w:cs="Times New Roman"/>
        </w:rPr>
      </w:pPr>
      <w:r>
        <w:rPr>
          <w:rFonts w:ascii="FangSong_GB2312" w:hAnsi="FangSong_GB2312" w:eastAsia="FangSong_GB2312" w:cs="FangSong_GB2312"/>
          <w:sz w:val="28"/>
          <w:szCs w:val="28"/>
        </w:rPr>
        <w:t>★（1）鉴于全国税务系统短消息类服务接入代码为“12366”，中标人须提供以“12366”结尾的三网统一码号。</w:t>
      </w:r>
    </w:p>
    <w:p w14:paraId="20110E71">
      <w:pPr>
        <w:pStyle w:val="93"/>
        <w:spacing w:before="0" w:after="0" w:line="360" w:lineRule="auto"/>
        <w:ind w:firstLine="480"/>
        <w:jc w:val="both"/>
        <w:rPr>
          <w:rFonts w:ascii="Times New Roman" w:hAnsi="Times New Roman" w:eastAsia="Times New Roman" w:cs="Times New Roman"/>
        </w:rPr>
      </w:pPr>
      <w:r>
        <w:rPr>
          <w:rFonts w:ascii="FangSong_GB2312" w:hAnsi="FangSong_GB2312" w:eastAsia="FangSong_GB2312" w:cs="FangSong_GB2312"/>
          <w:sz w:val="28"/>
          <w:szCs w:val="28"/>
        </w:rPr>
        <w:t>★（2）为确保纳税人、缴费人能够快速识别服务码号，树立良好的服务形象且能够支持全国全网、长短信推送等功能，中标人须提供的码号总位长（含扩展位数）不超过17位，且尽可能短。（投标人投标时需提供对应码号的相应资质或证明材料，包括提供对应端口位长和结尾的证明。）</w:t>
      </w:r>
    </w:p>
    <w:p w14:paraId="3E6EB3EB">
      <w:pPr>
        <w:pStyle w:val="93"/>
        <w:spacing w:before="0" w:after="0" w:line="360" w:lineRule="auto"/>
        <w:ind w:firstLine="480"/>
        <w:jc w:val="both"/>
        <w:rPr>
          <w:rFonts w:ascii="Times New Roman" w:hAnsi="Times New Roman" w:eastAsia="Times New Roman" w:cs="Times New Roman"/>
        </w:rPr>
      </w:pPr>
      <w:r>
        <w:rPr>
          <w:rFonts w:ascii="FangSong_GB2312" w:hAnsi="FangSong_GB2312" w:eastAsia="FangSong_GB2312" w:cs="FangSong_GB2312"/>
          <w:sz w:val="28"/>
          <w:szCs w:val="28"/>
        </w:rPr>
        <w:t>3.短信发送性能方面</w:t>
      </w:r>
    </w:p>
    <w:p w14:paraId="578D666B">
      <w:pPr>
        <w:pStyle w:val="93"/>
        <w:spacing w:before="0" w:after="0" w:line="360" w:lineRule="auto"/>
        <w:ind w:firstLine="480"/>
        <w:jc w:val="both"/>
        <w:rPr>
          <w:rFonts w:ascii="Times New Roman" w:hAnsi="Times New Roman" w:eastAsia="Times New Roman" w:cs="Times New Roman"/>
        </w:rPr>
      </w:pPr>
      <w:r>
        <w:rPr>
          <w:rFonts w:ascii="FangSong_GB2312" w:hAnsi="FangSong_GB2312" w:eastAsia="FangSong_GB2312" w:cs="FangSong_GB2312"/>
          <w:sz w:val="28"/>
          <w:szCs w:val="28"/>
        </w:rPr>
        <w:t>（1）支持长短信发送及定时发送功能。</w:t>
      </w:r>
    </w:p>
    <w:p w14:paraId="360A0C31">
      <w:pPr>
        <w:pStyle w:val="93"/>
        <w:spacing w:before="0" w:after="0" w:line="360" w:lineRule="auto"/>
        <w:ind w:firstLine="480"/>
        <w:jc w:val="both"/>
        <w:rPr>
          <w:rFonts w:ascii="Times New Roman" w:hAnsi="Times New Roman" w:eastAsia="Times New Roman" w:cs="Times New Roman"/>
        </w:rPr>
      </w:pPr>
      <w:r>
        <w:rPr>
          <w:rFonts w:ascii="FangSong_GB2312" w:hAnsi="FangSong_GB2312" w:eastAsia="FangSong_GB2312" w:cs="FangSong_GB2312"/>
          <w:sz w:val="28"/>
          <w:szCs w:val="28"/>
        </w:rPr>
        <w:t>（2）支持在短信内容中添加因工作需要的短链接、固定号码及手机号码等要素，便于纳税人缴费人联系相关部门及查阅宣传辅导内容。</w:t>
      </w:r>
    </w:p>
    <w:p w14:paraId="17A7A8BA">
      <w:pPr>
        <w:pStyle w:val="93"/>
        <w:spacing w:before="0" w:after="0" w:line="360" w:lineRule="auto"/>
        <w:ind w:firstLine="480"/>
        <w:jc w:val="both"/>
        <w:rPr>
          <w:rFonts w:ascii="Times New Roman" w:hAnsi="Times New Roman" w:eastAsia="Times New Roman" w:cs="Times New Roman"/>
        </w:rPr>
      </w:pPr>
      <w:r>
        <w:rPr>
          <w:rFonts w:ascii="FangSong_GB2312" w:hAnsi="FangSong_GB2312" w:eastAsia="FangSong_GB2312" w:cs="FangSong_GB2312"/>
          <w:sz w:val="28"/>
          <w:szCs w:val="28"/>
        </w:rPr>
        <w:t>（3）支持短信发送请求在短时间内集中提交，应对高峰期突发业务流量时，不出现接口卡顿、请求超时或消息堆积问题。</w:t>
      </w:r>
    </w:p>
    <w:p w14:paraId="4AEB5127">
      <w:pPr>
        <w:pStyle w:val="93"/>
        <w:spacing w:before="0" w:after="0" w:line="360" w:lineRule="auto"/>
        <w:ind w:firstLine="480"/>
        <w:jc w:val="both"/>
        <w:rPr>
          <w:rFonts w:ascii="Times New Roman" w:hAnsi="Times New Roman" w:eastAsia="Times New Roman" w:cs="Times New Roman"/>
        </w:rPr>
      </w:pPr>
      <w:r>
        <w:rPr>
          <w:rFonts w:ascii="FangSong_GB2312" w:hAnsi="FangSong_GB2312" w:eastAsia="FangSong_GB2312" w:cs="FangSong_GB2312"/>
          <w:sz w:val="28"/>
          <w:szCs w:val="28"/>
        </w:rPr>
        <w:t>（4）提供信息审核服务，可以根据发送信息的关键字等条件进行审核、提示及过滤。</w:t>
      </w:r>
    </w:p>
    <w:p w14:paraId="7D016579">
      <w:pPr>
        <w:pStyle w:val="93"/>
        <w:spacing w:before="0" w:after="0" w:line="360" w:lineRule="auto"/>
        <w:ind w:firstLine="480"/>
        <w:jc w:val="both"/>
        <w:rPr>
          <w:rFonts w:ascii="Times New Roman" w:hAnsi="Times New Roman" w:eastAsia="Times New Roman" w:cs="Times New Roman"/>
        </w:rPr>
      </w:pPr>
      <w:r>
        <w:rPr>
          <w:rFonts w:ascii="FangSong_GB2312" w:hAnsi="FangSong_GB2312" w:eastAsia="FangSong_GB2312" w:cs="FangSong_GB2312"/>
          <w:sz w:val="28"/>
          <w:szCs w:val="28"/>
        </w:rPr>
        <w:t>（5）中标人应对采购人发送的短信数据（包括发送对象及内容）实施保密管理，防止数据被窃取或数据损坏等，避免数据丢失。</w:t>
      </w:r>
    </w:p>
    <w:p w14:paraId="2844DFDA">
      <w:pPr>
        <w:pStyle w:val="93"/>
        <w:spacing w:before="0" w:after="0" w:line="360" w:lineRule="auto"/>
        <w:ind w:firstLine="480"/>
        <w:jc w:val="both"/>
        <w:rPr>
          <w:rFonts w:ascii="Times New Roman" w:hAnsi="Times New Roman" w:eastAsia="Times New Roman" w:cs="Times New Roman"/>
        </w:rPr>
      </w:pPr>
      <w:r>
        <w:rPr>
          <w:rFonts w:ascii="FangSong_GB2312" w:hAnsi="FangSong_GB2312" w:eastAsia="FangSong_GB2312" w:cs="FangSong_GB2312"/>
          <w:sz w:val="28"/>
          <w:szCs w:val="28"/>
        </w:rPr>
        <w:t>（6）支持发送带变量的短信模板，短信模板中的变量参数，平台自动组转成完整短信下发给目标号码。</w:t>
      </w:r>
    </w:p>
    <w:p w14:paraId="357C782D">
      <w:pPr>
        <w:pStyle w:val="93"/>
        <w:spacing w:before="0" w:after="0" w:line="360" w:lineRule="auto"/>
        <w:ind w:firstLine="480"/>
        <w:jc w:val="both"/>
        <w:rPr>
          <w:rFonts w:ascii="Times New Roman" w:hAnsi="Times New Roman" w:eastAsia="Times New Roman" w:cs="Times New Roman"/>
        </w:rPr>
      </w:pPr>
      <w:r>
        <w:rPr>
          <w:rFonts w:ascii="FangSong_GB2312" w:hAnsi="FangSong_GB2312" w:eastAsia="FangSong_GB2312" w:cs="FangSong_GB2312"/>
          <w:sz w:val="28"/>
          <w:szCs w:val="28"/>
        </w:rPr>
        <w:t>（二）短信平台功能需求</w:t>
      </w:r>
    </w:p>
    <w:p w14:paraId="7D6002AA">
      <w:pPr>
        <w:pStyle w:val="93"/>
        <w:spacing w:before="0" w:after="0" w:line="360" w:lineRule="auto"/>
        <w:ind w:firstLine="480"/>
        <w:jc w:val="both"/>
        <w:rPr>
          <w:rFonts w:ascii="Times New Roman" w:hAnsi="Times New Roman" w:eastAsia="Times New Roman" w:cs="Times New Roman"/>
        </w:rPr>
      </w:pPr>
      <w:r>
        <w:rPr>
          <w:rFonts w:ascii="FangSong_GB2312" w:hAnsi="FangSong_GB2312" w:eastAsia="FangSong_GB2312" w:cs="FangSong_GB2312"/>
          <w:sz w:val="28"/>
          <w:szCs w:val="28"/>
        </w:rPr>
        <w:t>1.平台登录及权限管理功能</w:t>
      </w:r>
    </w:p>
    <w:p w14:paraId="6757D029">
      <w:pPr>
        <w:pStyle w:val="93"/>
        <w:spacing w:before="0" w:after="0" w:line="360" w:lineRule="auto"/>
        <w:ind w:firstLine="480"/>
        <w:jc w:val="both"/>
        <w:rPr>
          <w:rFonts w:ascii="Times New Roman" w:hAnsi="Times New Roman" w:eastAsia="Times New Roman" w:cs="Times New Roman"/>
        </w:rPr>
      </w:pPr>
      <w:r>
        <w:rPr>
          <w:rFonts w:ascii="FangSong_GB2312" w:hAnsi="FangSong_GB2312" w:eastAsia="FangSong_GB2312" w:cs="FangSong_GB2312"/>
          <w:sz w:val="28"/>
          <w:szCs w:val="28"/>
        </w:rPr>
        <w:t>（1）为加强账号安全，防止短信被他人盗刷，各税费应用平台管理员账号登录除设置传统密码外，还应设置手机号码验证等更多安全登录方式，确保管理员登录的安全性和可靠性。</w:t>
      </w:r>
    </w:p>
    <w:p w14:paraId="19419DDC">
      <w:pPr>
        <w:pStyle w:val="93"/>
        <w:spacing w:before="0" w:after="0" w:line="360" w:lineRule="auto"/>
        <w:ind w:firstLine="480"/>
        <w:jc w:val="both"/>
        <w:rPr>
          <w:rFonts w:ascii="Times New Roman" w:hAnsi="Times New Roman" w:eastAsia="Times New Roman" w:cs="Times New Roman"/>
        </w:rPr>
      </w:pPr>
      <w:r>
        <w:rPr>
          <w:rFonts w:ascii="FangSong_GB2312" w:hAnsi="FangSong_GB2312" w:eastAsia="FangSong_GB2312" w:cs="FangSong_GB2312"/>
          <w:sz w:val="28"/>
          <w:szCs w:val="28"/>
        </w:rPr>
        <w:t>（2）支持设置多级短信平台用户，满足各税费应用平台的业务管理和维护功能。</w:t>
      </w:r>
    </w:p>
    <w:p w14:paraId="4E7A41DD">
      <w:pPr>
        <w:pStyle w:val="93"/>
        <w:spacing w:before="0" w:after="0" w:line="360" w:lineRule="auto"/>
        <w:ind w:firstLine="480"/>
        <w:jc w:val="both"/>
        <w:rPr>
          <w:rFonts w:ascii="Times New Roman" w:hAnsi="Times New Roman" w:eastAsia="Times New Roman" w:cs="Times New Roman"/>
        </w:rPr>
      </w:pPr>
      <w:r>
        <w:rPr>
          <w:rFonts w:ascii="FangSong_GB2312" w:hAnsi="FangSong_GB2312" w:eastAsia="FangSong_GB2312" w:cs="FangSong_GB2312"/>
          <w:sz w:val="28"/>
          <w:szCs w:val="28"/>
        </w:rPr>
        <w:t>（3）广西壮族自治区税务局设置一个主账号，可以对各税费应用平台账号进行查询和权限管理，各账号可以实现独立发送、查询、统计等功能。</w:t>
      </w:r>
    </w:p>
    <w:p w14:paraId="7CB49E48">
      <w:pPr>
        <w:pStyle w:val="93"/>
        <w:spacing w:before="0" w:after="0" w:line="360" w:lineRule="auto"/>
        <w:ind w:firstLine="480"/>
        <w:jc w:val="both"/>
        <w:rPr>
          <w:rFonts w:ascii="Times New Roman" w:hAnsi="Times New Roman" w:eastAsia="Times New Roman" w:cs="Times New Roman"/>
        </w:rPr>
      </w:pPr>
      <w:r>
        <w:rPr>
          <w:rFonts w:ascii="FangSong_GB2312" w:hAnsi="FangSong_GB2312" w:eastAsia="FangSong_GB2312" w:cs="FangSong_GB2312"/>
          <w:sz w:val="28"/>
          <w:szCs w:val="28"/>
        </w:rPr>
        <w:t>2.短信发送管理功能</w:t>
      </w:r>
    </w:p>
    <w:p w14:paraId="113A102C">
      <w:pPr>
        <w:pStyle w:val="93"/>
        <w:spacing w:before="0" w:after="0" w:line="360" w:lineRule="auto"/>
        <w:ind w:firstLine="480"/>
        <w:jc w:val="both"/>
        <w:rPr>
          <w:rFonts w:ascii="Times New Roman" w:hAnsi="Times New Roman" w:eastAsia="Times New Roman" w:cs="Times New Roman"/>
        </w:rPr>
      </w:pPr>
      <w:r>
        <w:rPr>
          <w:rFonts w:ascii="FangSong_GB2312" w:hAnsi="FangSong_GB2312" w:eastAsia="FangSong_GB2312" w:cs="FangSong_GB2312"/>
          <w:sz w:val="28"/>
          <w:szCs w:val="28"/>
        </w:rPr>
        <w:t>（1）短信发送号码支持手动输入、TXT及EXCEL等格式导入，实现重号及错号自动去除、短信签名可根据需要设置并显示。</w:t>
      </w:r>
    </w:p>
    <w:p w14:paraId="51AE2CF0">
      <w:pPr>
        <w:pStyle w:val="93"/>
        <w:spacing w:before="0" w:after="0" w:line="360" w:lineRule="auto"/>
        <w:ind w:firstLine="480"/>
        <w:jc w:val="both"/>
        <w:rPr>
          <w:rFonts w:ascii="Times New Roman" w:hAnsi="Times New Roman" w:eastAsia="Times New Roman" w:cs="Times New Roman"/>
        </w:rPr>
      </w:pPr>
      <w:r>
        <w:rPr>
          <w:rFonts w:ascii="FangSong_GB2312" w:hAnsi="FangSong_GB2312" w:eastAsia="FangSong_GB2312" w:cs="FangSong_GB2312"/>
          <w:sz w:val="28"/>
          <w:szCs w:val="28"/>
        </w:rPr>
        <w:t>（2）支持每一条短信发送详情（包括发送时间，到达时间，到达时长，发送状态，失败原因，发送内容，运营商等内容）查询、自定义筛选、汇总、导出EXCEL等功能。</w:t>
      </w:r>
    </w:p>
    <w:p w14:paraId="23845CF7">
      <w:pPr>
        <w:pStyle w:val="93"/>
        <w:spacing w:before="0" w:after="0" w:line="360" w:lineRule="auto"/>
        <w:ind w:firstLine="480"/>
        <w:jc w:val="both"/>
        <w:rPr>
          <w:rFonts w:ascii="Times New Roman" w:hAnsi="Times New Roman" w:eastAsia="Times New Roman" w:cs="Times New Roman"/>
        </w:rPr>
      </w:pPr>
      <w:r>
        <w:rPr>
          <w:rFonts w:ascii="FangSong_GB2312" w:hAnsi="FangSong_GB2312" w:eastAsia="FangSong_GB2312" w:cs="FangSong_GB2312"/>
          <w:sz w:val="28"/>
          <w:szCs w:val="28"/>
        </w:rPr>
        <w:t>（3）支持批量短信发送报告导出（EXCEL格式），包括发送账号，发送对象，发送时间，发送状态，发送内容等信息。</w:t>
      </w:r>
    </w:p>
    <w:p w14:paraId="2618D4CC">
      <w:pPr>
        <w:pStyle w:val="93"/>
        <w:spacing w:before="0" w:after="0" w:line="360" w:lineRule="auto"/>
        <w:ind w:firstLine="480"/>
        <w:jc w:val="both"/>
        <w:rPr>
          <w:rFonts w:ascii="Times New Roman" w:hAnsi="Times New Roman" w:eastAsia="Times New Roman" w:cs="Times New Roman"/>
        </w:rPr>
      </w:pPr>
      <w:r>
        <w:rPr>
          <w:rFonts w:ascii="FangSong_GB2312" w:hAnsi="FangSong_GB2312" w:eastAsia="FangSong_GB2312" w:cs="FangSong_GB2312"/>
          <w:sz w:val="28"/>
          <w:szCs w:val="28"/>
        </w:rPr>
        <w:t>3.短信发送统计功能</w:t>
      </w:r>
    </w:p>
    <w:p w14:paraId="59A0E70D">
      <w:pPr>
        <w:pStyle w:val="93"/>
        <w:spacing w:before="0" w:after="0" w:line="360" w:lineRule="auto"/>
        <w:ind w:firstLine="480"/>
        <w:jc w:val="both"/>
        <w:rPr>
          <w:rFonts w:ascii="Times New Roman" w:hAnsi="Times New Roman" w:eastAsia="Times New Roman" w:cs="Times New Roman"/>
        </w:rPr>
      </w:pPr>
      <w:r>
        <w:rPr>
          <w:rFonts w:ascii="FangSong_GB2312" w:hAnsi="FangSong_GB2312" w:eastAsia="FangSong_GB2312" w:cs="FangSong_GB2312"/>
          <w:sz w:val="28"/>
          <w:szCs w:val="28"/>
        </w:rPr>
        <w:t>（1）支持通过账号、日期时段、短信内容、运营商等条件统计短信发送情况。统计维度包括但不限于：发送总量，发送成功量，发送成功率，发送时间及费用统计等。</w:t>
      </w:r>
    </w:p>
    <w:p w14:paraId="660ADE7F">
      <w:pPr>
        <w:pStyle w:val="93"/>
        <w:spacing w:before="0" w:after="0" w:line="360" w:lineRule="auto"/>
        <w:ind w:firstLine="480"/>
        <w:jc w:val="both"/>
        <w:rPr>
          <w:rFonts w:ascii="Times New Roman" w:hAnsi="Times New Roman" w:eastAsia="Times New Roman" w:cs="Times New Roman"/>
        </w:rPr>
      </w:pPr>
      <w:r>
        <w:rPr>
          <w:rFonts w:ascii="FangSong_GB2312" w:hAnsi="FangSong_GB2312" w:eastAsia="FangSong_GB2312" w:cs="FangSong_GB2312"/>
          <w:sz w:val="28"/>
          <w:szCs w:val="28"/>
        </w:rPr>
        <w:t>（2）主账号可以查询、统计全账号数据。查询、统计菜单框架需按照各业务系统罗列。每级菜单均可显示对应所属业务系统的统计维度。</w:t>
      </w:r>
    </w:p>
    <w:p w14:paraId="493448CD">
      <w:pPr>
        <w:pStyle w:val="93"/>
        <w:spacing w:before="0" w:after="0" w:line="360" w:lineRule="auto"/>
        <w:ind w:firstLine="480"/>
        <w:jc w:val="both"/>
        <w:rPr>
          <w:rFonts w:ascii="Times New Roman" w:hAnsi="Times New Roman" w:eastAsia="Times New Roman" w:cs="Times New Roman"/>
        </w:rPr>
      </w:pPr>
      <w:r>
        <w:rPr>
          <w:rFonts w:ascii="FangSong_GB2312" w:hAnsi="FangSong_GB2312" w:eastAsia="FangSong_GB2312" w:cs="FangSong_GB2312"/>
          <w:sz w:val="28"/>
          <w:szCs w:val="28"/>
        </w:rPr>
        <w:t>（3）中标人应于10分钟内响应采购人短信发送数据统计的需求，并建立短信发送统计数据库，以及时提供采购人所需要的相关数据。</w:t>
      </w:r>
    </w:p>
    <w:p w14:paraId="4344FB60">
      <w:pPr>
        <w:pStyle w:val="93"/>
        <w:spacing w:before="0" w:after="0" w:line="360" w:lineRule="auto"/>
        <w:ind w:firstLine="480"/>
        <w:jc w:val="both"/>
        <w:rPr>
          <w:rFonts w:ascii="Times New Roman" w:hAnsi="Times New Roman" w:eastAsia="Times New Roman" w:cs="Times New Roman"/>
        </w:rPr>
      </w:pPr>
      <w:r>
        <w:rPr>
          <w:rFonts w:ascii="FangSong_GB2312" w:hAnsi="FangSong_GB2312" w:eastAsia="FangSong_GB2312" w:cs="FangSong_GB2312"/>
          <w:sz w:val="28"/>
          <w:szCs w:val="28"/>
        </w:rPr>
        <w:t>4.短信发送实时监控功能</w:t>
      </w:r>
    </w:p>
    <w:p w14:paraId="4ADCC316">
      <w:pPr>
        <w:pStyle w:val="93"/>
        <w:spacing w:before="0" w:after="0" w:line="360" w:lineRule="auto"/>
        <w:ind w:firstLine="480"/>
        <w:jc w:val="both"/>
        <w:rPr>
          <w:rFonts w:ascii="Times New Roman" w:hAnsi="Times New Roman" w:eastAsia="Times New Roman" w:cs="Times New Roman"/>
        </w:rPr>
      </w:pPr>
      <w:r>
        <w:rPr>
          <w:rFonts w:ascii="FangSong_GB2312" w:hAnsi="FangSong_GB2312" w:eastAsia="FangSong_GB2312" w:cs="FangSong_GB2312"/>
          <w:sz w:val="28"/>
          <w:szCs w:val="28"/>
        </w:rPr>
        <w:t>（1）实时监控短信发送时长：</w:t>
      </w:r>
    </w:p>
    <w:p w14:paraId="76029F43">
      <w:pPr>
        <w:pStyle w:val="93"/>
        <w:spacing w:before="0" w:after="0" w:line="360" w:lineRule="auto"/>
        <w:ind w:firstLine="480"/>
        <w:jc w:val="both"/>
        <w:rPr>
          <w:rFonts w:ascii="Times New Roman" w:hAnsi="Times New Roman" w:eastAsia="Times New Roman" w:cs="Times New Roman"/>
        </w:rPr>
      </w:pPr>
      <w:r>
        <w:rPr>
          <w:rFonts w:ascii="FangSong_GB2312" w:hAnsi="FangSong_GB2312" w:eastAsia="FangSong_GB2312" w:cs="FangSong_GB2312"/>
          <w:sz w:val="28"/>
          <w:szCs w:val="28"/>
        </w:rPr>
        <w:t>①群发类短信：每千条达到纳税人、缴费人手机终端保持在1-10秒该批次发送记录显示正常，10秒以上则标黄显示，同时需显示该批次整体发送成功率。</w:t>
      </w:r>
    </w:p>
    <w:p w14:paraId="22D85A83">
      <w:pPr>
        <w:pStyle w:val="93"/>
        <w:spacing w:before="0" w:after="0" w:line="360" w:lineRule="auto"/>
        <w:ind w:firstLine="480"/>
        <w:jc w:val="both"/>
        <w:rPr>
          <w:rFonts w:ascii="Times New Roman" w:hAnsi="Times New Roman" w:eastAsia="Times New Roman" w:cs="Times New Roman"/>
        </w:rPr>
      </w:pPr>
      <w:r>
        <w:rPr>
          <w:rFonts w:ascii="FangSong_GB2312" w:hAnsi="FangSong_GB2312" w:eastAsia="FangSong_GB2312" w:cs="FangSong_GB2312"/>
          <w:sz w:val="28"/>
          <w:szCs w:val="28"/>
        </w:rPr>
        <w:t>②触发类短信：每条到达纳税人、缴费人手机终端1-10秒该条发送记录正常显示，10-20秒标黄显示，20秒以上标橙提醒，发送失败标红提醒。</w:t>
      </w:r>
    </w:p>
    <w:p w14:paraId="1847F84E">
      <w:pPr>
        <w:pStyle w:val="93"/>
        <w:spacing w:before="0" w:after="0" w:line="360" w:lineRule="auto"/>
        <w:ind w:firstLine="480"/>
        <w:jc w:val="both"/>
        <w:rPr>
          <w:rFonts w:ascii="Times New Roman" w:hAnsi="Times New Roman" w:eastAsia="Times New Roman" w:cs="Times New Roman"/>
        </w:rPr>
      </w:pPr>
      <w:r>
        <w:rPr>
          <w:rFonts w:ascii="FangSong_GB2312" w:hAnsi="FangSong_GB2312" w:eastAsia="FangSong_GB2312" w:cs="FangSong_GB2312"/>
          <w:sz w:val="28"/>
          <w:szCs w:val="28"/>
        </w:rPr>
        <w:t>（2）触发类短信发送情况实时数据显示功能。包括但不限于发送总量，10秒内到达量，10-20秒到达量，20秒以上到达量，发送失败量等。</w:t>
      </w:r>
    </w:p>
    <w:p w14:paraId="30E6C1C2">
      <w:pPr>
        <w:pStyle w:val="93"/>
        <w:spacing w:before="0" w:after="0" w:line="360" w:lineRule="auto"/>
        <w:ind w:firstLine="480"/>
        <w:jc w:val="both"/>
        <w:rPr>
          <w:rFonts w:ascii="Times New Roman" w:hAnsi="Times New Roman" w:eastAsia="Times New Roman" w:cs="Times New Roman"/>
        </w:rPr>
      </w:pPr>
      <w:r>
        <w:rPr>
          <w:rFonts w:ascii="FangSong_GB2312" w:hAnsi="FangSong_GB2312" w:eastAsia="FangSong_GB2312" w:cs="FangSong_GB2312"/>
          <w:sz w:val="28"/>
          <w:szCs w:val="28"/>
        </w:rPr>
        <w:t>5.短信发送安全管理功能</w:t>
      </w:r>
    </w:p>
    <w:p w14:paraId="184D1DD0">
      <w:pPr>
        <w:pStyle w:val="93"/>
        <w:spacing w:before="0" w:after="0" w:line="360" w:lineRule="auto"/>
        <w:ind w:firstLine="480"/>
        <w:jc w:val="both"/>
        <w:rPr>
          <w:rFonts w:ascii="Times New Roman" w:hAnsi="Times New Roman" w:eastAsia="Times New Roman" w:cs="Times New Roman"/>
        </w:rPr>
      </w:pPr>
      <w:r>
        <w:rPr>
          <w:rFonts w:ascii="FangSong_GB2312" w:hAnsi="FangSong_GB2312" w:eastAsia="FangSong_GB2312" w:cs="FangSong_GB2312"/>
          <w:sz w:val="28"/>
          <w:szCs w:val="28"/>
        </w:rPr>
        <w:t>（1）采购人设置的固定签名不可去除，中标人不可擅自使用、修改固定签名，不可将采购人签名信息用于其他用途。</w:t>
      </w:r>
    </w:p>
    <w:p w14:paraId="12C88DFC">
      <w:pPr>
        <w:pStyle w:val="93"/>
        <w:spacing w:before="0" w:after="0" w:line="360" w:lineRule="auto"/>
        <w:ind w:firstLine="480"/>
        <w:jc w:val="both"/>
        <w:rPr>
          <w:rFonts w:ascii="Times New Roman" w:hAnsi="Times New Roman" w:eastAsia="Times New Roman" w:cs="Times New Roman"/>
        </w:rPr>
      </w:pPr>
      <w:r>
        <w:rPr>
          <w:rFonts w:ascii="FangSong_GB2312" w:hAnsi="FangSong_GB2312" w:eastAsia="FangSong_GB2312" w:cs="FangSong_GB2312"/>
          <w:sz w:val="28"/>
          <w:szCs w:val="28"/>
        </w:rPr>
        <w:t>（2）短信平台应支持敏感词设置、敏感词过滤，自动同步更新敏感词库。如发送内容含有敏感词的短信，由短信平台进行发送拦截。</w:t>
      </w:r>
    </w:p>
    <w:p w14:paraId="2BF6CDDD">
      <w:pPr>
        <w:pStyle w:val="93"/>
        <w:spacing w:before="0" w:after="0" w:line="360" w:lineRule="auto"/>
        <w:ind w:firstLine="480"/>
        <w:jc w:val="both"/>
        <w:rPr>
          <w:rFonts w:ascii="Times New Roman" w:hAnsi="Times New Roman" w:eastAsia="Times New Roman" w:cs="Times New Roman"/>
        </w:rPr>
      </w:pPr>
      <w:r>
        <w:rPr>
          <w:rFonts w:ascii="FangSong_GB2312" w:hAnsi="FangSong_GB2312" w:eastAsia="FangSong_GB2312" w:cs="FangSong_GB2312"/>
          <w:sz w:val="28"/>
          <w:szCs w:val="28"/>
        </w:rPr>
        <w:t>（3）中标人应对所提供短信平台系统的安全性负责，如防止短信平台系统遭恶意攻击停止运行、被动发放未经审核的短信内容及避免短信发送内容被恶意篡改等。</w:t>
      </w:r>
    </w:p>
    <w:p w14:paraId="5A0128CA">
      <w:pPr>
        <w:pStyle w:val="93"/>
        <w:spacing w:before="0" w:after="0" w:line="360" w:lineRule="auto"/>
        <w:ind w:firstLine="480"/>
        <w:jc w:val="both"/>
        <w:rPr>
          <w:rFonts w:ascii="Times New Roman" w:hAnsi="Times New Roman" w:eastAsia="Times New Roman" w:cs="Times New Roman"/>
        </w:rPr>
      </w:pPr>
      <w:r>
        <w:rPr>
          <w:rFonts w:ascii="FangSong_GB2312" w:hAnsi="FangSong_GB2312" w:eastAsia="FangSong_GB2312" w:cs="FangSong_GB2312"/>
          <w:sz w:val="28"/>
          <w:szCs w:val="28"/>
        </w:rPr>
        <w:t>（4）中标人提供短信平台系统应支持查重、去重及无效号码去除、提醒等服务。支持发送失败号码重发。</w:t>
      </w:r>
    </w:p>
    <w:p w14:paraId="7E046E69">
      <w:pPr>
        <w:pStyle w:val="92"/>
        <w:keepNext w:val="0"/>
        <w:spacing w:before="0" w:after="0" w:line="360" w:lineRule="auto"/>
        <w:rPr>
          <w:rFonts w:ascii="仿宋_GB2312" w:hAnsi="仿宋_GB2312" w:eastAsia="仿宋_GB2312" w:cs="仿宋_GB2312"/>
          <w:b/>
          <w:bCs/>
          <w:sz w:val="28"/>
          <w:szCs w:val="28"/>
        </w:rPr>
      </w:pPr>
      <w:bookmarkStart w:id="19" w:name="_Toc256000018"/>
      <w:r>
        <w:rPr>
          <w:rFonts w:ascii="仿宋_GB2312" w:hAnsi="仿宋_GB2312" w:eastAsia="仿宋_GB2312" w:cs="仿宋_GB2312"/>
          <w:sz w:val="28"/>
          <w:szCs w:val="28"/>
        </w:rPr>
        <w:t>2.2.2投标/响应方案要求</w:t>
      </w:r>
      <w:bookmarkEnd w:id="19"/>
    </w:p>
    <w:p w14:paraId="7CC4604D">
      <w:pPr>
        <w:pStyle w:val="18"/>
        <w:spacing w:before="0" w:after="0" w:line="360" w:lineRule="auto"/>
        <w:ind w:firstLine="561"/>
        <w:rPr>
          <w:rFonts w:ascii="仿宋_GB2312" w:hAnsi="仿宋_GB2312" w:eastAsia="仿宋_GB2312" w:cs="仿宋_GB2312"/>
          <w:sz w:val="28"/>
          <w:szCs w:val="28"/>
        </w:rPr>
      </w:pPr>
      <w:r>
        <w:rPr>
          <w:rFonts w:ascii="仿宋_GB2312" w:hAnsi="仿宋_GB2312" w:eastAsia="仿宋_GB2312" w:cs="仿宋_GB2312"/>
          <w:sz w:val="28"/>
          <w:szCs w:val="28"/>
        </w:rPr>
        <w:t>以下相关方案，若作为评审因素，则投标人应在满足★必备指标项要求的前提下，基于对优于★指标项及#、△指标项的应答，根据项目特点和采购需求，制定更为完整、详细、可操作性强的方案。</w:t>
      </w:r>
    </w:p>
    <w:p w14:paraId="453A3C3C">
      <w:pPr>
        <w:pStyle w:val="96"/>
        <w:spacing w:before="0" w:after="0" w:line="360" w:lineRule="auto"/>
        <w:ind w:firstLine="480"/>
        <w:jc w:val="both"/>
        <w:rPr>
          <w:rFonts w:ascii="Times New Roman" w:hAnsi="Times New Roman" w:eastAsia="Times New Roman" w:cs="Times New Roman"/>
        </w:rPr>
      </w:pPr>
      <w:r>
        <w:rPr>
          <w:rFonts w:ascii="FangSong_GB2312" w:hAnsi="FangSong_GB2312" w:eastAsia="FangSong_GB2312" w:cs="FangSong_GB2312"/>
          <w:sz w:val="28"/>
          <w:szCs w:val="28"/>
        </w:rPr>
        <w:t>★（一）报价要求：</w:t>
      </w:r>
    </w:p>
    <w:p w14:paraId="42CF1553">
      <w:pPr>
        <w:pStyle w:val="97"/>
        <w:spacing w:before="0" w:after="0" w:line="360" w:lineRule="auto"/>
        <w:ind w:firstLine="480"/>
        <w:jc w:val="both"/>
        <w:rPr>
          <w:rFonts w:ascii="Times New Roman" w:hAnsi="Times New Roman" w:eastAsia="Times New Roman" w:cs="Times New Roman"/>
        </w:rPr>
      </w:pPr>
      <w:r>
        <w:rPr>
          <w:rFonts w:ascii="FangSong_GB2312" w:hAnsi="FangSong_GB2312" w:eastAsia="FangSong_GB2312" w:cs="FangSong_GB2312"/>
          <w:sz w:val="28"/>
          <w:szCs w:val="28"/>
        </w:rPr>
        <w:t>（1）投标报价包含但不限于以下部分：服务的价格；必要的保险费用和各项税金；与本项目有关的其他一切费用。在本项目服务期内，中标单价不予调整，采购人不再支付中标价格以外的任何费用。</w:t>
      </w:r>
    </w:p>
    <w:p w14:paraId="78928594">
      <w:pPr>
        <w:pStyle w:val="97"/>
        <w:spacing w:before="0" w:after="0" w:line="360" w:lineRule="auto"/>
        <w:ind w:firstLine="480"/>
        <w:jc w:val="both"/>
        <w:rPr>
          <w:rFonts w:ascii="Times New Roman" w:hAnsi="Times New Roman" w:eastAsia="Times New Roman" w:cs="Times New Roman"/>
        </w:rPr>
      </w:pPr>
      <w:r>
        <w:rPr>
          <w:rFonts w:ascii="FangSong_GB2312" w:hAnsi="FangSong_GB2312" w:eastAsia="FangSong_GB2312" w:cs="FangSong_GB2312"/>
          <w:sz w:val="28"/>
          <w:szCs w:val="28"/>
        </w:rPr>
        <w:t>（2）本项目总预算金额为人民币（大写）叁佰万元整（¥3000000.00），每条短信最高单价限价为0.035元/条，投标人超出最高单价限价的，投标无效。</w:t>
      </w:r>
    </w:p>
    <w:p w14:paraId="14116A63">
      <w:pPr>
        <w:pStyle w:val="97"/>
        <w:spacing w:before="0" w:after="0" w:line="360" w:lineRule="auto"/>
        <w:ind w:firstLine="480"/>
        <w:jc w:val="both"/>
        <w:rPr>
          <w:rFonts w:ascii="Times New Roman" w:hAnsi="Times New Roman" w:eastAsia="Times New Roman" w:cs="Times New Roman"/>
        </w:rPr>
      </w:pPr>
      <w:r>
        <w:rPr>
          <w:rFonts w:ascii="FangSong_GB2312" w:hAnsi="FangSong_GB2312" w:eastAsia="FangSong_GB2312" w:cs="FangSong_GB2312"/>
          <w:sz w:val="28"/>
          <w:szCs w:val="28"/>
        </w:rPr>
        <w:t>★（二）服务地点、服务期限及服务方式：</w:t>
      </w:r>
    </w:p>
    <w:p w14:paraId="2AB78214">
      <w:pPr>
        <w:pStyle w:val="93"/>
        <w:spacing w:before="0" w:after="0" w:line="360" w:lineRule="auto"/>
        <w:ind w:firstLine="480"/>
        <w:jc w:val="both"/>
        <w:rPr>
          <w:rFonts w:ascii="Times New Roman" w:hAnsi="Times New Roman" w:eastAsia="Times New Roman" w:cs="Times New Roman"/>
        </w:rPr>
      </w:pPr>
      <w:r>
        <w:rPr>
          <w:rFonts w:ascii="FangSong_GB2312" w:hAnsi="FangSong_GB2312" w:eastAsia="FangSong_GB2312" w:cs="FangSong_GB2312"/>
          <w:sz w:val="28"/>
          <w:szCs w:val="28"/>
        </w:rPr>
        <w:t>（1）服务地点：采购人指定地点。</w:t>
      </w:r>
    </w:p>
    <w:p w14:paraId="5E01EB37">
      <w:pPr>
        <w:pStyle w:val="93"/>
        <w:spacing w:before="0" w:after="0" w:line="360" w:lineRule="auto"/>
        <w:ind w:firstLine="480"/>
        <w:jc w:val="both"/>
        <w:rPr>
          <w:rFonts w:ascii="Times New Roman" w:hAnsi="Times New Roman" w:eastAsia="Times New Roman" w:cs="Times New Roman"/>
        </w:rPr>
      </w:pPr>
      <w:r>
        <w:rPr>
          <w:rFonts w:ascii="FangSong_GB2312" w:hAnsi="FangSong_GB2312" w:eastAsia="FangSong_GB2312" w:cs="FangSong_GB2312"/>
          <w:sz w:val="28"/>
          <w:szCs w:val="28"/>
        </w:rPr>
        <w:t>（2）服务期限：1年。</w:t>
      </w:r>
    </w:p>
    <w:p w14:paraId="1B86B9D5">
      <w:pPr>
        <w:pStyle w:val="97"/>
        <w:spacing w:before="0" w:after="0" w:line="360" w:lineRule="auto"/>
        <w:ind w:firstLine="480"/>
        <w:jc w:val="both"/>
        <w:rPr>
          <w:rFonts w:ascii="Times New Roman" w:hAnsi="Times New Roman" w:eastAsia="Times New Roman" w:cs="Times New Roman"/>
        </w:rPr>
      </w:pPr>
      <w:r>
        <w:rPr>
          <w:rFonts w:ascii="FangSong_GB2312" w:hAnsi="FangSong_GB2312" w:eastAsia="FangSong_GB2312" w:cs="FangSong_GB2312"/>
          <w:sz w:val="28"/>
          <w:szCs w:val="28"/>
        </w:rPr>
        <w:t>（3）因国家政策变化、技术实施所需的客观环境变化、重大技术变化（含硬件架构升级、设备兼容性调整、硬件设备报废、推广使用新应用系统等）或工作计划调整等原因导致相关服务停止或部分停止的，采购人有权提前终止或部分终止合同执行，费用按实际服务时间、实际运维范围和考核结果据实结算，不视为采购人违约。</w:t>
      </w:r>
    </w:p>
    <w:p w14:paraId="4FD7D8F6">
      <w:pPr>
        <w:pStyle w:val="97"/>
        <w:spacing w:before="0" w:after="0" w:line="360" w:lineRule="auto"/>
        <w:ind w:firstLine="480"/>
        <w:jc w:val="both"/>
        <w:rPr>
          <w:rFonts w:ascii="Times New Roman" w:hAnsi="Times New Roman" w:eastAsia="Times New Roman" w:cs="Times New Roman"/>
        </w:rPr>
      </w:pPr>
      <w:r>
        <w:rPr>
          <w:rFonts w:ascii="FangSong_GB2312" w:hAnsi="FangSong_GB2312" w:eastAsia="FangSong_GB2312" w:cs="FangSong_GB2312"/>
          <w:sz w:val="28"/>
          <w:szCs w:val="28"/>
        </w:rPr>
        <w:t>★（三）付款方式：</w:t>
      </w:r>
    </w:p>
    <w:p w14:paraId="2F55506D">
      <w:pPr>
        <w:pStyle w:val="98"/>
        <w:spacing w:before="0" w:after="0" w:line="360" w:lineRule="auto"/>
        <w:ind w:left="0" w:firstLine="480"/>
        <w:jc w:val="both"/>
        <w:textAlignment w:val="baseline"/>
        <w:rPr>
          <w:rFonts w:ascii="Times New Roman" w:hAnsi="Times New Roman" w:eastAsia="Times New Roman" w:cs="Times New Roman"/>
        </w:rPr>
      </w:pPr>
      <w:r>
        <w:rPr>
          <w:rFonts w:ascii="FangSong_GB2312" w:hAnsi="FangSong_GB2312" w:eastAsia="FangSong_GB2312" w:cs="FangSong_GB2312"/>
          <w:sz w:val="28"/>
          <w:szCs w:val="28"/>
        </w:rPr>
        <w:t>（1）计费方式为按月计费，付费方式为先服务后付费。采购人在每个自然月结束后10个工作日内按照实际发送成功量乘以中标单价金额计算上月短信发送费用，并依据项目验收标准及本合同约定的罚则条款进行考核，根据考核结果核算上月应付金额后，向中标人支付上月费用。</w:t>
      </w:r>
    </w:p>
    <w:p w14:paraId="37A65BA5">
      <w:pPr>
        <w:pStyle w:val="93"/>
        <w:spacing w:before="0" w:after="0" w:line="360" w:lineRule="auto"/>
        <w:ind w:firstLine="480"/>
        <w:jc w:val="both"/>
        <w:rPr>
          <w:rFonts w:ascii="Times New Roman" w:hAnsi="Times New Roman" w:eastAsia="Times New Roman" w:cs="Times New Roman"/>
        </w:rPr>
      </w:pPr>
      <w:r>
        <w:rPr>
          <w:rFonts w:ascii="FangSong_GB2312" w:hAnsi="FangSong_GB2312" w:eastAsia="FangSong_GB2312" w:cs="FangSong_GB2312"/>
          <w:sz w:val="28"/>
          <w:szCs w:val="28"/>
        </w:rPr>
        <w:t>（2）采购人付款前，中标人应向采购人开具等额有效的发票，采购人收到合规发票后10个工作日内将合同款项支付到合同约定的中标人账户；采购人未收到发票的，有权不予支付，并不承担延迟付款责任。</w:t>
      </w:r>
    </w:p>
    <w:p w14:paraId="077E14AC">
      <w:pPr>
        <w:pStyle w:val="90"/>
        <w:keepNext w:val="0"/>
        <w:spacing w:before="0" w:after="0" w:line="360" w:lineRule="auto"/>
        <w:jc w:val="center"/>
        <w:rPr>
          <w:rFonts w:ascii="仿宋_GB2312" w:hAnsi="仿宋_GB2312" w:eastAsia="仿宋_GB2312" w:cs="仿宋_GB2312"/>
          <w:b/>
          <w:bCs/>
          <w:sz w:val="32"/>
          <w:szCs w:val="32"/>
        </w:rPr>
      </w:pPr>
      <w:bookmarkStart w:id="20" w:name="_Toc256000019"/>
      <w:r>
        <w:rPr>
          <w:rFonts w:ascii="仿宋_GB2312" w:hAnsi="仿宋_GB2312" w:eastAsia="仿宋_GB2312" w:cs="仿宋_GB2312"/>
          <w:kern w:val="36"/>
        </w:rPr>
        <w:t>3项目需求</w:t>
      </w:r>
      <w:bookmarkEnd w:id="20"/>
    </w:p>
    <w:p w14:paraId="3E919743">
      <w:pPr>
        <w:pStyle w:val="91"/>
        <w:keepNext w:val="0"/>
        <w:spacing w:before="0" w:after="0" w:line="360" w:lineRule="auto"/>
        <w:rPr>
          <w:rFonts w:ascii="仿宋_GB2312" w:hAnsi="仿宋_GB2312" w:eastAsia="仿宋_GB2312" w:cs="仿宋_GB2312"/>
          <w:b/>
          <w:bCs/>
          <w:sz w:val="28"/>
          <w:szCs w:val="28"/>
        </w:rPr>
      </w:pPr>
      <w:bookmarkStart w:id="21" w:name="_Toc256000020"/>
      <w:r>
        <w:rPr>
          <w:rFonts w:ascii="仿宋_GB2312" w:hAnsi="仿宋_GB2312" w:eastAsia="仿宋_GB2312" w:cs="仿宋_GB2312"/>
          <w:i w:val="0"/>
          <w:iCs w:val="0"/>
        </w:rPr>
        <w:t>3.1总体要求</w:t>
      </w:r>
      <w:bookmarkEnd w:id="21"/>
    </w:p>
    <w:p w14:paraId="401CCF8E">
      <w:pPr>
        <w:pStyle w:val="93"/>
        <w:spacing w:before="0" w:after="0" w:line="360" w:lineRule="auto"/>
        <w:ind w:firstLine="480"/>
        <w:jc w:val="both"/>
        <w:rPr>
          <w:rFonts w:ascii="Times New Roman" w:hAnsi="Times New Roman" w:eastAsia="Times New Roman" w:cs="Times New Roman"/>
        </w:rPr>
      </w:pPr>
      <w:r>
        <w:rPr>
          <w:rFonts w:ascii="FangSong_GB2312" w:hAnsi="FangSong_GB2312" w:eastAsia="FangSong_GB2312" w:cs="FangSong_GB2312"/>
          <w:sz w:val="28"/>
          <w:szCs w:val="28"/>
        </w:rPr>
        <w:t>1.中标人应具有三网发送的网络资源通道，通道发送速率不低于500条/秒，短信送达率应在99%以上。</w:t>
      </w:r>
    </w:p>
    <w:p w14:paraId="6BFFC4C4">
      <w:pPr>
        <w:pStyle w:val="93"/>
        <w:spacing w:before="0" w:after="0" w:line="360" w:lineRule="auto"/>
        <w:ind w:firstLine="480"/>
        <w:jc w:val="both"/>
        <w:rPr>
          <w:rFonts w:ascii="Times New Roman" w:hAnsi="Times New Roman" w:eastAsia="Times New Roman" w:cs="Times New Roman"/>
        </w:rPr>
      </w:pPr>
      <w:r>
        <w:rPr>
          <w:rFonts w:ascii="FangSong_GB2312" w:hAnsi="FangSong_GB2312" w:eastAsia="FangSong_GB2312" w:cs="FangSong_GB2312"/>
          <w:sz w:val="28"/>
          <w:szCs w:val="28"/>
        </w:rPr>
        <w:t>2.中标人须根据广西税务系统的业务需求，在项目服务期内开发并部署短信平台系统给采购人使用，承担短信平台上线后的后续维护工作。</w:t>
      </w:r>
    </w:p>
    <w:p w14:paraId="74C9813E">
      <w:pPr>
        <w:pStyle w:val="93"/>
        <w:spacing w:before="0" w:after="0" w:line="360" w:lineRule="auto"/>
        <w:ind w:firstLine="480"/>
        <w:jc w:val="both"/>
        <w:rPr>
          <w:rFonts w:ascii="Times New Roman" w:hAnsi="Times New Roman" w:eastAsia="Times New Roman" w:cs="Times New Roman"/>
        </w:rPr>
      </w:pPr>
      <w:r>
        <w:rPr>
          <w:rFonts w:ascii="FangSong_GB2312" w:hAnsi="FangSong_GB2312" w:eastAsia="FangSong_GB2312" w:cs="FangSong_GB2312"/>
          <w:sz w:val="28"/>
          <w:szCs w:val="28"/>
        </w:rPr>
        <w:t>3.中标人对于短信平台系统故障、用户无法接收短信等突发情况，应提供7×24小时技术支持服务，第一时间启动故障自查机制，配合采购人完成问题溯源及修复，并制定应急预案，确保服务连续性。</w:t>
      </w:r>
    </w:p>
    <w:p w14:paraId="3BEA07FE">
      <w:pPr>
        <w:pStyle w:val="93"/>
        <w:spacing w:before="0" w:after="0" w:line="360" w:lineRule="auto"/>
        <w:ind w:firstLine="480"/>
        <w:jc w:val="both"/>
        <w:rPr>
          <w:rFonts w:ascii="Times New Roman" w:hAnsi="Times New Roman" w:eastAsia="Times New Roman" w:cs="Times New Roman"/>
        </w:rPr>
      </w:pPr>
      <w:r>
        <w:rPr>
          <w:rFonts w:ascii="FangSong_GB2312" w:hAnsi="FangSong_GB2312" w:eastAsia="FangSong_GB2312" w:cs="FangSong_GB2312"/>
          <w:sz w:val="28"/>
          <w:szCs w:val="28"/>
        </w:rPr>
        <w:t>4.本项目根据实际短信发送成功量，据实按月支付费用。</w:t>
      </w:r>
    </w:p>
    <w:p w14:paraId="33D50D71">
      <w:pPr>
        <w:pStyle w:val="91"/>
        <w:keepNext w:val="0"/>
        <w:spacing w:before="0" w:after="0" w:line="360" w:lineRule="auto"/>
        <w:rPr>
          <w:rFonts w:ascii="仿宋_GB2312" w:hAnsi="仿宋_GB2312" w:eastAsia="仿宋_GB2312" w:cs="仿宋_GB2312"/>
          <w:b/>
          <w:bCs/>
          <w:sz w:val="28"/>
          <w:szCs w:val="28"/>
        </w:rPr>
      </w:pPr>
      <w:bookmarkStart w:id="22" w:name="_Toc256000021"/>
      <w:r>
        <w:rPr>
          <w:rFonts w:ascii="仿宋_GB2312" w:hAnsi="仿宋_GB2312" w:eastAsia="仿宋_GB2312" w:cs="仿宋_GB2312"/>
          <w:i w:val="0"/>
          <w:iCs w:val="0"/>
        </w:rPr>
        <w:t>3.2服务内容和要求</w:t>
      </w:r>
      <w:bookmarkEnd w:id="22"/>
    </w:p>
    <w:p w14:paraId="0FADCE01">
      <w:pPr>
        <w:pStyle w:val="18"/>
        <w:spacing w:before="0" w:after="0" w:line="360" w:lineRule="auto"/>
        <w:ind w:firstLine="561"/>
        <w:rPr>
          <w:rFonts w:ascii="仿宋_GB2312" w:hAnsi="仿宋_GB2312" w:eastAsia="仿宋_GB2312" w:cs="仿宋_GB2312"/>
          <w:sz w:val="28"/>
          <w:szCs w:val="28"/>
        </w:rPr>
      </w:pPr>
      <w:r>
        <w:rPr>
          <w:rFonts w:ascii="仿宋_GB2312" w:hAnsi="仿宋_GB2312" w:eastAsia="仿宋_GB2312" w:cs="仿宋_GB2312"/>
          <w:sz w:val="28"/>
          <w:szCs w:val="28"/>
        </w:rPr>
        <w:t>采购文件（技术部分）中有标注★号的，为必备要求，必须满足，如未作出响应，将导致响应无效；#为重要内容、△为一般内容。</w:t>
      </w:r>
    </w:p>
    <w:p w14:paraId="705F9DB4">
      <w:pPr>
        <w:pStyle w:val="92"/>
        <w:keepNext w:val="0"/>
        <w:spacing w:before="0" w:after="0" w:line="360" w:lineRule="auto"/>
        <w:rPr>
          <w:rFonts w:ascii="仿宋_GB2312" w:hAnsi="仿宋_GB2312" w:eastAsia="仿宋_GB2312" w:cs="仿宋_GB2312"/>
          <w:b/>
          <w:bCs/>
          <w:sz w:val="28"/>
          <w:szCs w:val="28"/>
        </w:rPr>
      </w:pPr>
      <w:bookmarkStart w:id="23" w:name="_Toc256000022"/>
      <w:r>
        <w:rPr>
          <w:rFonts w:ascii="仿宋_GB2312" w:hAnsi="仿宋_GB2312" w:eastAsia="仿宋_GB2312" w:cs="仿宋_GB2312"/>
          <w:sz w:val="28"/>
          <w:szCs w:val="28"/>
        </w:rPr>
        <w:t>3.2.1技术和服务客观指标</w:t>
      </w:r>
      <w:bookmarkEnd w:id="23"/>
    </w:p>
    <w:p w14:paraId="26CB5C0B">
      <w:pPr>
        <w:pStyle w:val="94"/>
        <w:keepNext w:val="0"/>
        <w:spacing w:before="0" w:after="0" w:line="360" w:lineRule="auto"/>
        <w:rPr>
          <w:rFonts w:ascii="仿宋_GB2312" w:hAnsi="仿宋_GB2312" w:eastAsia="仿宋_GB2312" w:cs="仿宋_GB2312"/>
          <w:b/>
          <w:bCs/>
          <w:sz w:val="28"/>
          <w:szCs w:val="28"/>
        </w:rPr>
      </w:pPr>
      <w:r>
        <w:rPr>
          <w:rFonts w:ascii="仿宋_GB2312" w:hAnsi="仿宋_GB2312" w:eastAsia="仿宋_GB2312" w:cs="仿宋_GB2312"/>
        </w:rPr>
        <w:t>3.2.1.1服务1</w:t>
      </w:r>
    </w:p>
    <w:p w14:paraId="7B84E3DD">
      <w:pPr>
        <w:pStyle w:val="92"/>
        <w:keepNext w:val="0"/>
        <w:spacing w:before="0" w:after="0" w:line="360" w:lineRule="auto"/>
        <w:rPr>
          <w:rFonts w:ascii="仿宋_GB2312" w:hAnsi="仿宋_GB2312" w:eastAsia="仿宋_GB2312" w:cs="仿宋_GB2312"/>
          <w:b/>
          <w:bCs/>
          <w:sz w:val="28"/>
          <w:szCs w:val="28"/>
        </w:rPr>
      </w:pPr>
      <w:bookmarkStart w:id="24" w:name="_Toc256000023"/>
      <w:r>
        <w:rPr>
          <w:rFonts w:ascii="仿宋_GB2312" w:hAnsi="仿宋_GB2312" w:eastAsia="仿宋_GB2312" w:cs="仿宋_GB2312"/>
          <w:sz w:val="28"/>
          <w:szCs w:val="28"/>
        </w:rPr>
        <w:t>3.2.2技术和服务其他要求</w:t>
      </w:r>
      <w:bookmarkEnd w:id="24"/>
    </w:p>
    <w:p w14:paraId="02263D86">
      <w:pPr>
        <w:pStyle w:val="93"/>
        <w:spacing w:before="0" w:after="0" w:line="360" w:lineRule="auto"/>
        <w:ind w:firstLine="480"/>
        <w:jc w:val="both"/>
        <w:rPr>
          <w:rFonts w:ascii="Times New Roman" w:hAnsi="Times New Roman" w:eastAsia="Times New Roman" w:cs="Times New Roman"/>
        </w:rPr>
      </w:pPr>
      <w:r>
        <w:rPr>
          <w:rFonts w:ascii="FangSong_GB2312" w:hAnsi="FangSong_GB2312" w:eastAsia="FangSong_GB2312" w:cs="FangSong_GB2312"/>
          <w:sz w:val="28"/>
          <w:szCs w:val="28"/>
        </w:rPr>
        <w:t>为确保短信平台运行稳定，实现统一有效的管理，本项目技术需求包括但不限于以下内容：</w:t>
      </w:r>
    </w:p>
    <w:p w14:paraId="27E70E2D">
      <w:pPr>
        <w:pStyle w:val="93"/>
        <w:spacing w:before="0" w:after="0" w:line="360" w:lineRule="auto"/>
        <w:ind w:firstLine="480"/>
        <w:jc w:val="both"/>
        <w:rPr>
          <w:rFonts w:ascii="Times New Roman" w:hAnsi="Times New Roman" w:eastAsia="Times New Roman" w:cs="Times New Roman"/>
        </w:rPr>
      </w:pPr>
      <w:r>
        <w:rPr>
          <w:rFonts w:ascii="FangSong_GB2312" w:hAnsi="FangSong_GB2312" w:eastAsia="FangSong_GB2312" w:cs="FangSong_GB2312"/>
          <w:sz w:val="28"/>
          <w:szCs w:val="28"/>
        </w:rPr>
        <w:t>（一）短信发送技术需求</w:t>
      </w:r>
    </w:p>
    <w:p w14:paraId="30DD4561">
      <w:pPr>
        <w:pStyle w:val="93"/>
        <w:spacing w:before="0" w:after="0" w:line="360" w:lineRule="auto"/>
        <w:ind w:firstLine="480"/>
        <w:jc w:val="both"/>
        <w:rPr>
          <w:rFonts w:ascii="Times New Roman" w:hAnsi="Times New Roman" w:eastAsia="Times New Roman" w:cs="Times New Roman"/>
        </w:rPr>
      </w:pPr>
      <w:r>
        <w:rPr>
          <w:rFonts w:ascii="FangSong_GB2312" w:hAnsi="FangSong_GB2312" w:eastAsia="FangSong_GB2312" w:cs="FangSong_GB2312"/>
          <w:sz w:val="28"/>
          <w:szCs w:val="28"/>
        </w:rPr>
        <w:t>1.短信通道性能方面</w:t>
      </w:r>
    </w:p>
    <w:p w14:paraId="7DB71CAA">
      <w:pPr>
        <w:pStyle w:val="93"/>
        <w:spacing w:before="0" w:after="0" w:line="360" w:lineRule="auto"/>
        <w:ind w:firstLine="480"/>
        <w:jc w:val="both"/>
        <w:rPr>
          <w:rFonts w:ascii="Times New Roman" w:hAnsi="Times New Roman" w:eastAsia="Times New Roman" w:cs="Times New Roman"/>
        </w:rPr>
      </w:pPr>
      <w:r>
        <w:rPr>
          <w:rFonts w:ascii="FangSong_GB2312" w:hAnsi="FangSong_GB2312" w:eastAsia="FangSong_GB2312" w:cs="FangSong_GB2312"/>
          <w:sz w:val="28"/>
          <w:szCs w:val="28"/>
        </w:rPr>
        <w:t>（1）对接标准及状态报告的格式均需符合支持三大运营商标准协议接口，能够实现三大运营商及其携号转网号码的发送，具备短信信息上下行送达能力。设置采购人的客户优先级为A级，优先保障采购人的短信发送。</w:t>
      </w:r>
    </w:p>
    <w:p w14:paraId="0AF58337">
      <w:pPr>
        <w:pStyle w:val="93"/>
        <w:spacing w:before="0" w:after="0" w:line="360" w:lineRule="auto"/>
        <w:ind w:firstLine="480"/>
        <w:jc w:val="both"/>
        <w:rPr>
          <w:rFonts w:ascii="Times New Roman" w:hAnsi="Times New Roman" w:eastAsia="Times New Roman" w:cs="Times New Roman"/>
        </w:rPr>
      </w:pPr>
      <w:r>
        <w:rPr>
          <w:rFonts w:ascii="FangSong_GB2312" w:hAnsi="FangSong_GB2312" w:eastAsia="FangSong_GB2312" w:cs="FangSong_GB2312"/>
          <w:sz w:val="28"/>
          <w:szCs w:val="28"/>
        </w:rPr>
        <w:t>（2）中标人提供电信、移动、联通的短信通道服务时应具备关停时的应急备用通道应急措施，短信备用通道大于或等于3个。</w:t>
      </w:r>
    </w:p>
    <w:p w14:paraId="0D8AD3B4">
      <w:pPr>
        <w:pStyle w:val="93"/>
        <w:spacing w:before="0" w:after="0" w:line="360" w:lineRule="auto"/>
        <w:ind w:firstLine="480"/>
        <w:jc w:val="both"/>
        <w:rPr>
          <w:rFonts w:ascii="Times New Roman" w:hAnsi="Times New Roman" w:eastAsia="Times New Roman" w:cs="Times New Roman"/>
        </w:rPr>
      </w:pPr>
      <w:r>
        <w:rPr>
          <w:rFonts w:ascii="FangSong_GB2312" w:hAnsi="FangSong_GB2312" w:eastAsia="FangSong_GB2312" w:cs="FangSong_GB2312"/>
          <w:sz w:val="28"/>
          <w:szCs w:val="28"/>
        </w:rPr>
        <w:t>（3）短信通道发送速率不低于500条/秒，并承诺随着业务的发展，按实际流量的需要对通道的短信发送速率进行扩充，以满足实际业务需求。</w:t>
      </w:r>
    </w:p>
    <w:p w14:paraId="65E76899">
      <w:pPr>
        <w:pStyle w:val="93"/>
        <w:spacing w:before="0" w:after="0" w:line="360" w:lineRule="auto"/>
        <w:ind w:firstLine="480"/>
        <w:jc w:val="both"/>
        <w:rPr>
          <w:rFonts w:ascii="Times New Roman" w:hAnsi="Times New Roman" w:eastAsia="Times New Roman" w:cs="Times New Roman"/>
        </w:rPr>
      </w:pPr>
      <w:r>
        <w:rPr>
          <w:rFonts w:ascii="FangSong_GB2312" w:hAnsi="FangSong_GB2312" w:eastAsia="FangSong_GB2312" w:cs="FangSong_GB2312"/>
          <w:sz w:val="28"/>
          <w:szCs w:val="28"/>
        </w:rPr>
        <w:t>（4）各类短信发送应在以下规定时长内到达纳税人、缴费人手机终端，如未在规定时长内到达纳税人、缴费人手机终端的，视同短信发送失败，中标人应建立完善的短信发送成功保障机制以满足该要求。各类短信发送时长具体规定如下：</w:t>
      </w:r>
    </w:p>
    <w:p w14:paraId="0A9581C9">
      <w:pPr>
        <w:pStyle w:val="93"/>
        <w:spacing w:before="0" w:after="0" w:line="360" w:lineRule="auto"/>
        <w:ind w:firstLine="480"/>
        <w:jc w:val="both"/>
        <w:rPr>
          <w:rFonts w:ascii="Times New Roman" w:hAnsi="Times New Roman" w:eastAsia="Times New Roman" w:cs="Times New Roman"/>
        </w:rPr>
      </w:pPr>
      <w:r>
        <w:rPr>
          <w:rFonts w:ascii="FangSong_GB2312" w:hAnsi="FangSong_GB2312" w:eastAsia="FangSong_GB2312" w:cs="FangSong_GB2312"/>
          <w:sz w:val="28"/>
          <w:szCs w:val="28"/>
        </w:rPr>
        <w:t>①群发类短信（除服务验证码短信以外）发送成功到达纳税人、缴费人手机终端时长应小于10秒/千条。</w:t>
      </w:r>
    </w:p>
    <w:p w14:paraId="069F9C0F">
      <w:pPr>
        <w:pStyle w:val="93"/>
        <w:spacing w:before="0" w:after="0" w:line="360" w:lineRule="auto"/>
        <w:ind w:firstLine="480"/>
        <w:jc w:val="both"/>
        <w:rPr>
          <w:rFonts w:ascii="Times New Roman" w:hAnsi="Times New Roman" w:eastAsia="Times New Roman" w:cs="Times New Roman"/>
        </w:rPr>
      </w:pPr>
      <w:r>
        <w:rPr>
          <w:rFonts w:ascii="FangSong_GB2312" w:hAnsi="FangSong_GB2312" w:eastAsia="FangSong_GB2312" w:cs="FangSong_GB2312"/>
          <w:sz w:val="28"/>
          <w:szCs w:val="28"/>
        </w:rPr>
        <w:t>②涉税互联网平台服务验证码到达纳税人、缴费人手机终端时间需满足：10秒以内成功到达的至少占发送成功量 90%，15秒以内成功到达的至少占发送成功量95%，20秒以内成功到达的为100%。如当月该三个比例有下降，则按照一定比率扣减当月短信服务费用（各比例每降低1%，扣减当月短信服务费用总结算金额的1%）。</w:t>
      </w:r>
    </w:p>
    <w:p w14:paraId="31D257F0">
      <w:pPr>
        <w:pStyle w:val="93"/>
        <w:spacing w:before="0" w:after="0" w:line="360" w:lineRule="auto"/>
        <w:ind w:firstLine="480"/>
        <w:jc w:val="both"/>
        <w:rPr>
          <w:rFonts w:ascii="Times New Roman" w:hAnsi="Times New Roman" w:eastAsia="Times New Roman" w:cs="Times New Roman"/>
        </w:rPr>
      </w:pPr>
      <w:r>
        <w:rPr>
          <w:rFonts w:ascii="FangSong_GB2312" w:hAnsi="FangSong_GB2312" w:eastAsia="FangSong_GB2312" w:cs="FangSong_GB2312"/>
          <w:sz w:val="28"/>
          <w:szCs w:val="28"/>
        </w:rPr>
        <w:t>（5）短信发送失败率剔除无效号码和排除手机终端问题（关机、欠费、无信号等）后不高于万分之一。当月如该比率提高，则按照一定比率扣减当月短信服务费用（失败率每提高10%，扣减当月短信服务费用总结算金额的1%）。</w:t>
      </w:r>
    </w:p>
    <w:p w14:paraId="2D9431C5">
      <w:pPr>
        <w:pStyle w:val="93"/>
        <w:spacing w:before="0" w:after="0" w:line="360" w:lineRule="auto"/>
        <w:ind w:firstLine="480"/>
        <w:jc w:val="both"/>
        <w:rPr>
          <w:rFonts w:ascii="Times New Roman" w:hAnsi="Times New Roman" w:eastAsia="Times New Roman" w:cs="Times New Roman"/>
        </w:rPr>
      </w:pPr>
      <w:r>
        <w:rPr>
          <w:rFonts w:ascii="FangSong_GB2312" w:hAnsi="FangSong_GB2312" w:eastAsia="FangSong_GB2312" w:cs="FangSong_GB2312"/>
          <w:sz w:val="28"/>
          <w:szCs w:val="28"/>
        </w:rPr>
        <w:t>（6）中标人应对短信发送速率、成功率、时延等情况进行实时监测，并确保短信发送相关数据真实无误，采购人将不定时邀请第三方对中标人的短信发送数据进行核验，中标人需无条件配合。</w:t>
      </w:r>
    </w:p>
    <w:p w14:paraId="5A0F2C33">
      <w:pPr>
        <w:pStyle w:val="93"/>
        <w:spacing w:before="0" w:after="0" w:line="360" w:lineRule="auto"/>
        <w:ind w:firstLine="480"/>
        <w:jc w:val="both"/>
        <w:rPr>
          <w:rFonts w:ascii="Times New Roman" w:hAnsi="Times New Roman" w:eastAsia="Times New Roman" w:cs="Times New Roman"/>
        </w:rPr>
      </w:pPr>
      <w:r>
        <w:rPr>
          <w:rFonts w:ascii="FangSong_GB2312" w:hAnsi="FangSong_GB2312" w:eastAsia="FangSong_GB2312" w:cs="FangSong_GB2312"/>
          <w:sz w:val="28"/>
          <w:szCs w:val="28"/>
        </w:rPr>
        <w:t>（7）采购人对同一个号码每天发送短信的次数不受限制；涉税互联网平台服务验证码单人每天获取短信的次数不受限制。</w:t>
      </w:r>
    </w:p>
    <w:p w14:paraId="4F7BF1FF">
      <w:pPr>
        <w:pStyle w:val="93"/>
        <w:spacing w:before="0" w:after="0" w:line="360" w:lineRule="auto"/>
        <w:ind w:firstLine="480"/>
        <w:jc w:val="both"/>
        <w:rPr>
          <w:rFonts w:ascii="Times New Roman" w:hAnsi="Times New Roman" w:eastAsia="Times New Roman" w:cs="Times New Roman"/>
        </w:rPr>
      </w:pPr>
      <w:r>
        <w:rPr>
          <w:rFonts w:ascii="FangSong_GB2312" w:hAnsi="FangSong_GB2312" w:eastAsia="FangSong_GB2312" w:cs="FangSong_GB2312"/>
          <w:sz w:val="28"/>
          <w:szCs w:val="28"/>
        </w:rPr>
        <w:t>2.码号方面</w:t>
      </w:r>
    </w:p>
    <w:p w14:paraId="580C405A">
      <w:pPr>
        <w:pStyle w:val="93"/>
        <w:spacing w:before="0" w:after="0" w:line="360" w:lineRule="auto"/>
        <w:ind w:firstLine="480"/>
        <w:jc w:val="both"/>
        <w:rPr>
          <w:rFonts w:ascii="Times New Roman" w:hAnsi="Times New Roman" w:eastAsia="Times New Roman" w:cs="Times New Roman"/>
        </w:rPr>
      </w:pPr>
      <w:r>
        <w:rPr>
          <w:rFonts w:ascii="FangSong_GB2312" w:hAnsi="FangSong_GB2312" w:eastAsia="FangSong_GB2312" w:cs="FangSong_GB2312"/>
          <w:sz w:val="28"/>
          <w:szCs w:val="28"/>
        </w:rPr>
        <w:t>★（1）鉴于全国税务系统短消息类服务接入代码为“12366”，中标人须提供以“12366”结尾的三网统一码号。</w:t>
      </w:r>
    </w:p>
    <w:p w14:paraId="42AB259F">
      <w:pPr>
        <w:pStyle w:val="93"/>
        <w:spacing w:before="0" w:after="0" w:line="360" w:lineRule="auto"/>
        <w:ind w:firstLine="480"/>
        <w:jc w:val="both"/>
        <w:rPr>
          <w:rFonts w:ascii="Times New Roman" w:hAnsi="Times New Roman" w:eastAsia="Times New Roman" w:cs="Times New Roman"/>
        </w:rPr>
      </w:pPr>
      <w:r>
        <w:rPr>
          <w:rFonts w:ascii="FangSong_GB2312" w:hAnsi="FangSong_GB2312" w:eastAsia="FangSong_GB2312" w:cs="FangSong_GB2312"/>
          <w:sz w:val="28"/>
          <w:szCs w:val="28"/>
        </w:rPr>
        <w:t>★（2）为确保纳税人、缴费人能够快速识别服务码号，树立良好的服务形象且能够支持全国全网、长短信推送等功能，中标人须提供的码号总位长（含扩展位数）不超过17位，且尽可能短。（投标人投标时需提供对应码号的相应资质或证明材料，包括提供对应端口位长和结尾的证明。）</w:t>
      </w:r>
    </w:p>
    <w:p w14:paraId="052C6D85">
      <w:pPr>
        <w:pStyle w:val="93"/>
        <w:spacing w:before="0" w:after="0" w:line="360" w:lineRule="auto"/>
        <w:ind w:firstLine="480"/>
        <w:jc w:val="both"/>
        <w:rPr>
          <w:rFonts w:ascii="Times New Roman" w:hAnsi="Times New Roman" w:eastAsia="Times New Roman" w:cs="Times New Roman"/>
        </w:rPr>
      </w:pPr>
      <w:r>
        <w:rPr>
          <w:rFonts w:ascii="FangSong_GB2312" w:hAnsi="FangSong_GB2312" w:eastAsia="FangSong_GB2312" w:cs="FangSong_GB2312"/>
          <w:sz w:val="28"/>
          <w:szCs w:val="28"/>
        </w:rPr>
        <w:t>3.短信发送性能方面</w:t>
      </w:r>
    </w:p>
    <w:p w14:paraId="12751D65">
      <w:pPr>
        <w:pStyle w:val="93"/>
        <w:spacing w:before="0" w:after="0" w:line="360" w:lineRule="auto"/>
        <w:ind w:firstLine="480"/>
        <w:jc w:val="both"/>
        <w:rPr>
          <w:rFonts w:ascii="Times New Roman" w:hAnsi="Times New Roman" w:eastAsia="Times New Roman" w:cs="Times New Roman"/>
        </w:rPr>
      </w:pPr>
      <w:r>
        <w:rPr>
          <w:rFonts w:ascii="FangSong_GB2312" w:hAnsi="FangSong_GB2312" w:eastAsia="FangSong_GB2312" w:cs="FangSong_GB2312"/>
          <w:sz w:val="28"/>
          <w:szCs w:val="28"/>
        </w:rPr>
        <w:t>（1）支持长短信发送及定时发送功能。</w:t>
      </w:r>
    </w:p>
    <w:p w14:paraId="698A4633">
      <w:pPr>
        <w:pStyle w:val="93"/>
        <w:spacing w:before="0" w:after="0" w:line="360" w:lineRule="auto"/>
        <w:ind w:firstLine="480"/>
        <w:jc w:val="both"/>
        <w:rPr>
          <w:rFonts w:ascii="Times New Roman" w:hAnsi="Times New Roman" w:eastAsia="Times New Roman" w:cs="Times New Roman"/>
        </w:rPr>
      </w:pPr>
      <w:r>
        <w:rPr>
          <w:rFonts w:ascii="FangSong_GB2312" w:hAnsi="FangSong_GB2312" w:eastAsia="FangSong_GB2312" w:cs="FangSong_GB2312"/>
          <w:sz w:val="28"/>
          <w:szCs w:val="28"/>
        </w:rPr>
        <w:t>（2）支持在短信内容中添加因工作需要的短链接、固定号码及手机号码等要素，便于纳税人缴费人联系相关部门及查阅宣传辅导内容。</w:t>
      </w:r>
    </w:p>
    <w:p w14:paraId="481C06B2">
      <w:pPr>
        <w:pStyle w:val="93"/>
        <w:spacing w:before="0" w:after="0" w:line="360" w:lineRule="auto"/>
        <w:ind w:firstLine="480"/>
        <w:jc w:val="both"/>
        <w:rPr>
          <w:rFonts w:ascii="Times New Roman" w:hAnsi="Times New Roman" w:eastAsia="Times New Roman" w:cs="Times New Roman"/>
        </w:rPr>
      </w:pPr>
      <w:r>
        <w:rPr>
          <w:rFonts w:ascii="FangSong_GB2312" w:hAnsi="FangSong_GB2312" w:eastAsia="FangSong_GB2312" w:cs="FangSong_GB2312"/>
          <w:sz w:val="28"/>
          <w:szCs w:val="28"/>
        </w:rPr>
        <w:t>（3）支持短信发送请求在短时间内集中提交，应对高峰期突发业务流量时，不出现接口卡顿、请求超时或消息堆积问题。</w:t>
      </w:r>
    </w:p>
    <w:p w14:paraId="7DC08F85">
      <w:pPr>
        <w:pStyle w:val="93"/>
        <w:spacing w:before="0" w:after="0" w:line="360" w:lineRule="auto"/>
        <w:ind w:firstLine="480"/>
        <w:jc w:val="both"/>
        <w:rPr>
          <w:rFonts w:ascii="Times New Roman" w:hAnsi="Times New Roman" w:eastAsia="Times New Roman" w:cs="Times New Roman"/>
        </w:rPr>
      </w:pPr>
      <w:r>
        <w:rPr>
          <w:rFonts w:ascii="FangSong_GB2312" w:hAnsi="FangSong_GB2312" w:eastAsia="FangSong_GB2312" w:cs="FangSong_GB2312"/>
          <w:sz w:val="28"/>
          <w:szCs w:val="28"/>
        </w:rPr>
        <w:t>（4）提供信息审核服务，可以根据发送信息的关键字等条件进行审核、提示及过滤。</w:t>
      </w:r>
    </w:p>
    <w:p w14:paraId="02352192">
      <w:pPr>
        <w:pStyle w:val="93"/>
        <w:spacing w:before="0" w:after="0" w:line="360" w:lineRule="auto"/>
        <w:ind w:firstLine="480"/>
        <w:jc w:val="both"/>
        <w:rPr>
          <w:rFonts w:ascii="Times New Roman" w:hAnsi="Times New Roman" w:eastAsia="Times New Roman" w:cs="Times New Roman"/>
        </w:rPr>
      </w:pPr>
      <w:r>
        <w:rPr>
          <w:rFonts w:ascii="FangSong_GB2312" w:hAnsi="FangSong_GB2312" w:eastAsia="FangSong_GB2312" w:cs="FangSong_GB2312"/>
          <w:sz w:val="28"/>
          <w:szCs w:val="28"/>
        </w:rPr>
        <w:t>（5）中标人应对采购人发送的短信数据（包括发送对象及内容）实施保密管理，防止数据被窃取或数据损坏等，避免数据丢失。</w:t>
      </w:r>
    </w:p>
    <w:p w14:paraId="4C40DF89">
      <w:pPr>
        <w:pStyle w:val="93"/>
        <w:spacing w:before="0" w:after="0" w:line="360" w:lineRule="auto"/>
        <w:ind w:firstLine="480"/>
        <w:jc w:val="both"/>
        <w:rPr>
          <w:rFonts w:ascii="Times New Roman" w:hAnsi="Times New Roman" w:eastAsia="Times New Roman" w:cs="Times New Roman"/>
        </w:rPr>
      </w:pPr>
      <w:r>
        <w:rPr>
          <w:rFonts w:ascii="FangSong_GB2312" w:hAnsi="FangSong_GB2312" w:eastAsia="FangSong_GB2312" w:cs="FangSong_GB2312"/>
          <w:sz w:val="28"/>
          <w:szCs w:val="28"/>
        </w:rPr>
        <w:t>（6）支持发送带变量的短信模板，短信模板中的变量参数，平台自动组转成完整短信下发给目标号码。</w:t>
      </w:r>
    </w:p>
    <w:p w14:paraId="7A2289B9">
      <w:pPr>
        <w:pStyle w:val="93"/>
        <w:spacing w:before="0" w:after="0" w:line="360" w:lineRule="auto"/>
        <w:ind w:firstLine="480"/>
        <w:jc w:val="both"/>
        <w:rPr>
          <w:rFonts w:ascii="Times New Roman" w:hAnsi="Times New Roman" w:eastAsia="Times New Roman" w:cs="Times New Roman"/>
        </w:rPr>
      </w:pPr>
      <w:r>
        <w:rPr>
          <w:rFonts w:ascii="FangSong_GB2312" w:hAnsi="FangSong_GB2312" w:eastAsia="FangSong_GB2312" w:cs="FangSong_GB2312"/>
          <w:sz w:val="28"/>
          <w:szCs w:val="28"/>
        </w:rPr>
        <w:t>（二）短信平台功能需求</w:t>
      </w:r>
    </w:p>
    <w:p w14:paraId="587546F7">
      <w:pPr>
        <w:pStyle w:val="93"/>
        <w:spacing w:before="0" w:after="0" w:line="360" w:lineRule="auto"/>
        <w:ind w:firstLine="480"/>
        <w:jc w:val="both"/>
        <w:rPr>
          <w:rFonts w:ascii="Times New Roman" w:hAnsi="Times New Roman" w:eastAsia="Times New Roman" w:cs="Times New Roman"/>
        </w:rPr>
      </w:pPr>
      <w:r>
        <w:rPr>
          <w:rFonts w:ascii="FangSong_GB2312" w:hAnsi="FangSong_GB2312" w:eastAsia="FangSong_GB2312" w:cs="FangSong_GB2312"/>
          <w:sz w:val="28"/>
          <w:szCs w:val="28"/>
        </w:rPr>
        <w:t>1.平台登录及权限管理功能</w:t>
      </w:r>
    </w:p>
    <w:p w14:paraId="4CB9D3D0">
      <w:pPr>
        <w:pStyle w:val="93"/>
        <w:spacing w:before="0" w:after="0" w:line="360" w:lineRule="auto"/>
        <w:ind w:firstLine="480"/>
        <w:jc w:val="both"/>
        <w:rPr>
          <w:rFonts w:ascii="Times New Roman" w:hAnsi="Times New Roman" w:eastAsia="Times New Roman" w:cs="Times New Roman"/>
        </w:rPr>
      </w:pPr>
      <w:r>
        <w:rPr>
          <w:rFonts w:ascii="FangSong_GB2312" w:hAnsi="FangSong_GB2312" w:eastAsia="FangSong_GB2312" w:cs="FangSong_GB2312"/>
          <w:sz w:val="28"/>
          <w:szCs w:val="28"/>
        </w:rPr>
        <w:t>（1）为加强账号安全，防止短信被他人盗刷，各税费应用平台管理员账号登录除设置传统密码外，还应设置手机号码验证等更多安全登录方式，确保管理员登录的安全性和可靠性。</w:t>
      </w:r>
    </w:p>
    <w:p w14:paraId="24126F6C">
      <w:pPr>
        <w:pStyle w:val="93"/>
        <w:spacing w:before="0" w:after="0" w:line="360" w:lineRule="auto"/>
        <w:ind w:firstLine="480"/>
        <w:jc w:val="both"/>
        <w:rPr>
          <w:rFonts w:ascii="Times New Roman" w:hAnsi="Times New Roman" w:eastAsia="Times New Roman" w:cs="Times New Roman"/>
        </w:rPr>
      </w:pPr>
      <w:r>
        <w:rPr>
          <w:rFonts w:ascii="FangSong_GB2312" w:hAnsi="FangSong_GB2312" w:eastAsia="FangSong_GB2312" w:cs="FangSong_GB2312"/>
          <w:sz w:val="28"/>
          <w:szCs w:val="28"/>
        </w:rPr>
        <w:t>（2）支持设置多级短信平台用户，满足各税费应用平台的业务管理和维护功能。</w:t>
      </w:r>
    </w:p>
    <w:p w14:paraId="07EC11EF">
      <w:pPr>
        <w:pStyle w:val="93"/>
        <w:spacing w:before="0" w:after="0" w:line="360" w:lineRule="auto"/>
        <w:ind w:firstLine="480"/>
        <w:jc w:val="both"/>
        <w:rPr>
          <w:rFonts w:ascii="Times New Roman" w:hAnsi="Times New Roman" w:eastAsia="Times New Roman" w:cs="Times New Roman"/>
        </w:rPr>
      </w:pPr>
      <w:r>
        <w:rPr>
          <w:rFonts w:ascii="FangSong_GB2312" w:hAnsi="FangSong_GB2312" w:eastAsia="FangSong_GB2312" w:cs="FangSong_GB2312"/>
          <w:sz w:val="28"/>
          <w:szCs w:val="28"/>
        </w:rPr>
        <w:t>（3）广西壮族自治区税务局设置一个主账号，可以对各税费应用平台账号进行查询和权限管理，各账号可以实现独立发送、查询、统计等功能。</w:t>
      </w:r>
    </w:p>
    <w:p w14:paraId="25087C73">
      <w:pPr>
        <w:pStyle w:val="93"/>
        <w:spacing w:before="0" w:after="0" w:line="360" w:lineRule="auto"/>
        <w:ind w:firstLine="480"/>
        <w:jc w:val="both"/>
        <w:rPr>
          <w:rFonts w:ascii="Times New Roman" w:hAnsi="Times New Roman" w:eastAsia="Times New Roman" w:cs="Times New Roman"/>
        </w:rPr>
      </w:pPr>
      <w:r>
        <w:rPr>
          <w:rFonts w:ascii="FangSong_GB2312" w:hAnsi="FangSong_GB2312" w:eastAsia="FangSong_GB2312" w:cs="FangSong_GB2312"/>
          <w:sz w:val="28"/>
          <w:szCs w:val="28"/>
        </w:rPr>
        <w:t>2.短信发送管理功能</w:t>
      </w:r>
    </w:p>
    <w:p w14:paraId="27606CAF">
      <w:pPr>
        <w:pStyle w:val="93"/>
        <w:spacing w:before="0" w:after="0" w:line="360" w:lineRule="auto"/>
        <w:ind w:firstLine="480"/>
        <w:jc w:val="both"/>
        <w:rPr>
          <w:rFonts w:ascii="Times New Roman" w:hAnsi="Times New Roman" w:eastAsia="Times New Roman" w:cs="Times New Roman"/>
        </w:rPr>
      </w:pPr>
      <w:r>
        <w:rPr>
          <w:rFonts w:ascii="FangSong_GB2312" w:hAnsi="FangSong_GB2312" w:eastAsia="FangSong_GB2312" w:cs="FangSong_GB2312"/>
          <w:sz w:val="28"/>
          <w:szCs w:val="28"/>
        </w:rPr>
        <w:t>（1）短信发送号码支持手动输入、TXT及EXCEL等格式导入，实现重号及错号自动去除、短信签名可根据需要设置并显示。</w:t>
      </w:r>
    </w:p>
    <w:p w14:paraId="44102CE4">
      <w:pPr>
        <w:pStyle w:val="93"/>
        <w:spacing w:before="0" w:after="0" w:line="360" w:lineRule="auto"/>
        <w:ind w:firstLine="480"/>
        <w:jc w:val="both"/>
        <w:rPr>
          <w:rFonts w:ascii="Times New Roman" w:hAnsi="Times New Roman" w:eastAsia="Times New Roman" w:cs="Times New Roman"/>
        </w:rPr>
      </w:pPr>
      <w:r>
        <w:rPr>
          <w:rFonts w:ascii="FangSong_GB2312" w:hAnsi="FangSong_GB2312" w:eastAsia="FangSong_GB2312" w:cs="FangSong_GB2312"/>
          <w:sz w:val="28"/>
          <w:szCs w:val="28"/>
        </w:rPr>
        <w:t>（2）支持每一条短信发送详情（包括发送时间，到达时间，到达时长，发送状态，失败原因，发送内容，运营商等内容）查询、自定义筛选、汇总、导出EXCEL等功能。</w:t>
      </w:r>
    </w:p>
    <w:p w14:paraId="7AB401AC">
      <w:pPr>
        <w:pStyle w:val="93"/>
        <w:spacing w:before="0" w:after="0" w:line="360" w:lineRule="auto"/>
        <w:ind w:firstLine="480"/>
        <w:jc w:val="both"/>
        <w:rPr>
          <w:rFonts w:ascii="Times New Roman" w:hAnsi="Times New Roman" w:eastAsia="Times New Roman" w:cs="Times New Roman"/>
        </w:rPr>
      </w:pPr>
      <w:r>
        <w:rPr>
          <w:rFonts w:ascii="FangSong_GB2312" w:hAnsi="FangSong_GB2312" w:eastAsia="FangSong_GB2312" w:cs="FangSong_GB2312"/>
          <w:sz w:val="28"/>
          <w:szCs w:val="28"/>
        </w:rPr>
        <w:t>（3）支持批量短信发送报告导出（EXCEL格式），包括发送账号，发送对象，发送时间，发送状态，发送内容等信息。</w:t>
      </w:r>
    </w:p>
    <w:p w14:paraId="00C2A4BE">
      <w:pPr>
        <w:pStyle w:val="93"/>
        <w:spacing w:before="0" w:after="0" w:line="360" w:lineRule="auto"/>
        <w:ind w:firstLine="480"/>
        <w:jc w:val="both"/>
        <w:rPr>
          <w:rFonts w:ascii="Times New Roman" w:hAnsi="Times New Roman" w:eastAsia="Times New Roman" w:cs="Times New Roman"/>
        </w:rPr>
      </w:pPr>
      <w:r>
        <w:rPr>
          <w:rFonts w:ascii="FangSong_GB2312" w:hAnsi="FangSong_GB2312" w:eastAsia="FangSong_GB2312" w:cs="FangSong_GB2312"/>
          <w:sz w:val="28"/>
          <w:szCs w:val="28"/>
        </w:rPr>
        <w:t>3.短信发送统计功能</w:t>
      </w:r>
    </w:p>
    <w:p w14:paraId="7FCF1A08">
      <w:pPr>
        <w:pStyle w:val="93"/>
        <w:spacing w:before="0" w:after="0" w:line="360" w:lineRule="auto"/>
        <w:ind w:firstLine="480"/>
        <w:jc w:val="both"/>
        <w:rPr>
          <w:rFonts w:ascii="Times New Roman" w:hAnsi="Times New Roman" w:eastAsia="Times New Roman" w:cs="Times New Roman"/>
        </w:rPr>
      </w:pPr>
      <w:r>
        <w:rPr>
          <w:rFonts w:ascii="FangSong_GB2312" w:hAnsi="FangSong_GB2312" w:eastAsia="FangSong_GB2312" w:cs="FangSong_GB2312"/>
          <w:sz w:val="28"/>
          <w:szCs w:val="28"/>
        </w:rPr>
        <w:t>（1）支持通过账号、日期时段、短信内容、运营商等条件统计短信发送情况。统计维度包括但不限于：发送总量，发送成功量，发送成功率，发送时间及费用统计等。</w:t>
      </w:r>
    </w:p>
    <w:p w14:paraId="62A7C4AA">
      <w:pPr>
        <w:pStyle w:val="93"/>
        <w:spacing w:before="0" w:after="0" w:line="360" w:lineRule="auto"/>
        <w:ind w:firstLine="480"/>
        <w:jc w:val="both"/>
        <w:rPr>
          <w:rFonts w:ascii="Times New Roman" w:hAnsi="Times New Roman" w:eastAsia="Times New Roman" w:cs="Times New Roman"/>
        </w:rPr>
      </w:pPr>
      <w:r>
        <w:rPr>
          <w:rFonts w:ascii="FangSong_GB2312" w:hAnsi="FangSong_GB2312" w:eastAsia="FangSong_GB2312" w:cs="FangSong_GB2312"/>
          <w:sz w:val="28"/>
          <w:szCs w:val="28"/>
        </w:rPr>
        <w:t>（2）主账号可以查询、统计全账号数据。查询、统计菜单框架需按照各业务系统罗列。每级菜单均可显示对应所属业务系统的统计维度。</w:t>
      </w:r>
    </w:p>
    <w:p w14:paraId="4795D887">
      <w:pPr>
        <w:pStyle w:val="93"/>
        <w:spacing w:before="0" w:after="0" w:line="360" w:lineRule="auto"/>
        <w:ind w:firstLine="480"/>
        <w:jc w:val="both"/>
        <w:rPr>
          <w:rFonts w:ascii="Times New Roman" w:hAnsi="Times New Roman" w:eastAsia="Times New Roman" w:cs="Times New Roman"/>
        </w:rPr>
      </w:pPr>
      <w:r>
        <w:rPr>
          <w:rFonts w:ascii="FangSong_GB2312" w:hAnsi="FangSong_GB2312" w:eastAsia="FangSong_GB2312" w:cs="FangSong_GB2312"/>
          <w:sz w:val="28"/>
          <w:szCs w:val="28"/>
        </w:rPr>
        <w:t>（3）中标人应于10分钟内响应采购人短信发送数据统计的需求，并建立短信发送统计数据库，以及时提供采购人所需要的相关数据。</w:t>
      </w:r>
    </w:p>
    <w:p w14:paraId="3A1EDF55">
      <w:pPr>
        <w:pStyle w:val="93"/>
        <w:spacing w:before="0" w:after="0" w:line="360" w:lineRule="auto"/>
        <w:ind w:firstLine="480"/>
        <w:jc w:val="both"/>
        <w:rPr>
          <w:rFonts w:ascii="Times New Roman" w:hAnsi="Times New Roman" w:eastAsia="Times New Roman" w:cs="Times New Roman"/>
        </w:rPr>
      </w:pPr>
      <w:r>
        <w:rPr>
          <w:rFonts w:ascii="FangSong_GB2312" w:hAnsi="FangSong_GB2312" w:eastAsia="FangSong_GB2312" w:cs="FangSong_GB2312"/>
          <w:sz w:val="28"/>
          <w:szCs w:val="28"/>
        </w:rPr>
        <w:t>4.短信发送实时监控功能</w:t>
      </w:r>
    </w:p>
    <w:p w14:paraId="521818F7">
      <w:pPr>
        <w:pStyle w:val="93"/>
        <w:spacing w:before="0" w:after="0" w:line="360" w:lineRule="auto"/>
        <w:ind w:firstLine="480"/>
        <w:jc w:val="both"/>
        <w:rPr>
          <w:rFonts w:ascii="Times New Roman" w:hAnsi="Times New Roman" w:eastAsia="Times New Roman" w:cs="Times New Roman"/>
        </w:rPr>
      </w:pPr>
      <w:r>
        <w:rPr>
          <w:rFonts w:ascii="FangSong_GB2312" w:hAnsi="FangSong_GB2312" w:eastAsia="FangSong_GB2312" w:cs="FangSong_GB2312"/>
          <w:sz w:val="28"/>
          <w:szCs w:val="28"/>
        </w:rPr>
        <w:t>（1）实时监控短信发送时长：</w:t>
      </w:r>
    </w:p>
    <w:p w14:paraId="6782DAF8">
      <w:pPr>
        <w:pStyle w:val="93"/>
        <w:spacing w:before="0" w:after="0" w:line="360" w:lineRule="auto"/>
        <w:ind w:firstLine="480"/>
        <w:jc w:val="both"/>
        <w:rPr>
          <w:rFonts w:ascii="Times New Roman" w:hAnsi="Times New Roman" w:eastAsia="Times New Roman" w:cs="Times New Roman"/>
        </w:rPr>
      </w:pPr>
      <w:r>
        <w:rPr>
          <w:rFonts w:ascii="FangSong_GB2312" w:hAnsi="FangSong_GB2312" w:eastAsia="FangSong_GB2312" w:cs="FangSong_GB2312"/>
          <w:sz w:val="28"/>
          <w:szCs w:val="28"/>
        </w:rPr>
        <w:t>①群发类短信：每千条达到纳税人、缴费人手机终端保持在1-10秒该批次发送记录显示正常，10秒以上则标黄显示，同时需显示该批次整体发送成功率。</w:t>
      </w:r>
    </w:p>
    <w:p w14:paraId="503F972A">
      <w:pPr>
        <w:pStyle w:val="93"/>
        <w:spacing w:before="0" w:after="0" w:line="360" w:lineRule="auto"/>
        <w:ind w:firstLine="480"/>
        <w:jc w:val="both"/>
        <w:rPr>
          <w:rFonts w:ascii="Times New Roman" w:hAnsi="Times New Roman" w:eastAsia="Times New Roman" w:cs="Times New Roman"/>
        </w:rPr>
      </w:pPr>
      <w:r>
        <w:rPr>
          <w:rFonts w:ascii="FangSong_GB2312" w:hAnsi="FangSong_GB2312" w:eastAsia="FangSong_GB2312" w:cs="FangSong_GB2312"/>
          <w:sz w:val="28"/>
          <w:szCs w:val="28"/>
        </w:rPr>
        <w:t>②触发类短信：每条到达纳税人、缴费人手机终端1-10秒该条发送记录正常显示，10-20秒标黄显示，20秒以上标橙提醒，发送失败标红提醒。</w:t>
      </w:r>
    </w:p>
    <w:p w14:paraId="09635CE0">
      <w:pPr>
        <w:pStyle w:val="93"/>
        <w:spacing w:before="0" w:after="0" w:line="360" w:lineRule="auto"/>
        <w:ind w:firstLine="480"/>
        <w:jc w:val="both"/>
        <w:rPr>
          <w:rFonts w:ascii="Times New Roman" w:hAnsi="Times New Roman" w:eastAsia="Times New Roman" w:cs="Times New Roman"/>
        </w:rPr>
      </w:pPr>
      <w:r>
        <w:rPr>
          <w:rFonts w:ascii="FangSong_GB2312" w:hAnsi="FangSong_GB2312" w:eastAsia="FangSong_GB2312" w:cs="FangSong_GB2312"/>
          <w:sz w:val="28"/>
          <w:szCs w:val="28"/>
        </w:rPr>
        <w:t>（2）触发类短信发送情况实时数据显示功能。包括但不限于发送总量，10秒内到达量，10-20秒到达量，20秒以上到达量，发送失败量等。</w:t>
      </w:r>
    </w:p>
    <w:p w14:paraId="1B9C49DE">
      <w:pPr>
        <w:pStyle w:val="93"/>
        <w:spacing w:before="0" w:after="0" w:line="360" w:lineRule="auto"/>
        <w:ind w:firstLine="480"/>
        <w:jc w:val="both"/>
        <w:rPr>
          <w:rFonts w:ascii="Times New Roman" w:hAnsi="Times New Roman" w:eastAsia="Times New Roman" w:cs="Times New Roman"/>
        </w:rPr>
      </w:pPr>
      <w:r>
        <w:rPr>
          <w:rFonts w:ascii="FangSong_GB2312" w:hAnsi="FangSong_GB2312" w:eastAsia="FangSong_GB2312" w:cs="FangSong_GB2312"/>
          <w:sz w:val="28"/>
          <w:szCs w:val="28"/>
        </w:rPr>
        <w:t>5.短信发送安全管理功能</w:t>
      </w:r>
    </w:p>
    <w:p w14:paraId="30FF153D">
      <w:pPr>
        <w:pStyle w:val="93"/>
        <w:spacing w:before="0" w:after="0" w:line="360" w:lineRule="auto"/>
        <w:ind w:firstLine="480"/>
        <w:jc w:val="both"/>
        <w:rPr>
          <w:rFonts w:ascii="Times New Roman" w:hAnsi="Times New Roman" w:eastAsia="Times New Roman" w:cs="Times New Roman"/>
        </w:rPr>
      </w:pPr>
      <w:r>
        <w:rPr>
          <w:rFonts w:ascii="FangSong_GB2312" w:hAnsi="FangSong_GB2312" w:eastAsia="FangSong_GB2312" w:cs="FangSong_GB2312"/>
          <w:sz w:val="28"/>
          <w:szCs w:val="28"/>
        </w:rPr>
        <w:t>（1）采购人设置的固定签名不可去除，中标人不可擅自使用、修改固定签名，不可将采购人签名信息用于其他用途。</w:t>
      </w:r>
    </w:p>
    <w:p w14:paraId="7ECE438B">
      <w:pPr>
        <w:pStyle w:val="93"/>
        <w:spacing w:before="0" w:after="0" w:line="360" w:lineRule="auto"/>
        <w:ind w:firstLine="480"/>
        <w:jc w:val="both"/>
        <w:rPr>
          <w:rFonts w:ascii="Times New Roman" w:hAnsi="Times New Roman" w:eastAsia="Times New Roman" w:cs="Times New Roman"/>
        </w:rPr>
      </w:pPr>
      <w:r>
        <w:rPr>
          <w:rFonts w:ascii="FangSong_GB2312" w:hAnsi="FangSong_GB2312" w:eastAsia="FangSong_GB2312" w:cs="FangSong_GB2312"/>
          <w:sz w:val="28"/>
          <w:szCs w:val="28"/>
        </w:rPr>
        <w:t>（2）短信平台应支持敏感词设置、敏感词过滤，自动同步更新敏感词库。如发送内容含有敏感词的短信，由短信平台进行发送拦截。</w:t>
      </w:r>
    </w:p>
    <w:p w14:paraId="62D18D75">
      <w:pPr>
        <w:pStyle w:val="93"/>
        <w:spacing w:before="0" w:after="0" w:line="360" w:lineRule="auto"/>
        <w:ind w:firstLine="480"/>
        <w:jc w:val="both"/>
        <w:rPr>
          <w:rFonts w:ascii="Times New Roman" w:hAnsi="Times New Roman" w:eastAsia="Times New Roman" w:cs="Times New Roman"/>
        </w:rPr>
      </w:pPr>
      <w:r>
        <w:rPr>
          <w:rFonts w:ascii="FangSong_GB2312" w:hAnsi="FangSong_GB2312" w:eastAsia="FangSong_GB2312" w:cs="FangSong_GB2312"/>
          <w:sz w:val="28"/>
          <w:szCs w:val="28"/>
        </w:rPr>
        <w:t>（3）中标人应对所提供短信平台系统的安全性负责，如防止短信平台系统遭恶意攻击停止运行、被动发放未经审核的短信内容及避免短信发送内容被恶意篡改等。</w:t>
      </w:r>
    </w:p>
    <w:p w14:paraId="483EB852">
      <w:pPr>
        <w:pStyle w:val="93"/>
        <w:spacing w:before="0" w:after="0" w:line="360" w:lineRule="auto"/>
        <w:ind w:firstLine="480"/>
        <w:jc w:val="both"/>
        <w:rPr>
          <w:rFonts w:ascii="Times New Roman" w:hAnsi="Times New Roman" w:eastAsia="Times New Roman" w:cs="Times New Roman"/>
        </w:rPr>
      </w:pPr>
      <w:r>
        <w:rPr>
          <w:rFonts w:ascii="FangSong_GB2312" w:hAnsi="FangSong_GB2312" w:eastAsia="FangSong_GB2312" w:cs="FangSong_GB2312"/>
          <w:sz w:val="28"/>
          <w:szCs w:val="28"/>
        </w:rPr>
        <w:t>（4）中标人提供短信平台系统应支持查重、去重及无效号码去除、提醒等服务。支持发送失败号码重发。</w:t>
      </w:r>
    </w:p>
    <w:p w14:paraId="218FA5DE">
      <w:pPr>
        <w:pStyle w:val="90"/>
        <w:keepNext w:val="0"/>
        <w:spacing w:before="0" w:after="0" w:line="360" w:lineRule="auto"/>
        <w:jc w:val="center"/>
        <w:rPr>
          <w:rFonts w:ascii="仿宋_GB2312" w:hAnsi="仿宋_GB2312" w:eastAsia="仿宋_GB2312" w:cs="仿宋_GB2312"/>
          <w:b/>
          <w:bCs/>
          <w:sz w:val="32"/>
          <w:szCs w:val="32"/>
        </w:rPr>
      </w:pPr>
      <w:bookmarkStart w:id="25" w:name="_Toc256000024"/>
      <w:r>
        <w:rPr>
          <w:rFonts w:ascii="仿宋_GB2312" w:hAnsi="仿宋_GB2312" w:eastAsia="仿宋_GB2312" w:cs="仿宋_GB2312"/>
          <w:kern w:val="36"/>
        </w:rPr>
        <w:t>4人员要求</w:t>
      </w:r>
      <w:bookmarkEnd w:id="25"/>
    </w:p>
    <w:p w14:paraId="1A2B52E9">
      <w:pPr>
        <w:pStyle w:val="91"/>
        <w:keepNext w:val="0"/>
        <w:spacing w:before="0" w:after="0" w:line="360" w:lineRule="auto"/>
        <w:rPr>
          <w:rFonts w:ascii="仿宋_GB2312" w:hAnsi="仿宋_GB2312" w:eastAsia="仿宋_GB2312" w:cs="仿宋_GB2312"/>
          <w:b/>
          <w:bCs/>
          <w:sz w:val="28"/>
          <w:szCs w:val="28"/>
        </w:rPr>
      </w:pPr>
      <w:bookmarkStart w:id="26" w:name="_Toc256000025"/>
      <w:r>
        <w:rPr>
          <w:rFonts w:ascii="仿宋_GB2312" w:hAnsi="仿宋_GB2312" w:eastAsia="仿宋_GB2312" w:cs="仿宋_GB2312"/>
          <w:i w:val="0"/>
          <w:iCs w:val="0"/>
        </w:rPr>
        <w:t>4.1总体要求</w:t>
      </w:r>
      <w:bookmarkEnd w:id="26"/>
    </w:p>
    <w:p w14:paraId="051A9AA2">
      <w:pPr>
        <w:pStyle w:val="95"/>
        <w:spacing w:before="0" w:after="0" w:line="360" w:lineRule="auto"/>
        <w:ind w:firstLine="480"/>
        <w:jc w:val="both"/>
        <w:rPr>
          <w:rFonts w:ascii="Times New Roman" w:hAnsi="Times New Roman" w:eastAsia="Times New Roman" w:cs="Times New Roman"/>
        </w:rPr>
      </w:pPr>
      <w:r>
        <w:rPr>
          <w:rFonts w:ascii="FangSong_GB2312" w:hAnsi="FangSong_GB2312" w:eastAsia="FangSong_GB2312" w:cs="FangSong_GB2312"/>
          <w:sz w:val="28"/>
          <w:szCs w:val="28"/>
        </w:rPr>
        <w:t>投标人需提供不少于3人的技术支撑人员，并在投标文件中提供与其签订的劳动合同复印件。出现重大故障或重大任务需要现场保障时，技术支撑人员能在30分钟内抵达现场。</w:t>
      </w:r>
    </w:p>
    <w:p w14:paraId="4623344A">
      <w:pPr>
        <w:pStyle w:val="91"/>
        <w:keepNext w:val="0"/>
        <w:spacing w:before="0" w:after="0" w:line="360" w:lineRule="auto"/>
        <w:rPr>
          <w:rFonts w:ascii="仿宋_GB2312" w:hAnsi="仿宋_GB2312" w:eastAsia="仿宋_GB2312" w:cs="仿宋_GB2312"/>
          <w:b/>
          <w:bCs/>
          <w:sz w:val="28"/>
          <w:szCs w:val="28"/>
        </w:rPr>
      </w:pPr>
      <w:bookmarkStart w:id="27" w:name="_Toc256000026"/>
      <w:r>
        <w:rPr>
          <w:rFonts w:ascii="仿宋_GB2312" w:hAnsi="仿宋_GB2312" w:eastAsia="仿宋_GB2312" w:cs="仿宋_GB2312"/>
          <w:i w:val="0"/>
          <w:iCs w:val="0"/>
        </w:rPr>
        <w:t>4.2管理团队</w:t>
      </w:r>
      <w:bookmarkEnd w:id="27"/>
    </w:p>
    <w:p w14:paraId="42F05FF5">
      <w:pPr>
        <w:pStyle w:val="92"/>
        <w:keepNext w:val="0"/>
        <w:spacing w:before="0" w:after="0" w:line="360" w:lineRule="auto"/>
        <w:rPr>
          <w:rFonts w:ascii="仿宋_GB2312" w:hAnsi="仿宋_GB2312" w:eastAsia="仿宋_GB2312" w:cs="仿宋_GB2312"/>
          <w:b/>
          <w:bCs/>
          <w:sz w:val="28"/>
          <w:szCs w:val="28"/>
        </w:rPr>
      </w:pPr>
      <w:bookmarkStart w:id="28" w:name="_Toc256000027"/>
      <w:r>
        <w:rPr>
          <w:rFonts w:ascii="仿宋_GB2312" w:hAnsi="仿宋_GB2312" w:eastAsia="仿宋_GB2312" w:cs="仿宋_GB2312"/>
          <w:sz w:val="28"/>
          <w:szCs w:val="28"/>
        </w:rPr>
        <w:t>4.2.1项目经理</w:t>
      </w:r>
      <w:bookmarkEnd w:id="28"/>
    </w:p>
    <w:p w14:paraId="26D9E191">
      <w:pPr>
        <w:pStyle w:val="95"/>
        <w:spacing w:before="0" w:after="0" w:line="360" w:lineRule="auto"/>
        <w:ind w:firstLine="480"/>
        <w:jc w:val="both"/>
        <w:rPr>
          <w:rFonts w:ascii="Times New Roman" w:hAnsi="Times New Roman" w:eastAsia="Times New Roman" w:cs="Times New Roman"/>
        </w:rPr>
      </w:pPr>
      <w:r>
        <w:rPr>
          <w:rFonts w:ascii="FangSong_GB2312" w:hAnsi="FangSong_GB2312" w:eastAsia="FangSong_GB2312" w:cs="FangSong_GB2312"/>
          <w:sz w:val="28"/>
          <w:szCs w:val="28"/>
        </w:rPr>
        <w:t>无。</w:t>
      </w:r>
    </w:p>
    <w:p w14:paraId="69260876">
      <w:pPr>
        <w:pStyle w:val="91"/>
        <w:keepNext w:val="0"/>
        <w:spacing w:before="0" w:after="0" w:line="360" w:lineRule="auto"/>
        <w:rPr>
          <w:rFonts w:ascii="仿宋_GB2312" w:hAnsi="仿宋_GB2312" w:eastAsia="仿宋_GB2312" w:cs="仿宋_GB2312"/>
          <w:b/>
          <w:bCs/>
          <w:sz w:val="28"/>
          <w:szCs w:val="28"/>
        </w:rPr>
      </w:pPr>
      <w:bookmarkStart w:id="29" w:name="_Toc256000028"/>
      <w:r>
        <w:rPr>
          <w:rFonts w:ascii="仿宋_GB2312" w:hAnsi="仿宋_GB2312" w:eastAsia="仿宋_GB2312" w:cs="仿宋_GB2312"/>
          <w:i w:val="0"/>
          <w:iCs w:val="0"/>
        </w:rPr>
        <w:t>4.3技术团队</w:t>
      </w:r>
      <w:bookmarkEnd w:id="29"/>
    </w:p>
    <w:p w14:paraId="1E9DD355">
      <w:pPr>
        <w:pStyle w:val="93"/>
        <w:spacing w:before="0" w:after="0" w:line="360" w:lineRule="auto"/>
        <w:ind w:firstLine="480"/>
        <w:jc w:val="both"/>
        <w:rPr>
          <w:rFonts w:ascii="Times New Roman" w:hAnsi="Times New Roman" w:eastAsia="Times New Roman" w:cs="Times New Roman"/>
        </w:rPr>
      </w:pPr>
      <w:r>
        <w:rPr>
          <w:rFonts w:ascii="FangSong_GB2312" w:hAnsi="FangSong_GB2312" w:eastAsia="FangSong_GB2312" w:cs="FangSong_GB2312"/>
          <w:sz w:val="28"/>
          <w:szCs w:val="28"/>
        </w:rPr>
        <w:t>投标人需提供不少于3人的技术支撑人员，并在投标文件中提供与其签订的劳动合同复印件。出现重大故障或重大任务需要现场保障时，技术支撑人员能在30分钟内抵达现场。技术支撑人员学历为本科及以上，具有二年以上同类项目技术支撑服务经验，专业为计算机类专业；具有计算机技术与软件专业技术资格中级以上证书优先。</w:t>
      </w:r>
    </w:p>
    <w:p w14:paraId="6BF1EA4E">
      <w:pPr>
        <w:pStyle w:val="91"/>
        <w:keepNext w:val="0"/>
        <w:spacing w:before="0" w:after="0" w:line="360" w:lineRule="auto"/>
        <w:rPr>
          <w:rFonts w:ascii="仿宋_GB2312" w:hAnsi="仿宋_GB2312" w:eastAsia="仿宋_GB2312" w:cs="仿宋_GB2312"/>
          <w:b/>
          <w:bCs/>
          <w:sz w:val="28"/>
          <w:szCs w:val="28"/>
        </w:rPr>
      </w:pPr>
      <w:bookmarkStart w:id="30" w:name="_Toc256000029"/>
      <w:r>
        <w:rPr>
          <w:rFonts w:ascii="仿宋_GB2312" w:hAnsi="仿宋_GB2312" w:eastAsia="仿宋_GB2312" w:cs="仿宋_GB2312"/>
          <w:i w:val="0"/>
          <w:iCs w:val="0"/>
        </w:rPr>
        <w:t>4.4优选资质/优选指标</w:t>
      </w:r>
      <w:bookmarkEnd w:id="30"/>
    </w:p>
    <w:p w14:paraId="5F6813F4">
      <w:pPr>
        <w:pStyle w:val="90"/>
        <w:keepNext w:val="0"/>
        <w:spacing w:before="0" w:after="0" w:line="360" w:lineRule="auto"/>
        <w:jc w:val="center"/>
        <w:rPr>
          <w:rFonts w:ascii="仿宋_GB2312" w:hAnsi="仿宋_GB2312" w:eastAsia="仿宋_GB2312" w:cs="仿宋_GB2312"/>
          <w:b/>
          <w:bCs/>
          <w:sz w:val="32"/>
          <w:szCs w:val="32"/>
        </w:rPr>
      </w:pPr>
      <w:bookmarkStart w:id="31" w:name="_Toc256000030"/>
      <w:r>
        <w:rPr>
          <w:rFonts w:ascii="仿宋_GB2312" w:hAnsi="仿宋_GB2312" w:eastAsia="仿宋_GB2312" w:cs="仿宋_GB2312"/>
          <w:kern w:val="36"/>
        </w:rPr>
        <w:t>5管理实施要求</w:t>
      </w:r>
      <w:bookmarkEnd w:id="31"/>
    </w:p>
    <w:p w14:paraId="30E6CD38">
      <w:pPr>
        <w:pStyle w:val="93"/>
        <w:spacing w:before="0" w:after="0" w:line="360" w:lineRule="auto"/>
        <w:ind w:firstLine="480"/>
        <w:jc w:val="both"/>
        <w:rPr>
          <w:rFonts w:ascii="Times New Roman" w:hAnsi="Times New Roman" w:eastAsia="Times New Roman" w:cs="Times New Roman"/>
        </w:rPr>
      </w:pPr>
      <w:r>
        <w:rPr>
          <w:rFonts w:ascii="FangSong_GB2312" w:hAnsi="FangSong_GB2312" w:eastAsia="FangSong_GB2312" w:cs="FangSong_GB2312"/>
          <w:sz w:val="28"/>
          <w:szCs w:val="28"/>
        </w:rPr>
        <w:t>1.在短信平台与各税费应用平台对接过程中，能有效保障既有短信服务不中断；对接过程、调试过程、割接过程、测试过程不能对生产系统产生影响。</w:t>
      </w:r>
    </w:p>
    <w:p w14:paraId="55D06F04">
      <w:pPr>
        <w:pStyle w:val="93"/>
        <w:spacing w:before="0" w:after="0" w:line="360" w:lineRule="auto"/>
        <w:ind w:firstLine="480"/>
        <w:jc w:val="both"/>
        <w:rPr>
          <w:rFonts w:ascii="Times New Roman" w:hAnsi="Times New Roman" w:eastAsia="Times New Roman" w:cs="Times New Roman"/>
        </w:rPr>
      </w:pPr>
      <w:r>
        <w:rPr>
          <w:rFonts w:ascii="FangSong_GB2312" w:hAnsi="FangSong_GB2312" w:eastAsia="FangSong_GB2312" w:cs="FangSong_GB2312"/>
          <w:sz w:val="28"/>
          <w:szCs w:val="28"/>
        </w:rPr>
        <w:t>2.短信平台与采购人各类平台对接时，应确保连接安全，在税务网络内部署时需满足税务系统安全审核要求。</w:t>
      </w:r>
    </w:p>
    <w:p w14:paraId="1E95271E">
      <w:pPr>
        <w:pStyle w:val="93"/>
        <w:spacing w:before="0" w:after="0" w:line="360" w:lineRule="auto"/>
        <w:ind w:firstLine="480"/>
        <w:jc w:val="both"/>
        <w:rPr>
          <w:rFonts w:ascii="Times New Roman" w:hAnsi="Times New Roman" w:eastAsia="Times New Roman" w:cs="Times New Roman"/>
        </w:rPr>
      </w:pPr>
      <w:r>
        <w:rPr>
          <w:rFonts w:ascii="FangSong_GB2312" w:hAnsi="FangSong_GB2312" w:eastAsia="FangSong_GB2312" w:cs="FangSong_GB2312"/>
          <w:sz w:val="28"/>
          <w:szCs w:val="28"/>
        </w:rPr>
        <w:t>3.每季度前10天内向采购人提供上个季度短信发送报告，报告内容包括但不限于发送总量，发送成功量，发送失败数量，发送成功率，发送失败原因，短信平台故障问题及问题解决方法等。</w:t>
      </w:r>
    </w:p>
    <w:p w14:paraId="38F7E678">
      <w:pPr>
        <w:pStyle w:val="93"/>
        <w:spacing w:before="0" w:after="0" w:line="360" w:lineRule="auto"/>
        <w:ind w:firstLine="480"/>
        <w:jc w:val="both"/>
        <w:rPr>
          <w:rFonts w:ascii="Times New Roman" w:hAnsi="Times New Roman" w:eastAsia="Times New Roman" w:cs="Times New Roman"/>
        </w:rPr>
      </w:pPr>
      <w:r>
        <w:rPr>
          <w:rFonts w:ascii="FangSong_GB2312" w:hAnsi="FangSong_GB2312" w:eastAsia="FangSong_GB2312" w:cs="FangSong_GB2312"/>
          <w:sz w:val="28"/>
          <w:szCs w:val="28"/>
        </w:rPr>
        <w:t>4.投标人需提供不少于3人的技术支撑人员，并在投标文件中提供与其签订的劳动合同复印件。出现重大故障或重大任务需要现场保障时，技术支撑人员能在30分钟内抵达现场。技术支撑人员主要负责以下几方面工作：</w:t>
      </w:r>
    </w:p>
    <w:p w14:paraId="00F2331E">
      <w:pPr>
        <w:pStyle w:val="93"/>
        <w:spacing w:before="0" w:after="0" w:line="360" w:lineRule="auto"/>
        <w:ind w:firstLine="480"/>
        <w:jc w:val="both"/>
        <w:rPr>
          <w:rFonts w:ascii="Times New Roman" w:hAnsi="Times New Roman" w:eastAsia="Times New Roman" w:cs="Times New Roman"/>
        </w:rPr>
      </w:pPr>
      <w:r>
        <w:rPr>
          <w:rFonts w:ascii="FangSong_GB2312" w:hAnsi="FangSong_GB2312" w:eastAsia="FangSong_GB2312" w:cs="FangSong_GB2312"/>
          <w:sz w:val="28"/>
          <w:szCs w:val="28"/>
        </w:rPr>
        <w:t>（1）日常运维：包括短信平台的日常巡检，平台稳定性及故障监控，短信发送质量监测及问题处理，根据采购人需求完善平台功能、解决平台使用问题等。</w:t>
      </w:r>
    </w:p>
    <w:p w14:paraId="1DAEB299">
      <w:pPr>
        <w:pStyle w:val="93"/>
        <w:spacing w:before="0" w:after="0" w:line="360" w:lineRule="auto"/>
        <w:ind w:firstLine="480"/>
        <w:jc w:val="both"/>
        <w:rPr>
          <w:rFonts w:ascii="Times New Roman" w:hAnsi="Times New Roman" w:eastAsia="Times New Roman" w:cs="Times New Roman"/>
        </w:rPr>
      </w:pPr>
      <w:r>
        <w:rPr>
          <w:rFonts w:ascii="FangSong_GB2312" w:hAnsi="FangSong_GB2312" w:eastAsia="FangSong_GB2312" w:cs="FangSong_GB2312"/>
          <w:sz w:val="28"/>
          <w:szCs w:val="28"/>
        </w:rPr>
        <w:t>（2）售后服务：包括短信发送数据的统计、分析、备份和恢复，与广西税务系统的安全对接以及根据需要进行补丁升级、数据安全管理等。</w:t>
      </w:r>
    </w:p>
    <w:p w14:paraId="6904DF9E">
      <w:pPr>
        <w:pStyle w:val="93"/>
        <w:spacing w:before="0" w:after="0" w:line="360" w:lineRule="auto"/>
        <w:ind w:firstLine="480"/>
        <w:jc w:val="both"/>
        <w:rPr>
          <w:rFonts w:ascii="Times New Roman" w:hAnsi="Times New Roman" w:eastAsia="Times New Roman" w:cs="Times New Roman"/>
        </w:rPr>
      </w:pPr>
      <w:r>
        <w:rPr>
          <w:rFonts w:ascii="FangSong_GB2312" w:hAnsi="FangSong_GB2312" w:eastAsia="FangSong_GB2312" w:cs="FangSong_GB2312"/>
          <w:sz w:val="28"/>
          <w:szCs w:val="28"/>
        </w:rPr>
        <w:t>（3）故障排查处理：包括制定故障应急方案，含排查处理流程、时间要求及应急措施；及时明确故障产生原因、制定故障处理方案及进行故障修复；故障解决后向采购人提供防止类似故障再次发生的解决方案等。</w:t>
      </w:r>
    </w:p>
    <w:p w14:paraId="11755D21">
      <w:pPr>
        <w:pStyle w:val="93"/>
        <w:spacing w:before="0" w:after="0" w:line="360" w:lineRule="auto"/>
        <w:ind w:firstLine="480"/>
        <w:jc w:val="both"/>
        <w:rPr>
          <w:rFonts w:ascii="Times New Roman" w:hAnsi="Times New Roman" w:eastAsia="Times New Roman" w:cs="Times New Roman"/>
        </w:rPr>
      </w:pPr>
      <w:r>
        <w:rPr>
          <w:rFonts w:ascii="FangSong_GB2312" w:hAnsi="FangSong_GB2312" w:eastAsia="FangSong_GB2312" w:cs="FangSong_GB2312"/>
          <w:sz w:val="28"/>
          <w:szCs w:val="28"/>
        </w:rPr>
        <w:t>（4）与运营商沟通：包括与运营商短信发送通道的顺利对接，协调解决短信发送质量降低、发送通道不畅及网间通信不佳的问题等。</w:t>
      </w:r>
    </w:p>
    <w:p w14:paraId="09D4E13B">
      <w:pPr>
        <w:pStyle w:val="90"/>
        <w:keepNext w:val="0"/>
        <w:spacing w:before="0" w:after="0" w:line="360" w:lineRule="auto"/>
        <w:jc w:val="center"/>
        <w:rPr>
          <w:rFonts w:ascii="仿宋_GB2312" w:hAnsi="仿宋_GB2312" w:eastAsia="仿宋_GB2312" w:cs="仿宋_GB2312"/>
          <w:b/>
          <w:bCs/>
          <w:sz w:val="32"/>
          <w:szCs w:val="32"/>
        </w:rPr>
      </w:pPr>
      <w:bookmarkStart w:id="32" w:name="_Toc256000031"/>
      <w:r>
        <w:rPr>
          <w:rFonts w:ascii="仿宋_GB2312" w:hAnsi="仿宋_GB2312" w:eastAsia="仿宋_GB2312" w:cs="仿宋_GB2312"/>
          <w:kern w:val="36"/>
        </w:rPr>
        <w:t>6风险管控要求</w:t>
      </w:r>
      <w:bookmarkEnd w:id="32"/>
    </w:p>
    <w:p w14:paraId="67FE4386">
      <w:pPr>
        <w:pStyle w:val="93"/>
        <w:spacing w:before="0" w:after="0" w:line="360" w:lineRule="auto"/>
        <w:ind w:firstLine="480"/>
        <w:jc w:val="both"/>
        <w:rPr>
          <w:rFonts w:ascii="Times New Roman" w:hAnsi="Times New Roman" w:eastAsia="Times New Roman" w:cs="Times New Roman"/>
        </w:rPr>
      </w:pPr>
      <w:r>
        <w:rPr>
          <w:rFonts w:ascii="FangSong_GB2312" w:hAnsi="FangSong_GB2312" w:eastAsia="FangSong_GB2312" w:cs="FangSong_GB2312"/>
          <w:sz w:val="28"/>
          <w:szCs w:val="28"/>
        </w:rPr>
        <w:t>1.在短信平台与各税费应用平台对接过程中，能有效保障既有短信服务不中断；对接过程、调试过程、割接过程、测试过程不能对生产系统产生影响。</w:t>
      </w:r>
    </w:p>
    <w:p w14:paraId="77972EBB">
      <w:pPr>
        <w:pStyle w:val="93"/>
        <w:spacing w:before="0" w:after="0" w:line="360" w:lineRule="auto"/>
        <w:ind w:firstLine="480"/>
        <w:jc w:val="both"/>
        <w:rPr>
          <w:rFonts w:ascii="Times New Roman" w:hAnsi="Times New Roman" w:eastAsia="Times New Roman" w:cs="Times New Roman"/>
        </w:rPr>
      </w:pPr>
      <w:r>
        <w:rPr>
          <w:rFonts w:ascii="FangSong_GB2312" w:hAnsi="FangSong_GB2312" w:eastAsia="FangSong_GB2312" w:cs="FangSong_GB2312"/>
          <w:sz w:val="28"/>
          <w:szCs w:val="28"/>
        </w:rPr>
        <w:t>2.短信平台与采购人各类平台对接时，应确保连接安全，在税务网络内部署时需满足税务系统安全审核要求。</w:t>
      </w:r>
    </w:p>
    <w:p w14:paraId="6FBA9EE1">
      <w:pPr>
        <w:pStyle w:val="93"/>
        <w:spacing w:before="0" w:after="0" w:line="360" w:lineRule="auto"/>
        <w:ind w:firstLine="480"/>
        <w:jc w:val="both"/>
        <w:rPr>
          <w:rFonts w:ascii="Times New Roman" w:hAnsi="Times New Roman" w:eastAsia="Times New Roman" w:cs="Times New Roman"/>
        </w:rPr>
      </w:pPr>
      <w:r>
        <w:rPr>
          <w:rFonts w:ascii="FangSong_GB2312" w:hAnsi="FangSong_GB2312" w:eastAsia="FangSong_GB2312" w:cs="FangSong_GB2312"/>
          <w:sz w:val="28"/>
          <w:szCs w:val="28"/>
        </w:rPr>
        <w:t>3.每季度前10天内向采购人提供上个季度短信发送报告，报告内容包括但不限于发送总量，发送成功量，发送失败数量，发送成功率，发送失败原因，短信平台故障问题及问题解决方法等。</w:t>
      </w:r>
    </w:p>
    <w:p w14:paraId="53130768">
      <w:pPr>
        <w:pStyle w:val="90"/>
        <w:keepNext w:val="0"/>
        <w:spacing w:before="0" w:after="0" w:line="360" w:lineRule="auto"/>
        <w:jc w:val="center"/>
        <w:rPr>
          <w:rFonts w:ascii="仿宋_GB2312" w:hAnsi="仿宋_GB2312" w:eastAsia="仿宋_GB2312" w:cs="仿宋_GB2312"/>
          <w:b/>
          <w:bCs/>
          <w:sz w:val="32"/>
          <w:szCs w:val="32"/>
        </w:rPr>
      </w:pPr>
      <w:bookmarkStart w:id="33" w:name="_Toc256000032"/>
      <w:r>
        <w:rPr>
          <w:rFonts w:ascii="仿宋_GB2312" w:hAnsi="仿宋_GB2312" w:eastAsia="仿宋_GB2312" w:cs="仿宋_GB2312"/>
          <w:kern w:val="36"/>
        </w:rPr>
        <w:t>7履约验收要求</w:t>
      </w:r>
      <w:bookmarkEnd w:id="33"/>
    </w:p>
    <w:p w14:paraId="0E95472B">
      <w:pPr>
        <w:pStyle w:val="91"/>
        <w:keepNext w:val="0"/>
        <w:spacing w:before="0" w:after="0" w:line="360" w:lineRule="auto"/>
        <w:rPr>
          <w:rFonts w:ascii="仿宋_GB2312" w:hAnsi="仿宋_GB2312" w:eastAsia="仿宋_GB2312" w:cs="仿宋_GB2312"/>
          <w:b/>
          <w:bCs/>
          <w:sz w:val="28"/>
          <w:szCs w:val="28"/>
        </w:rPr>
      </w:pPr>
      <w:bookmarkStart w:id="34" w:name="_Toc256000033"/>
      <w:r>
        <w:rPr>
          <w:rFonts w:ascii="仿宋_GB2312" w:hAnsi="仿宋_GB2312" w:eastAsia="仿宋_GB2312" w:cs="仿宋_GB2312"/>
          <w:i w:val="0"/>
          <w:iCs w:val="0"/>
        </w:rPr>
        <w:t>7.1总体要求</w:t>
      </w:r>
      <w:bookmarkEnd w:id="34"/>
    </w:p>
    <w:tbl>
      <w:tblPr>
        <w:tblStyle w:val="32"/>
        <w:tblW w:w="5000" w:type="pct"/>
        <w:tblInd w:w="30" w:type="dxa"/>
        <w:tblLayout w:type="autofit"/>
        <w:tblCellMar>
          <w:top w:w="15" w:type="dxa"/>
          <w:left w:w="15" w:type="dxa"/>
          <w:bottom w:w="15" w:type="dxa"/>
          <w:right w:w="15" w:type="dxa"/>
        </w:tblCellMar>
      </w:tblPr>
      <w:tblGrid>
        <w:gridCol w:w="4535"/>
        <w:gridCol w:w="4535"/>
      </w:tblGrid>
      <w:tr w14:paraId="1934C6D6">
        <w:tblPrEx>
          <w:tblCellMar>
            <w:top w:w="15" w:type="dxa"/>
            <w:left w:w="15" w:type="dxa"/>
            <w:bottom w:w="15" w:type="dxa"/>
            <w:right w:w="15" w:type="dxa"/>
          </w:tblCellMar>
        </w:tblPrEx>
        <w:tc>
          <w:tcPr>
            <w:tcW w:w="2500" w:type="pct"/>
            <w:tcBorders>
              <w:top w:val="single" w:color="000000" w:sz="6" w:space="0"/>
              <w:left w:val="single" w:color="000000" w:sz="6" w:space="0"/>
              <w:bottom w:val="single" w:color="000000" w:sz="6" w:space="0"/>
              <w:right w:val="single" w:color="000000" w:sz="6" w:space="0"/>
            </w:tcBorders>
            <w:shd w:val="clear" w:color="auto" w:fill="D3D3D3"/>
            <w:noWrap w:val="0"/>
            <w:tcMar>
              <w:top w:w="22" w:type="dxa"/>
              <w:left w:w="22" w:type="dxa"/>
              <w:bottom w:w="22" w:type="dxa"/>
              <w:right w:w="22" w:type="dxa"/>
            </w:tcMar>
            <w:vAlign w:val="center"/>
          </w:tcPr>
          <w:p w14:paraId="78798EE4">
            <w:pPr>
              <w:pStyle w:val="18"/>
              <w:jc w:val="center"/>
              <w:rPr>
                <w:rFonts w:ascii="仿宋_GB2312" w:hAnsi="仿宋_GB2312" w:eastAsia="仿宋_GB2312" w:cs="仿宋_GB2312"/>
                <w:b/>
                <w:bCs/>
                <w:i w:val="0"/>
                <w:iCs w:val="0"/>
                <w:smallCaps w:val="0"/>
                <w:color w:val="000000"/>
                <w:sz w:val="21"/>
                <w:szCs w:val="21"/>
              </w:rPr>
            </w:pPr>
            <w:r>
              <w:rPr>
                <w:rFonts w:ascii="仿宋_GB2312" w:hAnsi="仿宋_GB2312" w:eastAsia="仿宋_GB2312" w:cs="仿宋_GB2312"/>
                <w:b/>
                <w:bCs/>
                <w:i w:val="0"/>
                <w:iCs w:val="0"/>
                <w:smallCaps w:val="0"/>
                <w:color w:val="000000"/>
                <w:sz w:val="21"/>
                <w:szCs w:val="21"/>
              </w:rPr>
              <w:t>验收名称</w:t>
            </w:r>
          </w:p>
        </w:tc>
        <w:tc>
          <w:tcPr>
            <w:tcW w:w="2500" w:type="pct"/>
            <w:tcBorders>
              <w:top w:val="single" w:color="000000" w:sz="6" w:space="0"/>
              <w:left w:val="single" w:color="000000" w:sz="6" w:space="0"/>
              <w:bottom w:val="single" w:color="000000" w:sz="6" w:space="0"/>
              <w:right w:val="single" w:color="000000" w:sz="6" w:space="0"/>
            </w:tcBorders>
            <w:shd w:val="clear" w:color="auto" w:fill="D3D3D3"/>
            <w:noWrap w:val="0"/>
            <w:tcMar>
              <w:top w:w="22" w:type="dxa"/>
              <w:left w:w="22" w:type="dxa"/>
              <w:bottom w:w="22" w:type="dxa"/>
              <w:right w:w="22" w:type="dxa"/>
            </w:tcMar>
            <w:vAlign w:val="center"/>
          </w:tcPr>
          <w:p w14:paraId="3B56A800">
            <w:pPr>
              <w:pStyle w:val="18"/>
              <w:jc w:val="center"/>
              <w:rPr>
                <w:rFonts w:ascii="仿宋_GB2312" w:hAnsi="仿宋_GB2312" w:eastAsia="仿宋_GB2312" w:cs="仿宋_GB2312"/>
                <w:b/>
                <w:bCs/>
                <w:i w:val="0"/>
                <w:iCs w:val="0"/>
                <w:smallCaps w:val="0"/>
                <w:color w:val="000000"/>
                <w:sz w:val="21"/>
                <w:szCs w:val="21"/>
              </w:rPr>
            </w:pPr>
            <w:r>
              <w:rPr>
                <w:rFonts w:ascii="仿宋_GB2312" w:hAnsi="仿宋_GB2312" w:eastAsia="仿宋_GB2312" w:cs="仿宋_GB2312"/>
                <w:b/>
                <w:bCs/>
                <w:i w:val="0"/>
                <w:iCs w:val="0"/>
                <w:smallCaps w:val="0"/>
                <w:color w:val="000000"/>
                <w:sz w:val="21"/>
                <w:szCs w:val="21"/>
              </w:rPr>
              <w:t>验收要求</w:t>
            </w:r>
          </w:p>
        </w:tc>
      </w:tr>
      <w:tr w14:paraId="571AC653">
        <w:tblPrEx>
          <w:tblCellMar>
            <w:top w:w="15" w:type="dxa"/>
            <w:left w:w="15" w:type="dxa"/>
            <w:bottom w:w="15" w:type="dxa"/>
            <w:right w:w="15" w:type="dxa"/>
          </w:tblCellMar>
        </w:tblPrEx>
        <w:tc>
          <w:tcPr>
            <w:tcW w:w="2500" w:type="pct"/>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12C9DE8D">
            <w:pPr>
              <w:pStyle w:val="18"/>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验收</w:t>
            </w:r>
          </w:p>
        </w:tc>
        <w:tc>
          <w:tcPr>
            <w:tcW w:w="2500" w:type="pct"/>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64F3D84C">
            <w:pPr>
              <w:pStyle w:val="18"/>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按合同要求核对当月短信实际发送量，据实结算</w:t>
            </w:r>
          </w:p>
        </w:tc>
      </w:tr>
    </w:tbl>
    <w:p w14:paraId="4FF1598E">
      <w:pPr>
        <w:pStyle w:val="91"/>
        <w:keepNext w:val="0"/>
        <w:spacing w:before="0" w:after="0" w:line="360" w:lineRule="auto"/>
        <w:rPr>
          <w:rFonts w:ascii="仿宋_GB2312" w:hAnsi="仿宋_GB2312" w:eastAsia="仿宋_GB2312" w:cs="仿宋_GB2312"/>
          <w:b/>
          <w:bCs/>
          <w:sz w:val="28"/>
          <w:szCs w:val="28"/>
        </w:rPr>
      </w:pPr>
      <w:bookmarkStart w:id="35" w:name="_Toc256000034"/>
      <w:r>
        <w:rPr>
          <w:rFonts w:ascii="仿宋_GB2312" w:hAnsi="仿宋_GB2312" w:eastAsia="仿宋_GB2312" w:cs="仿宋_GB2312"/>
          <w:i w:val="0"/>
          <w:iCs w:val="0"/>
        </w:rPr>
        <w:t>7.2具体要求</w:t>
      </w:r>
      <w:bookmarkEnd w:id="35"/>
    </w:p>
    <w:p w14:paraId="30055118">
      <w:pPr>
        <w:pStyle w:val="93"/>
        <w:spacing w:before="0" w:after="0" w:line="360" w:lineRule="auto"/>
        <w:ind w:firstLine="480"/>
        <w:jc w:val="both"/>
        <w:rPr>
          <w:rFonts w:ascii="Times New Roman" w:hAnsi="Times New Roman" w:eastAsia="Times New Roman" w:cs="Times New Roman"/>
        </w:rPr>
      </w:pPr>
      <w:r>
        <w:rPr>
          <w:rFonts w:ascii="FangSong_GB2312" w:hAnsi="FangSong_GB2312" w:eastAsia="FangSong_GB2312" w:cs="FangSong_GB2312"/>
          <w:sz w:val="28"/>
          <w:szCs w:val="28"/>
        </w:rPr>
        <w:t>本项目验收工作由采购人按照内部验收的有关制度和流程组织开展。</w:t>
      </w:r>
    </w:p>
    <w:p w14:paraId="2CF1BB5B">
      <w:pPr>
        <w:pStyle w:val="93"/>
        <w:spacing w:before="0" w:after="0" w:line="360" w:lineRule="auto"/>
        <w:ind w:firstLine="480"/>
        <w:jc w:val="both"/>
        <w:rPr>
          <w:rFonts w:ascii="Times New Roman" w:hAnsi="Times New Roman" w:eastAsia="Times New Roman" w:cs="Times New Roman"/>
        </w:rPr>
      </w:pPr>
      <w:r>
        <w:rPr>
          <w:rFonts w:ascii="FangSong_GB2312" w:hAnsi="FangSong_GB2312" w:eastAsia="FangSong_GB2312" w:cs="FangSong_GB2312"/>
          <w:sz w:val="28"/>
          <w:szCs w:val="28"/>
        </w:rPr>
        <w:t>本项目在合同约定的验收条件进行项目验收。中标人在满足合同约定的验收条件后向采购人提出验收申请，采购人负责审核是否满足项目验收准入条件。满足验收准入条件后，予以启动项目验收程序。</w:t>
      </w:r>
    </w:p>
    <w:p w14:paraId="4C04D7F4">
      <w:pPr>
        <w:pStyle w:val="93"/>
        <w:spacing w:before="0" w:after="0" w:line="360" w:lineRule="auto"/>
        <w:ind w:firstLine="480"/>
        <w:jc w:val="both"/>
        <w:rPr>
          <w:rFonts w:ascii="Times New Roman" w:hAnsi="Times New Roman" w:eastAsia="Times New Roman" w:cs="Times New Roman"/>
        </w:rPr>
      </w:pPr>
      <w:r>
        <w:rPr>
          <w:rFonts w:ascii="FangSong_GB2312" w:hAnsi="FangSong_GB2312" w:eastAsia="FangSong_GB2312" w:cs="FangSong_GB2312"/>
          <w:sz w:val="28"/>
          <w:szCs w:val="28"/>
        </w:rPr>
        <w:t>（一）项目验收准入条件</w:t>
      </w:r>
    </w:p>
    <w:p w14:paraId="31A06FE0">
      <w:pPr>
        <w:pStyle w:val="93"/>
        <w:spacing w:before="0" w:after="0" w:line="360" w:lineRule="auto"/>
        <w:ind w:firstLine="480"/>
        <w:jc w:val="both"/>
        <w:rPr>
          <w:rFonts w:ascii="Times New Roman" w:hAnsi="Times New Roman" w:eastAsia="Times New Roman" w:cs="Times New Roman"/>
        </w:rPr>
      </w:pPr>
      <w:r>
        <w:rPr>
          <w:rFonts w:ascii="FangSong_GB2312" w:hAnsi="FangSong_GB2312" w:eastAsia="FangSong_GB2312" w:cs="FangSong_GB2312"/>
          <w:sz w:val="28"/>
          <w:szCs w:val="28"/>
        </w:rPr>
        <w:t>本业务需求书中包含的服务需求内容全部完成。</w:t>
      </w:r>
    </w:p>
    <w:p w14:paraId="75895157">
      <w:pPr>
        <w:pStyle w:val="93"/>
        <w:spacing w:before="0" w:after="0" w:line="360" w:lineRule="auto"/>
        <w:ind w:firstLine="480"/>
        <w:jc w:val="both"/>
        <w:rPr>
          <w:rFonts w:ascii="Times New Roman" w:hAnsi="Times New Roman" w:eastAsia="Times New Roman" w:cs="Times New Roman"/>
        </w:rPr>
      </w:pPr>
      <w:r>
        <w:rPr>
          <w:rFonts w:ascii="FangSong_GB2312" w:hAnsi="FangSong_GB2312" w:eastAsia="FangSong_GB2312" w:cs="FangSong_GB2312"/>
          <w:sz w:val="28"/>
          <w:szCs w:val="28"/>
        </w:rPr>
        <w:t>项目文档满足招标文件采购需求的规定要求。</w:t>
      </w:r>
    </w:p>
    <w:p w14:paraId="7D44BDD9">
      <w:pPr>
        <w:pStyle w:val="93"/>
        <w:spacing w:before="0" w:after="0" w:line="360" w:lineRule="auto"/>
        <w:ind w:firstLine="480"/>
        <w:jc w:val="both"/>
        <w:rPr>
          <w:rFonts w:ascii="Times New Roman" w:hAnsi="Times New Roman" w:eastAsia="Times New Roman" w:cs="Times New Roman"/>
        </w:rPr>
      </w:pPr>
      <w:r>
        <w:rPr>
          <w:rFonts w:ascii="FangSong_GB2312" w:hAnsi="FangSong_GB2312" w:eastAsia="FangSong_GB2312" w:cs="FangSong_GB2312"/>
          <w:sz w:val="28"/>
          <w:szCs w:val="28"/>
        </w:rPr>
        <w:t>（二）项目验收标准</w:t>
      </w:r>
    </w:p>
    <w:p w14:paraId="660D08B4">
      <w:pPr>
        <w:pStyle w:val="93"/>
        <w:spacing w:before="0" w:after="0" w:line="360" w:lineRule="auto"/>
        <w:ind w:firstLine="480"/>
        <w:jc w:val="both"/>
        <w:rPr>
          <w:rFonts w:ascii="Times New Roman" w:hAnsi="Times New Roman" w:eastAsia="Times New Roman" w:cs="Times New Roman"/>
        </w:rPr>
      </w:pPr>
      <w:r>
        <w:rPr>
          <w:rFonts w:ascii="FangSong_GB2312" w:hAnsi="FangSong_GB2312" w:eastAsia="FangSong_GB2312" w:cs="FangSong_GB2312"/>
          <w:sz w:val="28"/>
          <w:szCs w:val="28"/>
        </w:rPr>
        <w:t>采购人以招标文件采购需求中相关内容为依据，作为项目验收标准。中标人是否按照招标文件采购需求中定义的各项服务内容，按照定义的工作规程和服务管理开展各项工作，工作流程和结果是否符合采购人质量管理要求，是否在规定时间内提交相关工作文档。</w:t>
      </w:r>
    </w:p>
    <w:p w14:paraId="6E89BB73">
      <w:pPr>
        <w:pStyle w:val="93"/>
        <w:spacing w:before="0" w:after="0" w:line="360" w:lineRule="auto"/>
        <w:ind w:firstLine="480"/>
        <w:jc w:val="both"/>
        <w:rPr>
          <w:rFonts w:ascii="Times New Roman" w:hAnsi="Times New Roman" w:eastAsia="Times New Roman" w:cs="Times New Roman"/>
        </w:rPr>
      </w:pPr>
      <w:r>
        <w:rPr>
          <w:rFonts w:ascii="FangSong_GB2312" w:hAnsi="FangSong_GB2312" w:eastAsia="FangSong_GB2312" w:cs="FangSong_GB2312"/>
          <w:sz w:val="28"/>
          <w:szCs w:val="28"/>
        </w:rPr>
        <w:t>（三）项目验收流程</w:t>
      </w:r>
    </w:p>
    <w:p w14:paraId="3098322C">
      <w:pPr>
        <w:pStyle w:val="93"/>
        <w:spacing w:before="0" w:after="0" w:line="360" w:lineRule="auto"/>
        <w:ind w:firstLine="480"/>
        <w:jc w:val="both"/>
        <w:rPr>
          <w:rFonts w:ascii="Times New Roman" w:hAnsi="Times New Roman" w:eastAsia="Times New Roman" w:cs="Times New Roman"/>
        </w:rPr>
      </w:pPr>
      <w:r>
        <w:rPr>
          <w:rFonts w:ascii="FangSong_GB2312" w:hAnsi="FangSong_GB2312" w:eastAsia="FangSong_GB2312" w:cs="FangSong_GB2312"/>
          <w:sz w:val="28"/>
          <w:szCs w:val="28"/>
        </w:rPr>
        <w:t>符合项目验收准入条件后，中标人可提出项目验收申请。</w:t>
      </w:r>
    </w:p>
    <w:p w14:paraId="72B4B232">
      <w:pPr>
        <w:pStyle w:val="93"/>
        <w:spacing w:before="0" w:after="0" w:line="360" w:lineRule="auto"/>
        <w:ind w:firstLine="480"/>
        <w:jc w:val="both"/>
        <w:rPr>
          <w:rFonts w:ascii="Times New Roman" w:hAnsi="Times New Roman" w:eastAsia="Times New Roman" w:cs="Times New Roman"/>
        </w:rPr>
      </w:pPr>
      <w:r>
        <w:rPr>
          <w:rFonts w:ascii="FangSong_GB2312" w:hAnsi="FangSong_GB2312" w:eastAsia="FangSong_GB2312" w:cs="FangSong_GB2312"/>
          <w:sz w:val="28"/>
          <w:szCs w:val="28"/>
        </w:rPr>
        <w:t>1.中标人书面提出项目验收申请。</w:t>
      </w:r>
    </w:p>
    <w:p w14:paraId="02757475">
      <w:pPr>
        <w:pStyle w:val="93"/>
        <w:spacing w:before="0" w:after="0" w:line="360" w:lineRule="auto"/>
        <w:ind w:firstLine="480"/>
        <w:jc w:val="both"/>
        <w:rPr>
          <w:rFonts w:ascii="Times New Roman" w:hAnsi="Times New Roman" w:eastAsia="Times New Roman" w:cs="Times New Roman"/>
        </w:rPr>
      </w:pPr>
      <w:r>
        <w:rPr>
          <w:rFonts w:ascii="FangSong_GB2312" w:hAnsi="FangSong_GB2312" w:eastAsia="FangSong_GB2312" w:cs="FangSong_GB2312"/>
          <w:sz w:val="28"/>
          <w:szCs w:val="28"/>
        </w:rPr>
        <w:t>2.向采购人提交《验收流程申请审批表》等资料。</w:t>
      </w:r>
    </w:p>
    <w:p w14:paraId="03884A06">
      <w:pPr>
        <w:pStyle w:val="93"/>
        <w:spacing w:before="0" w:after="0" w:line="360" w:lineRule="auto"/>
        <w:ind w:firstLine="480"/>
        <w:jc w:val="both"/>
        <w:rPr>
          <w:rFonts w:ascii="Times New Roman" w:hAnsi="Times New Roman" w:eastAsia="Times New Roman" w:cs="Times New Roman"/>
        </w:rPr>
      </w:pPr>
      <w:r>
        <w:rPr>
          <w:rFonts w:ascii="FangSong_GB2312" w:hAnsi="FangSong_GB2312" w:eastAsia="FangSong_GB2312" w:cs="FangSong_GB2312"/>
          <w:sz w:val="28"/>
          <w:szCs w:val="28"/>
        </w:rPr>
        <w:t>3.向采购人整理提交项目相关管理、技术文档电子版文件。</w:t>
      </w:r>
    </w:p>
    <w:p w14:paraId="3FA39EE3">
      <w:pPr>
        <w:pStyle w:val="93"/>
        <w:spacing w:before="0" w:after="0" w:line="360" w:lineRule="auto"/>
        <w:ind w:firstLine="480"/>
        <w:jc w:val="both"/>
        <w:rPr>
          <w:rFonts w:ascii="Times New Roman" w:hAnsi="Times New Roman" w:eastAsia="Times New Roman" w:cs="Times New Roman"/>
        </w:rPr>
      </w:pPr>
      <w:r>
        <w:rPr>
          <w:rFonts w:ascii="FangSong_GB2312" w:hAnsi="FangSong_GB2312" w:eastAsia="FangSong_GB2312" w:cs="FangSong_GB2312"/>
          <w:sz w:val="28"/>
          <w:szCs w:val="28"/>
        </w:rPr>
        <w:t>4.采购人组织进行项目验收评审会议，对项目工作内容及文档进行验收评审。</w:t>
      </w:r>
    </w:p>
    <w:p w14:paraId="7C79702C">
      <w:pPr>
        <w:pStyle w:val="93"/>
        <w:spacing w:before="0" w:after="0" w:line="360" w:lineRule="auto"/>
        <w:ind w:firstLine="480"/>
        <w:jc w:val="both"/>
        <w:rPr>
          <w:rFonts w:ascii="Times New Roman" w:hAnsi="Times New Roman" w:eastAsia="Times New Roman" w:cs="Times New Roman"/>
        </w:rPr>
      </w:pPr>
      <w:r>
        <w:rPr>
          <w:rFonts w:ascii="FangSong_GB2312" w:hAnsi="FangSong_GB2312" w:eastAsia="FangSong_GB2312" w:cs="FangSong_GB2312"/>
          <w:sz w:val="28"/>
          <w:szCs w:val="28"/>
        </w:rPr>
        <w:t>5.项目验收评审通过后，采购人出具项目验收报告。</w:t>
      </w:r>
    </w:p>
    <w:p w14:paraId="54C6C97E">
      <w:pPr>
        <w:pStyle w:val="93"/>
        <w:spacing w:before="0" w:after="0" w:line="360" w:lineRule="auto"/>
        <w:ind w:firstLine="480"/>
        <w:jc w:val="both"/>
        <w:rPr>
          <w:rFonts w:ascii="Times New Roman" w:hAnsi="Times New Roman" w:eastAsia="Times New Roman" w:cs="Times New Roman"/>
        </w:rPr>
      </w:pPr>
      <w:r>
        <w:rPr>
          <w:rFonts w:ascii="FangSong_GB2312" w:hAnsi="FangSong_GB2312" w:eastAsia="FangSong_GB2312" w:cs="FangSong_GB2312"/>
          <w:sz w:val="28"/>
          <w:szCs w:val="28"/>
        </w:rPr>
        <w:t>(四)验收交付物</w:t>
      </w:r>
    </w:p>
    <w:tbl>
      <w:tblPr>
        <w:tblStyle w:val="99"/>
        <w:tblW w:w="2511" w:type="pct"/>
        <w:tblCellSpacing w:w="0" w:type="dxa"/>
        <w:tblInd w:w="558" w:type="dxa"/>
        <w:tblLayout w:type="autofit"/>
        <w:tblCellMar>
          <w:top w:w="15" w:type="dxa"/>
          <w:left w:w="15" w:type="dxa"/>
          <w:bottom w:w="15" w:type="dxa"/>
          <w:right w:w="15" w:type="dxa"/>
        </w:tblCellMar>
      </w:tblPr>
      <w:tblGrid>
        <w:gridCol w:w="1091"/>
        <w:gridCol w:w="2154"/>
        <w:gridCol w:w="940"/>
        <w:gridCol w:w="486"/>
      </w:tblGrid>
      <w:tr w14:paraId="463B377F">
        <w:tblPrEx>
          <w:tblCellMar>
            <w:top w:w="15" w:type="dxa"/>
            <w:left w:w="15" w:type="dxa"/>
            <w:bottom w:w="15" w:type="dxa"/>
            <w:right w:w="15" w:type="dxa"/>
          </w:tblCellMar>
        </w:tblPrEx>
        <w:trPr>
          <w:trHeight w:val="393" w:hRule="atLeast"/>
          <w:tblCellSpacing w:w="0" w:type="dxa"/>
        </w:trPr>
        <w:tc>
          <w:tcPr>
            <w:tcW w:w="1166" w:type="pct"/>
            <w:tcBorders>
              <w:top w:val="single" w:color="000000" w:sz="8" w:space="0"/>
              <w:left w:val="single" w:color="000000" w:sz="8" w:space="0"/>
              <w:bottom w:val="single" w:color="000000" w:sz="8" w:space="0"/>
              <w:right w:val="single" w:color="000000" w:sz="8" w:space="0"/>
            </w:tcBorders>
            <w:noWrap w:val="0"/>
            <w:tcMar>
              <w:top w:w="0" w:type="dxa"/>
              <w:left w:w="118" w:type="dxa"/>
              <w:bottom w:w="0" w:type="dxa"/>
              <w:right w:w="118" w:type="dxa"/>
            </w:tcMar>
            <w:vAlign w:val="center"/>
          </w:tcPr>
          <w:p w14:paraId="76F32875">
            <w:pPr>
              <w:pStyle w:val="93"/>
              <w:spacing w:before="0" w:after="0"/>
              <w:ind w:left="0" w:right="0" w:firstLine="0"/>
              <w:jc w:val="center"/>
              <w:rPr>
                <w:rFonts w:ascii="Times New Roman" w:hAnsi="Times New Roman" w:eastAsia="Times New Roman" w:cs="Times New Roman"/>
                <w:b w:val="0"/>
                <w:bCs w:val="0"/>
                <w:i w:val="0"/>
                <w:iCs w:val="0"/>
                <w:smallCaps w:val="0"/>
                <w:color w:val="000000"/>
              </w:rPr>
            </w:pPr>
            <w:r>
              <w:rPr>
                <w:rFonts w:ascii="FangSong_GB2312" w:hAnsi="FangSong_GB2312" w:eastAsia="FangSong_GB2312" w:cs="FangSong_GB2312"/>
                <w:b w:val="0"/>
                <w:bCs w:val="0"/>
                <w:i w:val="0"/>
                <w:iCs w:val="0"/>
                <w:smallCaps w:val="0"/>
                <w:color w:val="000000"/>
                <w:sz w:val="21"/>
                <w:szCs w:val="21"/>
              </w:rPr>
              <w:t>序号</w:t>
            </w:r>
          </w:p>
        </w:tc>
        <w:tc>
          <w:tcPr>
            <w:tcW w:w="2303" w:type="pct"/>
            <w:tcBorders>
              <w:top w:val="single" w:color="000000" w:sz="8" w:space="0"/>
              <w:bottom w:val="single" w:color="000000" w:sz="8" w:space="0"/>
              <w:right w:val="single" w:color="000000" w:sz="8" w:space="0"/>
            </w:tcBorders>
            <w:noWrap w:val="0"/>
            <w:tcMar>
              <w:top w:w="0" w:type="dxa"/>
              <w:left w:w="108" w:type="dxa"/>
              <w:bottom w:w="0" w:type="dxa"/>
              <w:right w:w="118" w:type="dxa"/>
            </w:tcMar>
            <w:vAlign w:val="center"/>
          </w:tcPr>
          <w:p w14:paraId="1D5C56AB">
            <w:pPr>
              <w:pStyle w:val="93"/>
              <w:spacing w:before="0" w:after="0"/>
              <w:ind w:left="0" w:right="0" w:firstLine="0"/>
              <w:jc w:val="center"/>
              <w:rPr>
                <w:rFonts w:ascii="Times New Roman" w:hAnsi="Times New Roman" w:eastAsia="Times New Roman" w:cs="Times New Roman"/>
                <w:b w:val="0"/>
                <w:bCs w:val="0"/>
                <w:i w:val="0"/>
                <w:iCs w:val="0"/>
                <w:smallCaps w:val="0"/>
                <w:color w:val="000000"/>
              </w:rPr>
            </w:pPr>
            <w:r>
              <w:rPr>
                <w:rFonts w:ascii="FangSong_GB2312" w:hAnsi="FangSong_GB2312" w:eastAsia="FangSong_GB2312" w:cs="FangSong_GB2312"/>
                <w:b w:val="0"/>
                <w:bCs w:val="0"/>
                <w:i w:val="0"/>
                <w:iCs w:val="0"/>
                <w:smallCaps w:val="0"/>
                <w:color w:val="000000"/>
                <w:sz w:val="21"/>
                <w:szCs w:val="21"/>
              </w:rPr>
              <w:t>名称</w:t>
            </w:r>
          </w:p>
        </w:tc>
        <w:tc>
          <w:tcPr>
            <w:tcW w:w="1005" w:type="pct"/>
            <w:tcBorders>
              <w:top w:val="single" w:color="000000" w:sz="8" w:space="0"/>
              <w:bottom w:val="single" w:color="000000" w:sz="8" w:space="0"/>
              <w:right w:val="single" w:color="000000" w:sz="8" w:space="0"/>
            </w:tcBorders>
            <w:noWrap w:val="0"/>
            <w:tcMar>
              <w:top w:w="0" w:type="dxa"/>
              <w:left w:w="108" w:type="dxa"/>
              <w:bottom w:w="0" w:type="dxa"/>
              <w:right w:w="118" w:type="dxa"/>
            </w:tcMar>
            <w:vAlign w:val="center"/>
          </w:tcPr>
          <w:p w14:paraId="5FADC904">
            <w:pPr>
              <w:pStyle w:val="93"/>
              <w:spacing w:before="0" w:after="0"/>
              <w:ind w:left="0" w:right="0" w:firstLine="0"/>
              <w:jc w:val="center"/>
              <w:rPr>
                <w:rFonts w:ascii="Times New Roman" w:hAnsi="Times New Roman" w:eastAsia="Times New Roman" w:cs="Times New Roman"/>
                <w:b w:val="0"/>
                <w:bCs w:val="0"/>
                <w:i w:val="0"/>
                <w:iCs w:val="0"/>
                <w:smallCaps w:val="0"/>
                <w:color w:val="000000"/>
              </w:rPr>
            </w:pPr>
            <w:r>
              <w:rPr>
                <w:rFonts w:ascii="FangSong_GB2312" w:hAnsi="FangSong_GB2312" w:eastAsia="FangSong_GB2312" w:cs="FangSong_GB2312"/>
                <w:b w:val="0"/>
                <w:bCs w:val="0"/>
                <w:i w:val="0"/>
                <w:iCs w:val="0"/>
                <w:smallCaps w:val="0"/>
                <w:color w:val="000000"/>
                <w:sz w:val="21"/>
                <w:szCs w:val="21"/>
              </w:rPr>
              <w:t>介质</w:t>
            </w:r>
          </w:p>
        </w:tc>
        <w:tc>
          <w:tcPr>
            <w:tcW w:w="520" w:type="pct"/>
            <w:tcBorders>
              <w:top w:val="single" w:color="000000" w:sz="8" w:space="0"/>
              <w:bottom w:val="single" w:color="000000" w:sz="8" w:space="0"/>
              <w:right w:val="single" w:color="000000" w:sz="8" w:space="0"/>
            </w:tcBorders>
            <w:noWrap w:val="0"/>
            <w:tcMar>
              <w:top w:w="0" w:type="dxa"/>
              <w:left w:w="108" w:type="dxa"/>
              <w:bottom w:w="0" w:type="dxa"/>
              <w:right w:w="118" w:type="dxa"/>
            </w:tcMar>
            <w:vAlign w:val="center"/>
          </w:tcPr>
          <w:p w14:paraId="0CAE0D83">
            <w:pPr>
              <w:pStyle w:val="93"/>
              <w:spacing w:before="0" w:after="0"/>
              <w:ind w:left="0" w:right="0" w:firstLine="0"/>
              <w:jc w:val="center"/>
              <w:rPr>
                <w:rFonts w:ascii="Times New Roman" w:hAnsi="Times New Roman" w:eastAsia="Times New Roman" w:cs="Times New Roman"/>
                <w:b w:val="0"/>
                <w:bCs w:val="0"/>
                <w:i w:val="0"/>
                <w:iCs w:val="0"/>
                <w:smallCaps w:val="0"/>
                <w:color w:val="000000"/>
              </w:rPr>
            </w:pPr>
            <w:r>
              <w:rPr>
                <w:rFonts w:ascii="FangSong_GB2312" w:hAnsi="FangSong_GB2312" w:eastAsia="FangSong_GB2312" w:cs="FangSong_GB2312"/>
                <w:b w:val="0"/>
                <w:bCs w:val="0"/>
                <w:i w:val="0"/>
                <w:iCs w:val="0"/>
                <w:smallCaps w:val="0"/>
                <w:color w:val="000000"/>
                <w:sz w:val="21"/>
                <w:szCs w:val="21"/>
              </w:rPr>
              <w:t>数量</w:t>
            </w:r>
          </w:p>
        </w:tc>
      </w:tr>
      <w:tr w14:paraId="77597219">
        <w:tblPrEx>
          <w:tblCellMar>
            <w:top w:w="15" w:type="dxa"/>
            <w:left w:w="15" w:type="dxa"/>
            <w:bottom w:w="15" w:type="dxa"/>
            <w:right w:w="15" w:type="dxa"/>
          </w:tblCellMar>
        </w:tblPrEx>
        <w:trPr>
          <w:trHeight w:val="776" w:hRule="atLeast"/>
          <w:tblCellSpacing w:w="0" w:type="dxa"/>
        </w:trPr>
        <w:tc>
          <w:tcPr>
            <w:tcW w:w="1166" w:type="pct"/>
            <w:tcBorders>
              <w:left w:val="single" w:color="000000" w:sz="8" w:space="0"/>
              <w:bottom w:val="single" w:color="000000" w:sz="8" w:space="0"/>
              <w:right w:val="single" w:color="000000" w:sz="8" w:space="0"/>
            </w:tcBorders>
            <w:noWrap w:val="0"/>
            <w:tcMar>
              <w:top w:w="0" w:type="dxa"/>
              <w:left w:w="118" w:type="dxa"/>
              <w:bottom w:w="0" w:type="dxa"/>
              <w:right w:w="118" w:type="dxa"/>
            </w:tcMar>
            <w:vAlign w:val="center"/>
          </w:tcPr>
          <w:p w14:paraId="54522E45">
            <w:pPr>
              <w:pStyle w:val="93"/>
              <w:spacing w:before="0" w:after="0"/>
              <w:ind w:left="0" w:right="0"/>
              <w:jc w:val="both"/>
              <w:rPr>
                <w:rFonts w:ascii="Times New Roman" w:hAnsi="Times New Roman" w:eastAsia="Times New Roman" w:cs="Times New Roman"/>
                <w:b w:val="0"/>
                <w:bCs w:val="0"/>
                <w:i w:val="0"/>
                <w:iCs w:val="0"/>
                <w:smallCaps w:val="0"/>
                <w:color w:val="000000"/>
              </w:rPr>
            </w:pPr>
            <w:r>
              <w:rPr>
                <w:rFonts w:ascii="FangSong_GB2312" w:hAnsi="FangSong_GB2312" w:eastAsia="FangSong_GB2312" w:cs="FangSong_GB2312"/>
                <w:b w:val="0"/>
                <w:bCs w:val="0"/>
                <w:i w:val="0"/>
                <w:iCs w:val="0"/>
                <w:smallCaps w:val="0"/>
                <w:color w:val="000000"/>
                <w:sz w:val="21"/>
                <w:szCs w:val="21"/>
              </w:rPr>
              <w:t>     1</w:t>
            </w:r>
          </w:p>
        </w:tc>
        <w:tc>
          <w:tcPr>
            <w:tcW w:w="2303" w:type="pct"/>
            <w:tcBorders>
              <w:bottom w:val="single" w:color="000000" w:sz="8" w:space="0"/>
              <w:right w:val="single" w:color="000000" w:sz="8" w:space="0"/>
            </w:tcBorders>
            <w:noWrap w:val="0"/>
            <w:tcMar>
              <w:top w:w="0" w:type="dxa"/>
              <w:left w:w="108" w:type="dxa"/>
              <w:bottom w:w="0" w:type="dxa"/>
              <w:right w:w="118" w:type="dxa"/>
            </w:tcMar>
            <w:vAlign w:val="center"/>
          </w:tcPr>
          <w:p w14:paraId="4D1C255B">
            <w:pPr>
              <w:pStyle w:val="93"/>
              <w:spacing w:before="0" w:after="0"/>
              <w:ind w:left="0" w:right="0"/>
              <w:jc w:val="center"/>
              <w:rPr>
                <w:rFonts w:ascii="Times New Roman" w:hAnsi="Times New Roman" w:eastAsia="Times New Roman" w:cs="Times New Roman"/>
                <w:b w:val="0"/>
                <w:bCs w:val="0"/>
                <w:i w:val="0"/>
                <w:iCs w:val="0"/>
                <w:smallCaps w:val="0"/>
                <w:color w:val="000000"/>
              </w:rPr>
            </w:pPr>
            <w:r>
              <w:rPr>
                <w:rFonts w:ascii="FangSong_GB2312" w:hAnsi="FangSong_GB2312" w:eastAsia="FangSong_GB2312" w:cs="FangSong_GB2312"/>
                <w:b w:val="0"/>
                <w:bCs w:val="0"/>
                <w:i w:val="0"/>
                <w:iCs w:val="0"/>
                <w:smallCaps w:val="0"/>
                <w:color w:val="000000"/>
                <w:sz w:val="21"/>
                <w:szCs w:val="21"/>
              </w:rPr>
              <w:t>项目实施与运维方案</w:t>
            </w:r>
          </w:p>
        </w:tc>
        <w:tc>
          <w:tcPr>
            <w:tcW w:w="1005" w:type="pct"/>
            <w:tcBorders>
              <w:bottom w:val="single" w:color="000000" w:sz="8" w:space="0"/>
              <w:right w:val="single" w:color="000000" w:sz="8" w:space="0"/>
            </w:tcBorders>
            <w:noWrap w:val="0"/>
            <w:tcMar>
              <w:top w:w="0" w:type="dxa"/>
              <w:left w:w="108" w:type="dxa"/>
              <w:bottom w:w="0" w:type="dxa"/>
              <w:right w:w="118" w:type="dxa"/>
            </w:tcMar>
            <w:vAlign w:val="center"/>
          </w:tcPr>
          <w:p w14:paraId="2B9FCB8E">
            <w:pPr>
              <w:pStyle w:val="93"/>
              <w:spacing w:before="0" w:after="0"/>
              <w:ind w:left="0" w:right="0"/>
              <w:jc w:val="both"/>
              <w:rPr>
                <w:rFonts w:ascii="Times New Roman" w:hAnsi="Times New Roman" w:eastAsia="Times New Roman" w:cs="Times New Roman"/>
                <w:b w:val="0"/>
                <w:bCs w:val="0"/>
                <w:i w:val="0"/>
                <w:iCs w:val="0"/>
                <w:smallCaps w:val="0"/>
                <w:color w:val="000000"/>
              </w:rPr>
            </w:pPr>
            <w:r>
              <w:rPr>
                <w:rFonts w:ascii="FangSong_GB2312" w:hAnsi="FangSong_GB2312" w:eastAsia="FangSong_GB2312" w:cs="FangSong_GB2312"/>
                <w:b w:val="0"/>
                <w:bCs w:val="0"/>
                <w:i w:val="0"/>
                <w:iCs w:val="0"/>
                <w:smallCaps w:val="0"/>
                <w:color w:val="000000"/>
                <w:sz w:val="21"/>
                <w:szCs w:val="21"/>
              </w:rPr>
              <w:t>电子、纸质</w:t>
            </w:r>
          </w:p>
        </w:tc>
        <w:tc>
          <w:tcPr>
            <w:tcW w:w="520" w:type="pct"/>
            <w:tcBorders>
              <w:bottom w:val="single" w:color="000000" w:sz="8" w:space="0"/>
              <w:right w:val="single" w:color="000000" w:sz="8" w:space="0"/>
            </w:tcBorders>
            <w:noWrap w:val="0"/>
            <w:tcMar>
              <w:top w:w="0" w:type="dxa"/>
              <w:left w:w="108" w:type="dxa"/>
              <w:bottom w:w="0" w:type="dxa"/>
              <w:right w:w="118" w:type="dxa"/>
            </w:tcMar>
            <w:vAlign w:val="center"/>
          </w:tcPr>
          <w:p w14:paraId="7EF355DC">
            <w:pPr>
              <w:pStyle w:val="93"/>
              <w:spacing w:before="0" w:after="0"/>
              <w:ind w:left="0" w:right="0" w:firstLine="0"/>
              <w:jc w:val="center"/>
              <w:rPr>
                <w:rFonts w:ascii="Times New Roman" w:hAnsi="Times New Roman" w:eastAsia="Times New Roman" w:cs="Times New Roman"/>
                <w:b w:val="0"/>
                <w:bCs w:val="0"/>
                <w:i w:val="0"/>
                <w:iCs w:val="0"/>
                <w:smallCaps w:val="0"/>
                <w:color w:val="000000"/>
              </w:rPr>
            </w:pPr>
            <w:r>
              <w:rPr>
                <w:rFonts w:ascii="FangSong_GB2312" w:hAnsi="FangSong_GB2312" w:eastAsia="FangSong_GB2312" w:cs="FangSong_GB2312"/>
                <w:b w:val="0"/>
                <w:bCs w:val="0"/>
                <w:i w:val="0"/>
                <w:iCs w:val="0"/>
                <w:smallCaps w:val="0"/>
                <w:color w:val="000000"/>
                <w:sz w:val="21"/>
                <w:szCs w:val="21"/>
              </w:rPr>
              <w:t>1</w:t>
            </w:r>
          </w:p>
        </w:tc>
      </w:tr>
      <w:tr w14:paraId="222CAE78">
        <w:tblPrEx>
          <w:tblCellMar>
            <w:top w:w="15" w:type="dxa"/>
            <w:left w:w="15" w:type="dxa"/>
            <w:bottom w:w="15" w:type="dxa"/>
            <w:right w:w="15" w:type="dxa"/>
          </w:tblCellMar>
        </w:tblPrEx>
        <w:trPr>
          <w:trHeight w:val="776" w:hRule="atLeast"/>
          <w:tblCellSpacing w:w="0" w:type="dxa"/>
        </w:trPr>
        <w:tc>
          <w:tcPr>
            <w:tcW w:w="1166" w:type="pct"/>
            <w:tcBorders>
              <w:left w:val="single" w:color="000000" w:sz="8" w:space="0"/>
              <w:bottom w:val="single" w:color="000000" w:sz="8" w:space="0"/>
              <w:right w:val="single" w:color="000000" w:sz="8" w:space="0"/>
            </w:tcBorders>
            <w:noWrap w:val="0"/>
            <w:tcMar>
              <w:top w:w="0" w:type="dxa"/>
              <w:left w:w="118" w:type="dxa"/>
              <w:bottom w:w="0" w:type="dxa"/>
              <w:right w:w="118" w:type="dxa"/>
            </w:tcMar>
            <w:vAlign w:val="center"/>
          </w:tcPr>
          <w:p w14:paraId="39CCB2B0">
            <w:pPr>
              <w:pStyle w:val="93"/>
              <w:spacing w:before="0" w:after="0"/>
              <w:ind w:left="0" w:right="0"/>
              <w:jc w:val="both"/>
              <w:rPr>
                <w:rFonts w:ascii="Times New Roman" w:hAnsi="Times New Roman" w:eastAsia="Times New Roman" w:cs="Times New Roman"/>
                <w:b w:val="0"/>
                <w:bCs w:val="0"/>
                <w:i w:val="0"/>
                <w:iCs w:val="0"/>
                <w:smallCaps w:val="0"/>
                <w:color w:val="000000"/>
              </w:rPr>
            </w:pPr>
            <w:r>
              <w:rPr>
                <w:rFonts w:ascii="FangSong_GB2312" w:hAnsi="FangSong_GB2312" w:eastAsia="FangSong_GB2312" w:cs="FangSong_GB2312"/>
                <w:b w:val="0"/>
                <w:bCs w:val="0"/>
                <w:i w:val="0"/>
                <w:iCs w:val="0"/>
                <w:smallCaps w:val="0"/>
                <w:color w:val="000000"/>
                <w:sz w:val="21"/>
                <w:szCs w:val="21"/>
              </w:rPr>
              <w:t>     2</w:t>
            </w:r>
          </w:p>
        </w:tc>
        <w:tc>
          <w:tcPr>
            <w:tcW w:w="2303" w:type="pct"/>
            <w:tcBorders>
              <w:bottom w:val="single" w:color="000000" w:sz="8" w:space="0"/>
              <w:right w:val="single" w:color="000000" w:sz="8" w:space="0"/>
            </w:tcBorders>
            <w:noWrap w:val="0"/>
            <w:tcMar>
              <w:top w:w="0" w:type="dxa"/>
              <w:left w:w="108" w:type="dxa"/>
              <w:bottom w:w="0" w:type="dxa"/>
              <w:right w:w="118" w:type="dxa"/>
            </w:tcMar>
            <w:vAlign w:val="center"/>
          </w:tcPr>
          <w:p w14:paraId="0486D7F2">
            <w:pPr>
              <w:pStyle w:val="93"/>
              <w:spacing w:before="0" w:after="0"/>
              <w:ind w:left="0" w:right="0"/>
              <w:jc w:val="center"/>
              <w:rPr>
                <w:rFonts w:ascii="Times New Roman" w:hAnsi="Times New Roman" w:eastAsia="Times New Roman" w:cs="Times New Roman"/>
                <w:b w:val="0"/>
                <w:bCs w:val="0"/>
                <w:i w:val="0"/>
                <w:iCs w:val="0"/>
                <w:smallCaps w:val="0"/>
                <w:color w:val="000000"/>
              </w:rPr>
            </w:pPr>
            <w:r>
              <w:rPr>
                <w:rFonts w:ascii="FangSong_GB2312" w:hAnsi="FangSong_GB2312" w:eastAsia="FangSong_GB2312" w:cs="FangSong_GB2312"/>
                <w:b w:val="0"/>
                <w:bCs w:val="0"/>
                <w:i w:val="0"/>
                <w:iCs w:val="0"/>
                <w:smallCaps w:val="0"/>
                <w:color w:val="000000"/>
                <w:sz w:val="21"/>
                <w:szCs w:val="21"/>
              </w:rPr>
              <w:t>系统集成与联调测试报告</w:t>
            </w:r>
          </w:p>
        </w:tc>
        <w:tc>
          <w:tcPr>
            <w:tcW w:w="1005" w:type="pct"/>
            <w:tcBorders>
              <w:bottom w:val="single" w:color="000000" w:sz="8" w:space="0"/>
              <w:right w:val="single" w:color="000000" w:sz="8" w:space="0"/>
            </w:tcBorders>
            <w:noWrap w:val="0"/>
            <w:tcMar>
              <w:top w:w="0" w:type="dxa"/>
              <w:left w:w="108" w:type="dxa"/>
              <w:bottom w:w="0" w:type="dxa"/>
              <w:right w:w="118" w:type="dxa"/>
            </w:tcMar>
            <w:vAlign w:val="center"/>
          </w:tcPr>
          <w:p w14:paraId="3EDF8F5B">
            <w:pPr>
              <w:pStyle w:val="93"/>
              <w:spacing w:before="0" w:after="0"/>
              <w:ind w:left="0" w:right="0"/>
              <w:jc w:val="both"/>
              <w:rPr>
                <w:rFonts w:ascii="Times New Roman" w:hAnsi="Times New Roman" w:eastAsia="Times New Roman" w:cs="Times New Roman"/>
                <w:b w:val="0"/>
                <w:bCs w:val="0"/>
                <w:i w:val="0"/>
                <w:iCs w:val="0"/>
                <w:smallCaps w:val="0"/>
                <w:color w:val="000000"/>
              </w:rPr>
            </w:pPr>
            <w:r>
              <w:rPr>
                <w:rFonts w:ascii="FangSong_GB2312" w:hAnsi="FangSong_GB2312" w:eastAsia="FangSong_GB2312" w:cs="FangSong_GB2312"/>
                <w:b w:val="0"/>
                <w:bCs w:val="0"/>
                <w:i w:val="0"/>
                <w:iCs w:val="0"/>
                <w:smallCaps w:val="0"/>
                <w:color w:val="000000"/>
                <w:sz w:val="21"/>
                <w:szCs w:val="21"/>
              </w:rPr>
              <w:t>电子、纸质</w:t>
            </w:r>
          </w:p>
        </w:tc>
        <w:tc>
          <w:tcPr>
            <w:tcW w:w="520" w:type="pct"/>
            <w:tcBorders>
              <w:bottom w:val="single" w:color="000000" w:sz="8" w:space="0"/>
              <w:right w:val="single" w:color="000000" w:sz="8" w:space="0"/>
            </w:tcBorders>
            <w:noWrap w:val="0"/>
            <w:tcMar>
              <w:top w:w="0" w:type="dxa"/>
              <w:left w:w="108" w:type="dxa"/>
              <w:bottom w:w="0" w:type="dxa"/>
              <w:right w:w="118" w:type="dxa"/>
            </w:tcMar>
            <w:vAlign w:val="center"/>
          </w:tcPr>
          <w:p w14:paraId="12DD6144">
            <w:pPr>
              <w:pStyle w:val="93"/>
              <w:spacing w:before="0" w:after="0"/>
              <w:ind w:left="0" w:right="0" w:firstLine="0"/>
              <w:jc w:val="center"/>
              <w:rPr>
                <w:rFonts w:ascii="Times New Roman" w:hAnsi="Times New Roman" w:eastAsia="Times New Roman" w:cs="Times New Roman"/>
                <w:b w:val="0"/>
                <w:bCs w:val="0"/>
                <w:i w:val="0"/>
                <w:iCs w:val="0"/>
                <w:smallCaps w:val="0"/>
                <w:color w:val="000000"/>
              </w:rPr>
            </w:pPr>
            <w:r>
              <w:rPr>
                <w:rFonts w:ascii="FangSong_GB2312" w:hAnsi="FangSong_GB2312" w:eastAsia="FangSong_GB2312" w:cs="FangSong_GB2312"/>
                <w:b w:val="0"/>
                <w:bCs w:val="0"/>
                <w:i w:val="0"/>
                <w:iCs w:val="0"/>
                <w:smallCaps w:val="0"/>
                <w:color w:val="000000"/>
                <w:sz w:val="21"/>
                <w:szCs w:val="21"/>
              </w:rPr>
              <w:t>1</w:t>
            </w:r>
          </w:p>
        </w:tc>
      </w:tr>
      <w:tr w14:paraId="25CAD98F">
        <w:tblPrEx>
          <w:tblCellMar>
            <w:top w:w="15" w:type="dxa"/>
            <w:left w:w="15" w:type="dxa"/>
            <w:bottom w:w="15" w:type="dxa"/>
            <w:right w:w="15" w:type="dxa"/>
          </w:tblCellMar>
        </w:tblPrEx>
        <w:trPr>
          <w:trHeight w:val="786" w:hRule="atLeast"/>
          <w:tblCellSpacing w:w="0" w:type="dxa"/>
        </w:trPr>
        <w:tc>
          <w:tcPr>
            <w:tcW w:w="1166" w:type="pct"/>
            <w:tcBorders>
              <w:left w:val="single" w:color="000000" w:sz="8" w:space="0"/>
              <w:bottom w:val="single" w:color="000000" w:sz="8" w:space="0"/>
              <w:right w:val="single" w:color="000000" w:sz="8" w:space="0"/>
            </w:tcBorders>
            <w:noWrap w:val="0"/>
            <w:tcMar>
              <w:top w:w="0" w:type="dxa"/>
              <w:left w:w="118" w:type="dxa"/>
              <w:bottom w:w="0" w:type="dxa"/>
              <w:right w:w="118" w:type="dxa"/>
            </w:tcMar>
            <w:vAlign w:val="center"/>
          </w:tcPr>
          <w:p w14:paraId="4567DB79">
            <w:pPr>
              <w:pStyle w:val="93"/>
              <w:spacing w:before="0" w:after="0"/>
              <w:ind w:left="0" w:right="0"/>
              <w:jc w:val="both"/>
              <w:rPr>
                <w:rFonts w:ascii="Times New Roman" w:hAnsi="Times New Roman" w:eastAsia="Times New Roman" w:cs="Times New Roman"/>
                <w:b w:val="0"/>
                <w:bCs w:val="0"/>
                <w:i w:val="0"/>
                <w:iCs w:val="0"/>
                <w:smallCaps w:val="0"/>
                <w:color w:val="000000"/>
              </w:rPr>
            </w:pPr>
            <w:r>
              <w:rPr>
                <w:rFonts w:ascii="FangSong_GB2312" w:hAnsi="FangSong_GB2312" w:eastAsia="FangSong_GB2312" w:cs="FangSong_GB2312"/>
                <w:b w:val="0"/>
                <w:bCs w:val="0"/>
                <w:i w:val="0"/>
                <w:iCs w:val="0"/>
                <w:smallCaps w:val="0"/>
                <w:color w:val="000000"/>
                <w:sz w:val="21"/>
                <w:szCs w:val="21"/>
              </w:rPr>
              <w:t>     3</w:t>
            </w:r>
          </w:p>
        </w:tc>
        <w:tc>
          <w:tcPr>
            <w:tcW w:w="2303" w:type="pct"/>
            <w:tcBorders>
              <w:bottom w:val="single" w:color="000000" w:sz="8" w:space="0"/>
              <w:right w:val="single" w:color="000000" w:sz="8" w:space="0"/>
            </w:tcBorders>
            <w:noWrap w:val="0"/>
            <w:tcMar>
              <w:top w:w="0" w:type="dxa"/>
              <w:left w:w="108" w:type="dxa"/>
              <w:bottom w:w="0" w:type="dxa"/>
              <w:right w:w="118" w:type="dxa"/>
            </w:tcMar>
            <w:vAlign w:val="center"/>
          </w:tcPr>
          <w:p w14:paraId="28F6FA53">
            <w:pPr>
              <w:pStyle w:val="93"/>
              <w:spacing w:before="0" w:after="0"/>
              <w:ind w:left="0" w:right="0"/>
              <w:jc w:val="center"/>
              <w:rPr>
                <w:rFonts w:ascii="Times New Roman" w:hAnsi="Times New Roman" w:eastAsia="Times New Roman" w:cs="Times New Roman"/>
                <w:b w:val="0"/>
                <w:bCs w:val="0"/>
                <w:i w:val="0"/>
                <w:iCs w:val="0"/>
                <w:smallCaps w:val="0"/>
                <w:color w:val="000000"/>
              </w:rPr>
            </w:pPr>
            <w:r>
              <w:rPr>
                <w:rFonts w:ascii="FangSong_GB2312" w:hAnsi="FangSong_GB2312" w:eastAsia="FangSong_GB2312" w:cs="FangSong_GB2312"/>
                <w:b w:val="0"/>
                <w:bCs w:val="0"/>
                <w:i w:val="0"/>
                <w:iCs w:val="0"/>
                <w:smallCaps w:val="0"/>
                <w:color w:val="000000"/>
                <w:sz w:val="21"/>
                <w:szCs w:val="21"/>
              </w:rPr>
              <w:t>短信发送状态报告</w:t>
            </w:r>
          </w:p>
        </w:tc>
        <w:tc>
          <w:tcPr>
            <w:tcW w:w="1005" w:type="pct"/>
            <w:tcBorders>
              <w:bottom w:val="single" w:color="000000" w:sz="8" w:space="0"/>
              <w:right w:val="single" w:color="000000" w:sz="8" w:space="0"/>
            </w:tcBorders>
            <w:noWrap w:val="0"/>
            <w:tcMar>
              <w:top w:w="0" w:type="dxa"/>
              <w:left w:w="108" w:type="dxa"/>
              <w:bottom w:w="0" w:type="dxa"/>
              <w:right w:w="118" w:type="dxa"/>
            </w:tcMar>
            <w:vAlign w:val="center"/>
          </w:tcPr>
          <w:p w14:paraId="4409CE39">
            <w:pPr>
              <w:pStyle w:val="93"/>
              <w:spacing w:before="0" w:after="0"/>
              <w:ind w:left="0" w:right="0"/>
              <w:jc w:val="both"/>
              <w:rPr>
                <w:rFonts w:ascii="Times New Roman" w:hAnsi="Times New Roman" w:eastAsia="Times New Roman" w:cs="Times New Roman"/>
                <w:b w:val="0"/>
                <w:bCs w:val="0"/>
                <w:i w:val="0"/>
                <w:iCs w:val="0"/>
                <w:smallCaps w:val="0"/>
                <w:color w:val="000000"/>
              </w:rPr>
            </w:pPr>
            <w:r>
              <w:rPr>
                <w:rFonts w:ascii="FangSong_GB2312" w:hAnsi="FangSong_GB2312" w:eastAsia="FangSong_GB2312" w:cs="FangSong_GB2312"/>
                <w:b w:val="0"/>
                <w:bCs w:val="0"/>
                <w:i w:val="0"/>
                <w:iCs w:val="0"/>
                <w:smallCaps w:val="0"/>
                <w:color w:val="000000"/>
                <w:sz w:val="21"/>
                <w:szCs w:val="21"/>
              </w:rPr>
              <w:t>电子、纸质</w:t>
            </w:r>
          </w:p>
        </w:tc>
        <w:tc>
          <w:tcPr>
            <w:tcW w:w="520" w:type="pct"/>
            <w:tcBorders>
              <w:bottom w:val="single" w:color="000000" w:sz="8" w:space="0"/>
              <w:right w:val="single" w:color="000000" w:sz="8" w:space="0"/>
            </w:tcBorders>
            <w:noWrap w:val="0"/>
            <w:tcMar>
              <w:top w:w="0" w:type="dxa"/>
              <w:left w:w="108" w:type="dxa"/>
              <w:bottom w:w="0" w:type="dxa"/>
              <w:right w:w="118" w:type="dxa"/>
            </w:tcMar>
            <w:vAlign w:val="center"/>
          </w:tcPr>
          <w:p w14:paraId="096188A5">
            <w:pPr>
              <w:pStyle w:val="93"/>
              <w:spacing w:before="0" w:after="0"/>
              <w:ind w:left="0" w:right="0" w:firstLine="0"/>
              <w:jc w:val="center"/>
              <w:rPr>
                <w:rFonts w:ascii="Times New Roman" w:hAnsi="Times New Roman" w:eastAsia="Times New Roman" w:cs="Times New Roman"/>
                <w:b w:val="0"/>
                <w:bCs w:val="0"/>
                <w:i w:val="0"/>
                <w:iCs w:val="0"/>
                <w:smallCaps w:val="0"/>
                <w:color w:val="000000"/>
              </w:rPr>
            </w:pPr>
            <w:r>
              <w:rPr>
                <w:rFonts w:ascii="FangSong_GB2312" w:hAnsi="FangSong_GB2312" w:eastAsia="FangSong_GB2312" w:cs="FangSong_GB2312"/>
                <w:b w:val="0"/>
                <w:bCs w:val="0"/>
                <w:i w:val="0"/>
                <w:iCs w:val="0"/>
                <w:smallCaps w:val="0"/>
                <w:color w:val="000000"/>
                <w:sz w:val="21"/>
                <w:szCs w:val="21"/>
              </w:rPr>
              <w:t>1</w:t>
            </w:r>
          </w:p>
        </w:tc>
      </w:tr>
    </w:tbl>
    <w:p w14:paraId="51533226">
      <w:pPr>
        <w:pStyle w:val="93"/>
        <w:spacing w:before="0" w:after="0" w:line="360" w:lineRule="auto"/>
        <w:ind w:firstLine="480"/>
        <w:jc w:val="both"/>
        <w:rPr>
          <w:rFonts w:ascii="Times New Roman" w:hAnsi="Times New Roman" w:eastAsia="Times New Roman" w:cs="Times New Roman"/>
        </w:rPr>
      </w:pPr>
      <w:r>
        <w:rPr>
          <w:rFonts w:ascii="FangSong_GB2312" w:hAnsi="FangSong_GB2312" w:eastAsia="FangSong_GB2312" w:cs="FangSong_GB2312"/>
          <w:sz w:val="28"/>
          <w:szCs w:val="28"/>
        </w:rPr>
        <w:t>（五）交付物标准</w:t>
      </w:r>
    </w:p>
    <w:p w14:paraId="2D9B4DFA">
      <w:pPr>
        <w:pStyle w:val="93"/>
        <w:spacing w:before="0" w:after="0" w:line="360" w:lineRule="auto"/>
        <w:ind w:firstLine="480"/>
        <w:jc w:val="both"/>
        <w:rPr>
          <w:rFonts w:ascii="Times New Roman" w:hAnsi="Times New Roman" w:eastAsia="Times New Roman" w:cs="Times New Roman"/>
        </w:rPr>
      </w:pPr>
      <w:r>
        <w:rPr>
          <w:rFonts w:ascii="FangSong_GB2312" w:hAnsi="FangSong_GB2312" w:eastAsia="FangSong_GB2312" w:cs="FangSong_GB2312"/>
          <w:sz w:val="28"/>
          <w:szCs w:val="28"/>
        </w:rPr>
        <w:t>中标人需要按照采购人要求，提交相应文档（文档格式必须是采购人制定的模板格式），并保证文档质量。所有文档必须符合文档管理规范。文档验收以抽样方式进行，如果在验收的文档中，错误的总字数超过抽样文档总字数的5%，则视为验收不合格。</w:t>
      </w:r>
    </w:p>
    <w:p w14:paraId="724AB0E4">
      <w:pPr>
        <w:pStyle w:val="93"/>
        <w:spacing w:before="0" w:after="0" w:line="360" w:lineRule="auto"/>
        <w:ind w:firstLine="480"/>
        <w:jc w:val="both"/>
        <w:rPr>
          <w:rFonts w:ascii="Times New Roman" w:hAnsi="Times New Roman" w:eastAsia="Times New Roman" w:cs="Times New Roman"/>
        </w:rPr>
      </w:pPr>
      <w:r>
        <w:rPr>
          <w:rFonts w:ascii="FangSong_GB2312" w:hAnsi="FangSong_GB2312" w:eastAsia="FangSong_GB2312" w:cs="FangSong_GB2312"/>
          <w:sz w:val="28"/>
          <w:szCs w:val="28"/>
        </w:rPr>
        <w:t>验收过程中所产生的一切费用均由中标人承担。报价时应考虑相关费用。</w:t>
      </w:r>
    </w:p>
    <w:p w14:paraId="5A8B0D67">
      <w:pPr>
        <w:pStyle w:val="93"/>
        <w:spacing w:before="0" w:after="0" w:line="360" w:lineRule="auto"/>
        <w:ind w:firstLine="480"/>
        <w:jc w:val="both"/>
        <w:rPr>
          <w:rFonts w:ascii="Times New Roman" w:hAnsi="Times New Roman" w:eastAsia="Times New Roman" w:cs="Times New Roman"/>
        </w:rPr>
      </w:pPr>
      <w:r>
        <w:rPr>
          <w:rFonts w:ascii="FangSong_GB2312" w:hAnsi="FangSong_GB2312" w:eastAsia="FangSong_GB2312" w:cs="FangSong_GB2312"/>
          <w:sz w:val="28"/>
          <w:szCs w:val="28"/>
        </w:rPr>
        <w:t>（六）整改要求</w:t>
      </w:r>
    </w:p>
    <w:p w14:paraId="2A7DC559">
      <w:pPr>
        <w:pStyle w:val="93"/>
        <w:spacing w:before="0" w:after="0" w:line="360" w:lineRule="auto"/>
        <w:ind w:firstLine="480"/>
        <w:jc w:val="both"/>
        <w:rPr>
          <w:rFonts w:ascii="Times New Roman" w:hAnsi="Times New Roman" w:eastAsia="Times New Roman" w:cs="Times New Roman"/>
        </w:rPr>
      </w:pPr>
      <w:r>
        <w:rPr>
          <w:rFonts w:ascii="FangSong_GB2312" w:hAnsi="FangSong_GB2312" w:eastAsia="FangSong_GB2312" w:cs="FangSong_GB2312"/>
          <w:sz w:val="28"/>
          <w:szCs w:val="28"/>
        </w:rPr>
        <w:t>若在签署最终验收文件后3周内，由于中标人的原因，该项目有一条及以上达不到本项目招标文件规定的技术及服务要求时，中标人应在1周内采取有效措施，使该项目完全达到规定的技术及服务要求。</w:t>
      </w:r>
    </w:p>
    <w:p w14:paraId="2470B9E9">
      <w:pPr>
        <w:pStyle w:val="90"/>
        <w:keepNext w:val="0"/>
        <w:spacing w:before="0" w:after="0" w:line="360" w:lineRule="auto"/>
        <w:jc w:val="center"/>
        <w:rPr>
          <w:rFonts w:ascii="仿宋_GB2312" w:hAnsi="仿宋_GB2312" w:eastAsia="仿宋_GB2312" w:cs="仿宋_GB2312"/>
          <w:b/>
          <w:bCs/>
          <w:sz w:val="32"/>
          <w:szCs w:val="32"/>
        </w:rPr>
      </w:pPr>
      <w:bookmarkStart w:id="36" w:name="_Toc256000035"/>
      <w:r>
        <w:rPr>
          <w:rFonts w:ascii="仿宋_GB2312" w:hAnsi="仿宋_GB2312" w:eastAsia="仿宋_GB2312" w:cs="仿宋_GB2312"/>
          <w:kern w:val="36"/>
        </w:rPr>
        <w:t>8其他要求</w:t>
      </w:r>
      <w:bookmarkEnd w:id="36"/>
    </w:p>
    <w:p w14:paraId="157B18BA">
      <w:pPr>
        <w:pStyle w:val="91"/>
        <w:keepNext w:val="0"/>
        <w:spacing w:before="0" w:after="0" w:line="360" w:lineRule="auto"/>
        <w:rPr>
          <w:rFonts w:ascii="仿宋_GB2312" w:hAnsi="仿宋_GB2312" w:eastAsia="仿宋_GB2312" w:cs="仿宋_GB2312"/>
          <w:b/>
          <w:bCs/>
          <w:sz w:val="28"/>
          <w:szCs w:val="28"/>
        </w:rPr>
      </w:pPr>
      <w:bookmarkStart w:id="37" w:name="_Toc256000036"/>
      <w:r>
        <w:rPr>
          <w:rFonts w:ascii="仿宋_GB2312" w:hAnsi="仿宋_GB2312" w:eastAsia="仿宋_GB2312" w:cs="仿宋_GB2312"/>
          <w:i w:val="0"/>
          <w:iCs w:val="0"/>
        </w:rPr>
        <w:t>8.1必备要求</w:t>
      </w:r>
      <w:bookmarkEnd w:id="37"/>
    </w:p>
    <w:p w14:paraId="5AFDDDB6">
      <w:pPr>
        <w:pStyle w:val="92"/>
        <w:keepNext w:val="0"/>
        <w:spacing w:before="0" w:after="0" w:line="360" w:lineRule="auto"/>
        <w:rPr>
          <w:rFonts w:ascii="仿宋_GB2312" w:hAnsi="仿宋_GB2312" w:eastAsia="仿宋_GB2312" w:cs="仿宋_GB2312"/>
          <w:b/>
          <w:bCs/>
          <w:sz w:val="28"/>
          <w:szCs w:val="28"/>
        </w:rPr>
      </w:pPr>
      <w:bookmarkStart w:id="38" w:name="_Toc256000037"/>
      <w:r>
        <w:rPr>
          <w:rFonts w:ascii="仿宋_GB2312" w:hAnsi="仿宋_GB2312" w:eastAsia="仿宋_GB2312" w:cs="仿宋_GB2312"/>
          <w:sz w:val="28"/>
          <w:szCs w:val="28"/>
        </w:rPr>
        <w:t>8.1.1通用必备要求</w:t>
      </w:r>
      <w:bookmarkEnd w:id="38"/>
    </w:p>
    <w:p w14:paraId="3130E38C">
      <w:pPr>
        <w:pStyle w:val="18"/>
        <w:spacing w:before="0" w:after="0" w:line="360" w:lineRule="auto"/>
        <w:ind w:firstLine="561"/>
        <w:rPr>
          <w:rFonts w:ascii="仿宋_GB2312" w:hAnsi="仿宋_GB2312" w:eastAsia="仿宋_GB2312" w:cs="仿宋_GB2312"/>
          <w:sz w:val="28"/>
          <w:szCs w:val="28"/>
        </w:rPr>
      </w:pPr>
      <w:r>
        <w:rPr>
          <w:rFonts w:ascii="仿宋_GB2312" w:hAnsi="仿宋_GB2312" w:eastAsia="仿宋_GB2312" w:cs="仿宋_GB2312"/>
          <w:sz w:val="28"/>
          <w:szCs w:val="28"/>
        </w:rPr>
        <w:t xml:space="preserve">1.本项目中如涉及商品包装和快递包装的，其包装需求标准应不低于《关于印发&lt;商品包装政府采购需求标准（试行）&gt;、&lt;快递包装政府采购需求标准（试行）&gt;的通知》（财办库〔2020〕123 号）规定的包装要求，如有其他包装需求，详见采购文件技术部分相关章节。 </w:t>
      </w:r>
    </w:p>
    <w:p w14:paraId="17646830">
      <w:pPr>
        <w:pStyle w:val="18"/>
        <w:spacing w:before="0" w:after="0" w:line="360" w:lineRule="auto"/>
        <w:ind w:firstLine="561"/>
        <w:rPr>
          <w:rFonts w:ascii="仿宋_GB2312" w:hAnsi="仿宋_GB2312" w:eastAsia="仿宋_GB2312" w:cs="仿宋_GB2312"/>
          <w:sz w:val="28"/>
          <w:szCs w:val="28"/>
        </w:rPr>
      </w:pPr>
      <w:r>
        <w:rPr>
          <w:rFonts w:ascii="仿宋_GB2312" w:hAnsi="仿宋_GB2312" w:eastAsia="仿宋_GB2312" w:cs="仿宋_GB2312"/>
          <w:sz w:val="28"/>
          <w:szCs w:val="28"/>
        </w:rPr>
        <w:t xml:space="preserve">2.本项目中如涉及网络关键设备或网络安全专用产品的，应严格执行国家互联网信息办公室、工业和信息化部、公安部、财政部和国家认证认可监督管理委员会 2023年第 1 号《关于调整网络安全专用产品安全管理有关事项的公告》及国家互联网信息办公室、工业和信息化部、公安部和国家认证认可监督管理委员会 2023 年第 2号《关于调整&lt;网络关键设备和网络安全专用产品目录&gt;的公告》等相关文件要求，所投标（响应）设备或产品至少符合以下条件之一：一是已由具备资格的机构安全认证合格或安全检测符合要求；二是已获得《计算机信息系统安全专用产品销售许可证》，且在有效期内。 </w:t>
      </w:r>
    </w:p>
    <w:p w14:paraId="2409186F">
      <w:pPr>
        <w:pStyle w:val="18"/>
        <w:spacing w:before="0" w:after="0" w:line="360" w:lineRule="auto"/>
        <w:ind w:firstLine="561"/>
        <w:rPr>
          <w:rFonts w:ascii="仿宋_GB2312" w:hAnsi="仿宋_GB2312" w:eastAsia="仿宋_GB2312" w:cs="仿宋_GB2312"/>
          <w:sz w:val="28"/>
          <w:szCs w:val="28"/>
        </w:rPr>
      </w:pPr>
      <w:r>
        <w:rPr>
          <w:rFonts w:ascii="仿宋_GB2312" w:hAnsi="仿宋_GB2312" w:eastAsia="仿宋_GB2312" w:cs="仿宋_GB2312"/>
          <w:sz w:val="28"/>
          <w:szCs w:val="28"/>
        </w:rPr>
        <w:t xml:space="preserve">3.本项目中如涉及国家强制性产品认证证书（CCC 认证证书）、电信设备进网许可证、无线电发射设备核准证等市场准入类资质的，应严格执行国家相关法律法规的要求。 </w:t>
      </w:r>
    </w:p>
    <w:p w14:paraId="4B110E3E">
      <w:pPr>
        <w:pStyle w:val="18"/>
        <w:spacing w:before="0" w:after="0" w:line="360" w:lineRule="auto"/>
        <w:ind w:firstLine="561"/>
        <w:rPr>
          <w:rFonts w:ascii="仿宋_GB2312" w:hAnsi="仿宋_GB2312" w:eastAsia="仿宋_GB2312" w:cs="仿宋_GB2312"/>
          <w:sz w:val="28"/>
          <w:szCs w:val="28"/>
        </w:rPr>
      </w:pPr>
      <w:r>
        <w:rPr>
          <w:rFonts w:ascii="仿宋_GB2312" w:hAnsi="仿宋_GB2312" w:eastAsia="仿宋_GB2312" w:cs="仿宋_GB2312"/>
          <w:sz w:val="28"/>
          <w:szCs w:val="28"/>
        </w:rPr>
        <w:t>以上相关要求，由供应商在响应时应答，在履约验收中，采购人将按照采购文件、中标/成交供应商响应文件、采购合同等对中标/成交供应商提供的货物和服务进行验收，必要时依法依规开展相应检测、认证。</w:t>
      </w:r>
    </w:p>
    <w:p w14:paraId="4720C526">
      <w:pPr>
        <w:pStyle w:val="93"/>
        <w:spacing w:before="0" w:after="0" w:line="360" w:lineRule="auto"/>
        <w:ind w:firstLine="480"/>
        <w:jc w:val="both"/>
        <w:rPr>
          <w:rFonts w:ascii="Times New Roman" w:hAnsi="Times New Roman" w:eastAsia="Times New Roman" w:cs="Times New Roman"/>
        </w:rPr>
      </w:pPr>
      <w:r>
        <w:rPr>
          <w:rFonts w:ascii="FangSong_GB2312" w:hAnsi="FangSong_GB2312" w:eastAsia="FangSong_GB2312" w:cs="FangSong_GB2312"/>
          <w:sz w:val="28"/>
          <w:szCs w:val="28"/>
        </w:rPr>
        <w:t>（一）投标人可以根据项目要求，在投标文件中提供包括但不限于：项目需求理解、实施方案、验收方案等。</w:t>
      </w:r>
    </w:p>
    <w:p w14:paraId="6D18F91B">
      <w:pPr>
        <w:pStyle w:val="93"/>
        <w:spacing w:before="0" w:after="0" w:line="360" w:lineRule="auto"/>
        <w:ind w:firstLine="480"/>
        <w:jc w:val="both"/>
        <w:rPr>
          <w:rFonts w:ascii="Times New Roman" w:hAnsi="Times New Roman" w:eastAsia="Times New Roman" w:cs="Times New Roman"/>
        </w:rPr>
      </w:pPr>
      <w:r>
        <w:rPr>
          <w:rFonts w:ascii="FangSong_GB2312" w:hAnsi="FangSong_GB2312" w:eastAsia="FangSong_GB2312" w:cs="FangSong_GB2312"/>
          <w:sz w:val="28"/>
          <w:szCs w:val="28"/>
        </w:rPr>
        <w:t>（1）项目需求理解：投标人对招标文件中项目需求部分进行逐一响应，须充分理解项目招标内容，对工作内容、工作流程、项目实施的重点及难点，对应措施等方面进行详细、深入阐述和分析。</w:t>
      </w:r>
    </w:p>
    <w:p w14:paraId="4CFA9F2A">
      <w:pPr>
        <w:pStyle w:val="93"/>
        <w:spacing w:before="0" w:after="0" w:line="360" w:lineRule="auto"/>
        <w:ind w:firstLine="480"/>
        <w:jc w:val="both"/>
        <w:rPr>
          <w:rFonts w:ascii="Times New Roman" w:hAnsi="Times New Roman" w:eastAsia="Times New Roman" w:cs="Times New Roman"/>
        </w:rPr>
      </w:pPr>
      <w:r>
        <w:rPr>
          <w:rFonts w:ascii="FangSong_GB2312" w:hAnsi="FangSong_GB2312" w:eastAsia="FangSong_GB2312" w:cs="FangSong_GB2312"/>
          <w:sz w:val="28"/>
          <w:szCs w:val="28"/>
        </w:rPr>
        <w:t>（2）实施方案：投标人对本项目需求制订的实施进度计划、项目管理组织管控、项目实施过程等实施方案完整、详细、具有可操作性。</w:t>
      </w:r>
    </w:p>
    <w:p w14:paraId="5E1937DC">
      <w:pPr>
        <w:pStyle w:val="93"/>
        <w:spacing w:before="0" w:after="0" w:line="360" w:lineRule="auto"/>
        <w:ind w:firstLine="480"/>
        <w:jc w:val="both"/>
        <w:rPr>
          <w:rFonts w:ascii="Times New Roman" w:hAnsi="Times New Roman" w:eastAsia="Times New Roman" w:cs="Times New Roman"/>
        </w:rPr>
      </w:pPr>
      <w:r>
        <w:rPr>
          <w:rFonts w:ascii="FangSong_GB2312" w:hAnsi="FangSong_GB2312" w:eastAsia="FangSong_GB2312" w:cs="FangSong_GB2312"/>
          <w:sz w:val="28"/>
          <w:szCs w:val="28"/>
        </w:rPr>
        <w:t>（3）验收方案：投标人对本项目验收要求制订的验收内容、验收方式、验收流程及标准、验收交付物、验收中出现问题的解决办法和补救措施等验收方案内容完整、详细、具有可操作性。</w:t>
      </w:r>
    </w:p>
    <w:p w14:paraId="2C0157D2">
      <w:pPr>
        <w:pStyle w:val="93"/>
        <w:spacing w:before="0" w:after="0" w:line="360" w:lineRule="auto"/>
        <w:ind w:firstLine="480"/>
        <w:jc w:val="both"/>
        <w:rPr>
          <w:rFonts w:ascii="Times New Roman" w:hAnsi="Times New Roman" w:eastAsia="Times New Roman" w:cs="Times New Roman"/>
        </w:rPr>
      </w:pPr>
      <w:r>
        <w:rPr>
          <w:rFonts w:ascii="FangSong_GB2312" w:hAnsi="FangSong_GB2312" w:eastAsia="FangSong_GB2312" w:cs="FangSong_GB2312"/>
          <w:sz w:val="28"/>
          <w:szCs w:val="28"/>
        </w:rPr>
        <w:t>（二）投标人相关成功案例、证书：</w:t>
      </w:r>
    </w:p>
    <w:p w14:paraId="02B37E2F">
      <w:pPr>
        <w:pStyle w:val="93"/>
        <w:spacing w:before="0" w:after="0" w:line="360" w:lineRule="auto"/>
        <w:ind w:firstLine="480"/>
        <w:jc w:val="both"/>
        <w:rPr>
          <w:rFonts w:ascii="Times New Roman" w:hAnsi="Times New Roman" w:eastAsia="Times New Roman" w:cs="Times New Roman"/>
        </w:rPr>
      </w:pPr>
      <w:r>
        <w:rPr>
          <w:rFonts w:ascii="FangSong_GB2312" w:hAnsi="FangSong_GB2312" w:eastAsia="FangSong_GB2312" w:cs="FangSong_GB2312"/>
          <w:sz w:val="28"/>
          <w:szCs w:val="28"/>
        </w:rPr>
        <w:t>投标人如有相关成功案例、证书，可按第三章《评标方法及标准》的要求提供相关证明材料。</w:t>
      </w:r>
    </w:p>
    <w:p w14:paraId="0BD32D04">
      <w:pPr>
        <w:pStyle w:val="91"/>
        <w:keepNext w:val="0"/>
        <w:spacing w:before="0" w:after="0" w:line="360" w:lineRule="auto"/>
        <w:rPr>
          <w:rFonts w:ascii="仿宋_GB2312" w:hAnsi="仿宋_GB2312" w:eastAsia="仿宋_GB2312" w:cs="仿宋_GB2312"/>
          <w:b/>
          <w:bCs/>
          <w:sz w:val="28"/>
          <w:szCs w:val="28"/>
        </w:rPr>
      </w:pPr>
      <w:bookmarkStart w:id="39" w:name="_Toc256000038"/>
      <w:r>
        <w:rPr>
          <w:rFonts w:ascii="仿宋_GB2312" w:hAnsi="仿宋_GB2312" w:eastAsia="仿宋_GB2312" w:cs="仿宋_GB2312"/>
          <w:i w:val="0"/>
          <w:iCs w:val="0"/>
        </w:rPr>
        <w:t>8.2付款安排建议</w:t>
      </w:r>
      <w:bookmarkEnd w:id="39"/>
    </w:p>
    <w:tbl>
      <w:tblPr>
        <w:tblStyle w:val="32"/>
        <w:tblW w:w="5000" w:type="pct"/>
        <w:tblInd w:w="30" w:type="dxa"/>
        <w:tblLayout w:type="autofit"/>
        <w:tblCellMar>
          <w:top w:w="15" w:type="dxa"/>
          <w:left w:w="15" w:type="dxa"/>
          <w:bottom w:w="15" w:type="dxa"/>
          <w:right w:w="15" w:type="dxa"/>
        </w:tblCellMar>
      </w:tblPr>
      <w:tblGrid>
        <w:gridCol w:w="1814"/>
        <w:gridCol w:w="5442"/>
        <w:gridCol w:w="1814"/>
      </w:tblGrid>
      <w:tr w14:paraId="779EFF06">
        <w:tblPrEx>
          <w:tblCellMar>
            <w:top w:w="15" w:type="dxa"/>
            <w:left w:w="15" w:type="dxa"/>
            <w:bottom w:w="15" w:type="dxa"/>
            <w:right w:w="15" w:type="dxa"/>
          </w:tblCellMar>
        </w:tblPrEx>
        <w:tc>
          <w:tcPr>
            <w:tcW w:w="1000" w:type="pct"/>
            <w:tcBorders>
              <w:top w:val="single" w:color="000000" w:sz="6" w:space="0"/>
              <w:left w:val="single" w:color="000000" w:sz="6" w:space="0"/>
              <w:bottom w:val="single" w:color="000000" w:sz="6" w:space="0"/>
              <w:right w:val="single" w:color="000000" w:sz="6" w:space="0"/>
            </w:tcBorders>
            <w:shd w:val="clear" w:color="auto" w:fill="D3D3D3"/>
            <w:noWrap w:val="0"/>
            <w:tcMar>
              <w:top w:w="22" w:type="dxa"/>
              <w:left w:w="22" w:type="dxa"/>
              <w:bottom w:w="22" w:type="dxa"/>
              <w:right w:w="22" w:type="dxa"/>
            </w:tcMar>
            <w:vAlign w:val="center"/>
          </w:tcPr>
          <w:p w14:paraId="712964F7">
            <w:pPr>
              <w:pStyle w:val="18"/>
              <w:jc w:val="center"/>
              <w:rPr>
                <w:rFonts w:ascii="仿宋_GB2312" w:hAnsi="仿宋_GB2312" w:eastAsia="仿宋_GB2312" w:cs="仿宋_GB2312"/>
                <w:b/>
                <w:bCs/>
                <w:i w:val="0"/>
                <w:iCs w:val="0"/>
                <w:smallCaps w:val="0"/>
                <w:color w:val="000000"/>
                <w:sz w:val="21"/>
                <w:szCs w:val="21"/>
              </w:rPr>
            </w:pPr>
            <w:r>
              <w:rPr>
                <w:rFonts w:ascii="仿宋_GB2312" w:hAnsi="仿宋_GB2312" w:eastAsia="仿宋_GB2312" w:cs="仿宋_GB2312"/>
                <w:b/>
                <w:bCs/>
                <w:i w:val="0"/>
                <w:iCs w:val="0"/>
                <w:smallCaps w:val="0"/>
                <w:color w:val="000000"/>
                <w:sz w:val="21"/>
                <w:szCs w:val="21"/>
              </w:rPr>
              <w:t>付款名称</w:t>
            </w:r>
          </w:p>
        </w:tc>
        <w:tc>
          <w:tcPr>
            <w:tcW w:w="3000" w:type="pct"/>
            <w:tcBorders>
              <w:top w:val="single" w:color="000000" w:sz="6" w:space="0"/>
              <w:left w:val="single" w:color="000000" w:sz="6" w:space="0"/>
              <w:bottom w:val="single" w:color="000000" w:sz="6" w:space="0"/>
              <w:right w:val="single" w:color="000000" w:sz="6" w:space="0"/>
            </w:tcBorders>
            <w:shd w:val="clear" w:color="auto" w:fill="D3D3D3"/>
            <w:noWrap w:val="0"/>
            <w:tcMar>
              <w:top w:w="22" w:type="dxa"/>
              <w:left w:w="22" w:type="dxa"/>
              <w:bottom w:w="22" w:type="dxa"/>
              <w:right w:w="22" w:type="dxa"/>
            </w:tcMar>
            <w:vAlign w:val="center"/>
          </w:tcPr>
          <w:p w14:paraId="3B8B94A9">
            <w:pPr>
              <w:pStyle w:val="18"/>
              <w:jc w:val="center"/>
              <w:rPr>
                <w:rFonts w:ascii="仿宋_GB2312" w:hAnsi="仿宋_GB2312" w:eastAsia="仿宋_GB2312" w:cs="仿宋_GB2312"/>
                <w:b/>
                <w:bCs/>
                <w:i w:val="0"/>
                <w:iCs w:val="0"/>
                <w:smallCaps w:val="0"/>
                <w:color w:val="000000"/>
                <w:sz w:val="21"/>
                <w:szCs w:val="21"/>
              </w:rPr>
            </w:pPr>
            <w:r>
              <w:rPr>
                <w:rFonts w:ascii="仿宋_GB2312" w:hAnsi="仿宋_GB2312" w:eastAsia="仿宋_GB2312" w:cs="仿宋_GB2312"/>
                <w:b/>
                <w:bCs/>
                <w:i w:val="0"/>
                <w:iCs w:val="0"/>
                <w:smallCaps w:val="0"/>
                <w:color w:val="000000"/>
                <w:sz w:val="21"/>
                <w:szCs w:val="21"/>
              </w:rPr>
              <w:t>付款要求</w:t>
            </w:r>
          </w:p>
        </w:tc>
        <w:tc>
          <w:tcPr>
            <w:tcW w:w="1000" w:type="pct"/>
            <w:tcBorders>
              <w:top w:val="single" w:color="000000" w:sz="6" w:space="0"/>
              <w:left w:val="single" w:color="000000" w:sz="6" w:space="0"/>
              <w:bottom w:val="single" w:color="000000" w:sz="6" w:space="0"/>
              <w:right w:val="single" w:color="000000" w:sz="6" w:space="0"/>
            </w:tcBorders>
            <w:shd w:val="clear" w:color="auto" w:fill="D3D3D3"/>
            <w:noWrap w:val="0"/>
            <w:tcMar>
              <w:top w:w="22" w:type="dxa"/>
              <w:left w:w="22" w:type="dxa"/>
              <w:bottom w:w="22" w:type="dxa"/>
              <w:right w:w="22" w:type="dxa"/>
            </w:tcMar>
            <w:vAlign w:val="center"/>
          </w:tcPr>
          <w:p w14:paraId="0E67DF9F">
            <w:pPr>
              <w:pStyle w:val="18"/>
              <w:jc w:val="center"/>
              <w:rPr>
                <w:rFonts w:ascii="仿宋_GB2312" w:hAnsi="仿宋_GB2312" w:eastAsia="仿宋_GB2312" w:cs="仿宋_GB2312"/>
                <w:b/>
                <w:bCs/>
                <w:i w:val="0"/>
                <w:iCs w:val="0"/>
                <w:smallCaps w:val="0"/>
                <w:color w:val="000000"/>
                <w:sz w:val="21"/>
                <w:szCs w:val="21"/>
              </w:rPr>
            </w:pPr>
            <w:r>
              <w:rPr>
                <w:rFonts w:ascii="仿宋_GB2312" w:hAnsi="仿宋_GB2312" w:eastAsia="仿宋_GB2312" w:cs="仿宋_GB2312"/>
                <w:b/>
                <w:bCs/>
                <w:i w:val="0"/>
                <w:iCs w:val="0"/>
                <w:smallCaps w:val="0"/>
                <w:color w:val="000000"/>
                <w:sz w:val="21"/>
                <w:szCs w:val="21"/>
              </w:rPr>
              <w:t>付款比例(%)</w:t>
            </w:r>
          </w:p>
        </w:tc>
      </w:tr>
      <w:tr w14:paraId="38A36548">
        <w:tblPrEx>
          <w:tblCellMar>
            <w:top w:w="15" w:type="dxa"/>
            <w:left w:w="15" w:type="dxa"/>
            <w:bottom w:w="15" w:type="dxa"/>
            <w:right w:w="15" w:type="dxa"/>
          </w:tblCellMar>
        </w:tblPrEx>
        <w:tc>
          <w:tcPr>
            <w:tcW w:w="795" w:type="dxa"/>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5ACF0FB6">
            <w:pPr>
              <w:pStyle w:val="18"/>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按月据实支付上月费用</w:t>
            </w:r>
          </w:p>
        </w:tc>
        <w:tc>
          <w:tcPr>
            <w:tcW w:w="2295" w:type="dxa"/>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35B73622">
            <w:pPr>
              <w:pStyle w:val="18"/>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1）计费方式为按月计费，付费方式为先服务后付费。采购人在每个自然月结束后10个工作日内按照实际发送成功量乘以中标单价金额计算上月短信发送费用，并依据项目验收标准及本合同约定的罚则条款进行考核，根据考核结果核算上月应付金额后，向中标人支付上月费用。</w:t>
            </w:r>
            <w:r>
              <w:rPr>
                <w:rFonts w:ascii="仿宋_GB2312" w:hAnsi="仿宋_GB2312" w:eastAsia="仿宋_GB2312" w:cs="仿宋_GB2312"/>
                <w:b w:val="0"/>
                <w:bCs w:val="0"/>
                <w:i w:val="0"/>
                <w:iCs w:val="0"/>
                <w:smallCaps w:val="0"/>
                <w:color w:val="000000"/>
                <w:sz w:val="21"/>
                <w:szCs w:val="21"/>
              </w:rPr>
              <w:br w:type="textWrapping"/>
            </w:r>
            <w:r>
              <w:rPr>
                <w:rFonts w:ascii="仿宋_GB2312" w:hAnsi="仿宋_GB2312" w:eastAsia="仿宋_GB2312" w:cs="仿宋_GB2312"/>
                <w:b w:val="0"/>
                <w:bCs w:val="0"/>
                <w:i w:val="0"/>
                <w:iCs w:val="0"/>
                <w:smallCaps w:val="0"/>
                <w:color w:val="000000"/>
                <w:sz w:val="21"/>
                <w:szCs w:val="21"/>
              </w:rPr>
              <w:t>（2）采购人付款前，中标人应向采购人开具等额有效的发票，采购人收到合规发票后10个工作日内将合同款项支付到合同约定的中标人账户；采购人未收到发票的，有权不予支付，并不承担延迟付款责任。</w:t>
            </w:r>
          </w:p>
        </w:tc>
        <w:tc>
          <w:tcPr>
            <w:tcW w:w="795" w:type="dxa"/>
            <w:tcBorders>
              <w:top w:val="single" w:color="000000" w:sz="6" w:space="0"/>
              <w:left w:val="single" w:color="000000" w:sz="6" w:space="0"/>
              <w:bottom w:val="single" w:color="000000" w:sz="6" w:space="0"/>
              <w:right w:val="single" w:color="000000" w:sz="6" w:space="0"/>
            </w:tcBorders>
            <w:noWrap w:val="0"/>
            <w:tcMar>
              <w:top w:w="22" w:type="dxa"/>
              <w:left w:w="22" w:type="dxa"/>
              <w:bottom w:w="22" w:type="dxa"/>
              <w:right w:w="22" w:type="dxa"/>
            </w:tcMar>
            <w:vAlign w:val="center"/>
          </w:tcPr>
          <w:p w14:paraId="757A7F79">
            <w:pPr>
              <w:pStyle w:val="18"/>
              <w:jc w:val="left"/>
              <w:rPr>
                <w:rFonts w:ascii="仿宋_GB2312" w:hAnsi="仿宋_GB2312" w:eastAsia="仿宋_GB2312" w:cs="仿宋_GB2312"/>
                <w:b w:val="0"/>
                <w:bCs w:val="0"/>
                <w:i w:val="0"/>
                <w:iCs w:val="0"/>
                <w:smallCaps w:val="0"/>
                <w:color w:val="000000"/>
                <w:sz w:val="21"/>
                <w:szCs w:val="21"/>
              </w:rPr>
            </w:pPr>
            <w:r>
              <w:rPr>
                <w:rFonts w:ascii="仿宋_GB2312" w:hAnsi="仿宋_GB2312" w:eastAsia="仿宋_GB2312" w:cs="仿宋_GB2312"/>
                <w:b w:val="0"/>
                <w:bCs w:val="0"/>
                <w:i w:val="0"/>
                <w:iCs w:val="0"/>
                <w:smallCaps w:val="0"/>
                <w:color w:val="000000"/>
                <w:sz w:val="21"/>
                <w:szCs w:val="21"/>
              </w:rPr>
              <w:t>100.0</w:t>
            </w:r>
          </w:p>
        </w:tc>
      </w:tr>
    </w:tbl>
    <w:p w14:paraId="3BD360DA">
      <w:pPr>
        <w:pStyle w:val="91"/>
        <w:keepNext w:val="0"/>
        <w:spacing w:before="0" w:after="0" w:line="360" w:lineRule="auto"/>
        <w:rPr>
          <w:rFonts w:ascii="仿宋_GB2312" w:hAnsi="仿宋_GB2312" w:eastAsia="仿宋_GB2312" w:cs="仿宋_GB2312"/>
          <w:b/>
          <w:bCs/>
          <w:sz w:val="28"/>
          <w:szCs w:val="28"/>
        </w:rPr>
      </w:pPr>
      <w:bookmarkStart w:id="40" w:name="_Toc256000039"/>
      <w:r>
        <w:rPr>
          <w:rFonts w:ascii="仿宋_GB2312" w:hAnsi="仿宋_GB2312" w:eastAsia="仿宋_GB2312" w:cs="仿宋_GB2312"/>
          <w:i w:val="0"/>
          <w:iCs w:val="0"/>
        </w:rPr>
        <w:t>8.3其他要求</w:t>
      </w:r>
      <w:bookmarkEnd w:id="40"/>
    </w:p>
    <w:p w14:paraId="72BBF8D1">
      <w:pPr>
        <w:pStyle w:val="92"/>
        <w:keepNext w:val="0"/>
        <w:spacing w:before="0" w:after="0" w:line="360" w:lineRule="auto"/>
        <w:rPr>
          <w:rFonts w:ascii="仿宋_GB2312" w:hAnsi="仿宋_GB2312" w:eastAsia="仿宋_GB2312" w:cs="仿宋_GB2312"/>
          <w:b/>
          <w:bCs/>
          <w:sz w:val="28"/>
          <w:szCs w:val="28"/>
        </w:rPr>
      </w:pPr>
      <w:bookmarkStart w:id="41" w:name="_Toc256000040"/>
      <w:r>
        <w:rPr>
          <w:rFonts w:ascii="仿宋_GB2312" w:hAnsi="仿宋_GB2312" w:eastAsia="仿宋_GB2312" w:cs="仿宋_GB2312"/>
          <w:sz w:val="28"/>
          <w:szCs w:val="28"/>
        </w:rPr>
        <w:t>8.3.1保密要求</w:t>
      </w:r>
      <w:bookmarkEnd w:id="41"/>
    </w:p>
    <w:p w14:paraId="3A6C11F7">
      <w:pPr>
        <w:pStyle w:val="18"/>
        <w:spacing w:before="0" w:after="0" w:line="360" w:lineRule="auto"/>
        <w:rPr>
          <w:rFonts w:ascii="FangSong_GB2312" w:hAnsi="FangSong_GB2312" w:eastAsia="FangSong_GB2312" w:cs="FangSong_GB2312"/>
          <w:sz w:val="28"/>
          <w:szCs w:val="28"/>
        </w:rPr>
      </w:pPr>
      <w:r>
        <w:rPr>
          <w:rFonts w:ascii="FangSong_GB2312" w:hAnsi="FangSong_GB2312" w:eastAsia="FangSong_GB2312" w:cs="FangSong_GB2312"/>
          <w:sz w:val="28"/>
          <w:szCs w:val="28"/>
        </w:rPr>
        <w:t>    中标人应对采购人发送的短信数据（包括发送对象及内容）实施保密管理，防止数据被窃取或数据损坏等，避免数据丢失。</w:t>
      </w:r>
    </w:p>
    <w:p w14:paraId="64E7AF3C">
      <w:pPr>
        <w:pStyle w:val="92"/>
        <w:keepNext w:val="0"/>
        <w:spacing w:before="0" w:after="0" w:line="360" w:lineRule="auto"/>
        <w:rPr>
          <w:rFonts w:ascii="仿宋_GB2312" w:hAnsi="仿宋_GB2312" w:eastAsia="仿宋_GB2312" w:cs="仿宋_GB2312"/>
          <w:b/>
          <w:bCs/>
          <w:sz w:val="28"/>
          <w:szCs w:val="28"/>
        </w:rPr>
      </w:pPr>
      <w:bookmarkStart w:id="42" w:name="_Toc256000041"/>
      <w:r>
        <w:rPr>
          <w:rFonts w:ascii="仿宋_GB2312" w:hAnsi="仿宋_GB2312" w:eastAsia="仿宋_GB2312" w:cs="仿宋_GB2312"/>
          <w:sz w:val="28"/>
          <w:szCs w:val="28"/>
        </w:rPr>
        <w:t>8.3.2知识转移要求</w:t>
      </w:r>
      <w:bookmarkEnd w:id="42"/>
    </w:p>
    <w:p w14:paraId="7DA3B226">
      <w:pPr>
        <w:pStyle w:val="18"/>
        <w:spacing w:before="0" w:after="0" w:line="360" w:lineRule="auto"/>
        <w:ind w:firstLine="560"/>
        <w:jc w:val="both"/>
        <w:rPr>
          <w:rFonts w:ascii="FangSong_GB2312" w:hAnsi="FangSong_GB2312" w:eastAsia="FangSong_GB2312" w:cs="FangSong_GB2312"/>
          <w:sz w:val="28"/>
          <w:szCs w:val="28"/>
        </w:rPr>
      </w:pPr>
      <w:r>
        <w:rPr>
          <w:rFonts w:ascii="FangSong_GB2312" w:hAnsi="FangSong_GB2312" w:eastAsia="FangSong_GB2312" w:cs="FangSong_GB2312"/>
          <w:sz w:val="28"/>
          <w:szCs w:val="28"/>
        </w:rPr>
        <w:t>无。</w:t>
      </w:r>
    </w:p>
    <w:p w14:paraId="502F835A">
      <w:pPr>
        <w:pStyle w:val="92"/>
        <w:keepNext w:val="0"/>
        <w:spacing w:before="0" w:after="0" w:line="360" w:lineRule="auto"/>
        <w:rPr>
          <w:rFonts w:ascii="仿宋_GB2312" w:hAnsi="仿宋_GB2312" w:eastAsia="仿宋_GB2312" w:cs="仿宋_GB2312"/>
          <w:b/>
          <w:bCs/>
          <w:sz w:val="28"/>
          <w:szCs w:val="28"/>
        </w:rPr>
      </w:pPr>
      <w:bookmarkStart w:id="43" w:name="_Toc256000042"/>
      <w:r>
        <w:rPr>
          <w:rFonts w:ascii="仿宋_GB2312" w:hAnsi="仿宋_GB2312" w:eastAsia="仿宋_GB2312" w:cs="仿宋_GB2312"/>
          <w:sz w:val="28"/>
          <w:szCs w:val="28"/>
        </w:rPr>
        <w:t>8.3.3知识产权要求</w:t>
      </w:r>
      <w:bookmarkEnd w:id="43"/>
    </w:p>
    <w:p w14:paraId="0C310FB5">
      <w:pPr>
        <w:pStyle w:val="18"/>
        <w:spacing w:before="0" w:after="0" w:line="360" w:lineRule="auto"/>
        <w:ind w:firstLine="560"/>
        <w:jc w:val="both"/>
        <w:rPr>
          <w:rFonts w:ascii="FangSong_GB2312" w:hAnsi="FangSong_GB2312" w:eastAsia="FangSong_GB2312" w:cs="FangSong_GB2312"/>
          <w:sz w:val="28"/>
          <w:szCs w:val="28"/>
        </w:rPr>
      </w:pPr>
      <w:r>
        <w:rPr>
          <w:rFonts w:ascii="FangSong_GB2312" w:hAnsi="FangSong_GB2312" w:eastAsia="FangSong_GB2312" w:cs="FangSong_GB2312"/>
          <w:sz w:val="28"/>
          <w:szCs w:val="28"/>
        </w:rPr>
        <w:t>无。</w:t>
      </w:r>
    </w:p>
    <w:p w14:paraId="3E772A9A">
      <w:pPr>
        <w:pStyle w:val="18"/>
        <w:spacing w:before="0" w:after="0" w:line="360" w:lineRule="auto"/>
        <w:jc w:val="left"/>
      </w:pPr>
    </w:p>
    <w:sectPr>
      <w:footerReference r:id="rId5" w:type="default"/>
      <w:pgSz w:w="11906" w:h="16838"/>
      <w:pgMar w:top="1440" w:right="1440" w:bottom="1440" w:left="1440"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Verdana">
    <w:panose1 w:val="020B0604030504040204"/>
    <w:charset w:val="00"/>
    <w:family w:val="swiss"/>
    <w:pitch w:val="default"/>
    <w:sig w:usb0="A00006FF" w:usb1="4000205B" w:usb2="00000010" w:usb3="00000000" w:csb0="2000019F" w:csb1="00000000"/>
  </w:font>
  <w:font w:name="Cambria">
    <w:panose1 w:val="02040503050406030204"/>
    <w:charset w:val="00"/>
    <w:family w:val="roman"/>
    <w:pitch w:val="default"/>
    <w:sig w:usb0="E00006FF" w:usb1="420024FF" w:usb2="02000000" w:usb3="00000000" w:csb0="2000019F" w:csb1="00000000"/>
  </w:font>
  <w:font w:name="微软雅黑">
    <w:panose1 w:val="020B0503020204020204"/>
    <w:charset w:val="86"/>
    <w:family w:val="swiss"/>
    <w:pitch w:val="default"/>
    <w:sig w:usb0="80000287" w:usb1="2ACF3C50" w:usb2="00000016" w:usb3="00000000" w:csb0="0004001F" w:csb1="00000000"/>
  </w:font>
  <w:font w:name="仿宋_GB2312">
    <w:altName w:val="仿宋"/>
    <w:panose1 w:val="02010609030101010101"/>
    <w:charset w:val="86"/>
    <w:family w:val="auto"/>
    <w:pitch w:val="default"/>
    <w:sig w:usb0="00000000" w:usb1="00000000" w:usb2="00000000" w:usb3="00000000" w:csb0="00040000" w:csb1="00000000"/>
  </w:font>
  <w:font w:name="FangSong_GB2312">
    <w:altName w:val="仿宋"/>
    <w:panose1 w:val="02010609030101010101"/>
    <w:charset w:val="86"/>
    <w:family w:val="auto"/>
    <w:pitch w:val="default"/>
    <w:sig w:usb0="00000000" w:usb1="00000000" w:usb2="00000000" w:usb3="00000000" w:csb0="00040000" w:csb1="00000000"/>
  </w:font>
  <w:font w:name="长城仿宋">
    <w:altName w:val="微软雅黑"/>
    <w:panose1 w:val="020B0604020202020204"/>
    <w:charset w:val="00"/>
    <w:family w:val="modern"/>
    <w:pitch w:val="default"/>
    <w:sig w:usb0="00000000" w:usb1="00000000" w:usb2="00000010" w:usb3="00000000" w:csb0="00040000" w:csb1="00000000"/>
  </w:font>
  <w:font w:name="Calibri Light">
    <w:panose1 w:val="020F0302020204030204"/>
    <w:charset w:val="00"/>
    <w:family w:val="swiss"/>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 w:name="KSOFE4500885">
    <w:panose1 w:val="02010609060101010101"/>
    <w:charset w:val="86"/>
    <w:family w:val="auto"/>
    <w:pitch w:val="default"/>
    <w:sig w:usb0="00000001" w:usb1="00000000" w:usb2="00000000" w:usb3="00000000" w:csb0="00040001" w:csb1="00000000"/>
  </w:font>
  <w:font w:name="KSOF8BCA4F43">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B08843">
    <w:pPr>
      <w:pStyle w:val="18"/>
      <w:spacing w:before="0" w:after="0" w:line="360" w:lineRule="auto"/>
      <w:jc w:val="center"/>
    </w:pPr>
    <w:r>
      <w:fldChar w:fldCharType="begin"/>
    </w:r>
    <w:r>
      <w:instrText xml:space="preserve"> PAGE </w:instrText>
    </w:r>
    <w:r>
      <w:fldChar w:fldCharType="separate"/>
    </w:r>
    <w:r>
      <w:t>17</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9FB07A5"/>
    <w:multiLevelType w:val="singleLevel"/>
    <w:tmpl w:val="F9FB07A5"/>
    <w:lvl w:ilvl="0" w:tentative="0">
      <w:start w:val="1"/>
      <w:numFmt w:val="decimal"/>
      <w:pStyle w:val="12"/>
      <w:lvlText w:val="%1."/>
      <w:lvlJc w:val="left"/>
      <w:pPr>
        <w:tabs>
          <w:tab w:val="left" w:pos="780"/>
        </w:tabs>
        <w:ind w:left="780" w:hanging="360"/>
      </w:pPr>
    </w:lvl>
  </w:abstractNum>
  <w:abstractNum w:abstractNumId="1">
    <w:nsid w:val="00000002"/>
    <w:multiLevelType w:val="multilevel"/>
    <w:tmpl w:val="00000002"/>
    <w:lvl w:ilvl="0" w:tentative="0">
      <w:start w:val="1"/>
      <w:numFmt w:val="decimal"/>
      <w:pStyle w:val="84"/>
      <w:lvlText w:val="%1."/>
      <w:lvlJc w:val="left"/>
      <w:pPr>
        <w:tabs>
          <w:tab w:val="left" w:pos="900"/>
        </w:tabs>
        <w:ind w:left="900" w:hanging="420"/>
      </w:pPr>
      <w:rPr>
        <w:b w:val="0"/>
        <w:i w:val="0"/>
        <w:sz w:val="24"/>
        <w:szCs w:val="24"/>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2">
    <w:nsid w:val="00000003"/>
    <w:multiLevelType w:val="multilevel"/>
    <w:tmpl w:val="00000003"/>
    <w:lvl w:ilvl="0" w:tentative="0">
      <w:start w:val="1"/>
      <w:numFmt w:val="decimal"/>
      <w:pStyle w:val="64"/>
      <w:lvlText w:val="(%1)"/>
      <w:lvlJc w:val="left"/>
      <w:pPr>
        <w:tabs>
          <w:tab w:val="left" w:pos="420"/>
        </w:tabs>
        <w:ind w:left="420" w:hanging="42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3">
    <w:nsid w:val="00000004"/>
    <w:multiLevelType w:val="multilevel"/>
    <w:tmpl w:val="00000004"/>
    <w:lvl w:ilvl="0" w:tentative="0">
      <w:start w:val="1"/>
      <w:numFmt w:val="decimal"/>
      <w:lvlText w:val="第%1章 "/>
      <w:lvlJc w:val="left"/>
      <w:pPr>
        <w:tabs>
          <w:tab w:val="left" w:pos="2400"/>
        </w:tabs>
        <w:ind w:left="1392" w:hanging="432"/>
      </w:pPr>
      <w:rPr>
        <w:rFonts w:hint="eastAsia" w:ascii="Times New Roman" w:hAnsi="Times New Roman" w:cs="Times New Roman"/>
        <w:i w:val="0"/>
        <w:iCs w:val="0"/>
        <w:caps w:val="0"/>
        <w:smallCaps w:val="0"/>
        <w:outline w:val="0"/>
        <w:shadow w:val="0"/>
        <w:spacing w:val="0"/>
        <w:kern w:val="0"/>
        <w:position w:val="0"/>
        <w:u w:val="none"/>
        <w:lang w:val="en-US"/>
      </w:rPr>
    </w:lvl>
    <w:lvl w:ilvl="1" w:tentative="0">
      <w:start w:val="1"/>
      <w:numFmt w:val="decimal"/>
      <w:pStyle w:val="4"/>
      <w:lvlText w:val="%1.%2"/>
      <w:lvlJc w:val="left"/>
      <w:pPr>
        <w:tabs>
          <w:tab w:val="left" w:pos="576"/>
        </w:tabs>
        <w:ind w:left="576" w:hanging="576"/>
      </w:pPr>
      <w:rPr>
        <w:rFonts w:hint="eastAsia"/>
      </w:rPr>
    </w:lvl>
    <w:lvl w:ilvl="2" w:tentative="0">
      <w:start w:val="1"/>
      <w:numFmt w:val="decimal"/>
      <w:lvlText w:val="%1.%2.%3"/>
      <w:lvlJc w:val="left"/>
      <w:pPr>
        <w:tabs>
          <w:tab w:val="left" w:pos="720"/>
        </w:tabs>
        <w:ind w:left="720" w:hanging="720"/>
      </w:pPr>
    </w:lvl>
    <w:lvl w:ilvl="3" w:tentative="0">
      <w:start w:val="1"/>
      <w:numFmt w:val="decimal"/>
      <w:lvlText w:val="%1.%2.%3.%4"/>
      <w:lvlJc w:val="left"/>
      <w:pPr>
        <w:tabs>
          <w:tab w:val="left" w:pos="964"/>
        </w:tabs>
        <w:ind w:left="964" w:hanging="964"/>
      </w:pPr>
      <w:rPr>
        <w:rFonts w:cs="Times New Roman"/>
        <w:b w:val="0"/>
        <w:bCs w:val="0"/>
        <w:i w:val="0"/>
        <w:iCs w:val="0"/>
        <w:caps w:val="0"/>
        <w:smallCaps w:val="0"/>
        <w:outline w:val="0"/>
        <w:shadow w:val="0"/>
        <w:emboss w:val="0"/>
        <w:imprint w:val="0"/>
        <w:vanish w:val="0"/>
        <w:spacing w:val="0"/>
        <w:position w:val="0"/>
        <w:u w:val="none"/>
        <w:vertAlign w:val="baseline"/>
      </w:rPr>
    </w:lvl>
    <w:lvl w:ilvl="4" w:tentative="0">
      <w:start w:val="1"/>
      <w:numFmt w:val="decimal"/>
      <w:lvlText w:val="%1.%2.%3.%4.%5"/>
      <w:lvlJc w:val="left"/>
      <w:pPr>
        <w:tabs>
          <w:tab w:val="left" w:pos="1008"/>
        </w:tabs>
        <w:ind w:left="1008" w:hanging="1008"/>
      </w:pPr>
      <w:rPr>
        <w:lang w:eastAsia="zh-CN"/>
      </w:rPr>
    </w:lvl>
    <w:lvl w:ilvl="5" w:tentative="0">
      <w:start w:val="1"/>
      <w:numFmt w:val="decimal"/>
      <w:lvlText w:val="%1.%2.%3.%4.%5.%6"/>
      <w:lvlJc w:val="left"/>
      <w:pPr>
        <w:tabs>
          <w:tab w:val="left" w:pos="2145"/>
        </w:tabs>
        <w:ind w:left="2145" w:hanging="1152"/>
      </w:pPr>
      <w:rPr>
        <w:color w:val="auto"/>
      </w:rPr>
    </w:lvl>
    <w:lvl w:ilvl="6" w:tentative="0">
      <w:start w:val="1"/>
      <w:numFmt w:val="decimal"/>
      <w:lvlText w:val="%1.%2.%3.%4.%5.%6.%7"/>
      <w:lvlJc w:val="left"/>
      <w:pPr>
        <w:tabs>
          <w:tab w:val="left" w:pos="1296"/>
        </w:tabs>
        <w:ind w:left="1296" w:hanging="1296"/>
      </w:pPr>
      <w:rPr>
        <w:rFonts w:hint="eastAsia"/>
      </w:rPr>
    </w:lvl>
    <w:lvl w:ilvl="7" w:tentative="0">
      <w:start w:val="1"/>
      <w:numFmt w:val="decimal"/>
      <w:lvlText w:val="%1.%2.%3.%4.%5.%6.%7.%8"/>
      <w:lvlJc w:val="left"/>
      <w:pPr>
        <w:tabs>
          <w:tab w:val="left" w:pos="1440"/>
        </w:tabs>
        <w:ind w:left="1440" w:hanging="1440"/>
      </w:pPr>
      <w:rPr>
        <w:rFonts w:hint="eastAsia"/>
      </w:rPr>
    </w:lvl>
    <w:lvl w:ilvl="8" w:tentative="0">
      <w:start w:val="1"/>
      <w:numFmt w:val="decimal"/>
      <w:lvlText w:val="%1.%2.%3.%4.%5.%6.%7.%8.%9"/>
      <w:lvlJc w:val="left"/>
      <w:pPr>
        <w:tabs>
          <w:tab w:val="left" w:pos="1584"/>
        </w:tabs>
        <w:ind w:left="1584" w:hanging="1584"/>
      </w:pPr>
      <w:rPr>
        <w:rFonts w:hint="eastAsia"/>
      </w:rPr>
    </w:lvl>
  </w:abstractNum>
  <w:abstractNum w:abstractNumId="4">
    <w:nsid w:val="3EBB3C91"/>
    <w:multiLevelType w:val="multilevel"/>
    <w:tmpl w:val="3EBB3C91"/>
    <w:lvl w:ilvl="0" w:tentative="0">
      <w:start w:val="1"/>
      <w:numFmt w:val="chineseCountingThousand"/>
      <w:suff w:val="space"/>
      <w:lvlText w:val="%1. "/>
      <w:lvlJc w:val="left"/>
      <w:pPr>
        <w:ind w:left="907" w:hanging="907"/>
      </w:pPr>
      <w:rPr>
        <w:rFonts w:hint="eastAsia"/>
      </w:rPr>
    </w:lvl>
    <w:lvl w:ilvl="1" w:tentative="0">
      <w:start w:val="1"/>
      <w:numFmt w:val="decimal"/>
      <w:isLgl/>
      <w:suff w:val="space"/>
      <w:lvlText w:val="%1.%2 "/>
      <w:lvlJc w:val="left"/>
      <w:pPr>
        <w:ind w:left="794" w:hanging="794"/>
      </w:pPr>
    </w:lvl>
    <w:lvl w:ilvl="2" w:tentative="0">
      <w:start w:val="0"/>
      <w:numFmt w:val="none"/>
      <w:lvlText w:val=""/>
      <w:lvlJc w:val="left"/>
      <w:pPr>
        <w:tabs>
          <w:tab w:val="left" w:pos="360"/>
        </w:tabs>
      </w:pPr>
      <w:rPr>
        <w:rFonts w:cs="Times New Roman"/>
      </w:rPr>
    </w:lvl>
    <w:lvl w:ilvl="3" w:tentative="0">
      <w:start w:val="0"/>
      <w:numFmt w:val="none"/>
      <w:lvlText w:val=""/>
      <w:lvlJc w:val="left"/>
      <w:pPr>
        <w:tabs>
          <w:tab w:val="left" w:pos="360"/>
        </w:tabs>
      </w:pPr>
      <w:rPr>
        <w:rFonts w:cs="Times New Roman"/>
      </w:rPr>
    </w:lvl>
    <w:lvl w:ilvl="4" w:tentative="0">
      <w:start w:val="0"/>
      <w:numFmt w:val="decimal"/>
      <w:pStyle w:val="77"/>
      <w:lvlText w:val=""/>
      <w:lvlJc w:val="left"/>
      <w:rPr>
        <w:rFonts w:cs="Times New Roman"/>
      </w:rPr>
    </w:lvl>
    <w:lvl w:ilvl="5" w:tentative="0">
      <w:start w:val="0"/>
      <w:numFmt w:val="decimal"/>
      <w:lvlText w:val=""/>
      <w:lvlJc w:val="left"/>
      <w:rPr>
        <w:rFonts w:cs="Times New Roman"/>
      </w:rPr>
    </w:lvl>
    <w:lvl w:ilvl="6" w:tentative="0">
      <w:start w:val="0"/>
      <w:numFmt w:val="decimal"/>
      <w:lvlText w:val=""/>
      <w:lvlJc w:val="left"/>
      <w:rPr>
        <w:rFonts w:cs="Times New Roman"/>
      </w:rPr>
    </w:lvl>
    <w:lvl w:ilvl="7" w:tentative="0">
      <w:start w:val="0"/>
      <w:numFmt w:val="decimal"/>
      <w:lvlText w:val=""/>
      <w:lvlJc w:val="left"/>
      <w:rPr>
        <w:rFonts w:cs="Times New Roman"/>
      </w:rPr>
    </w:lvl>
    <w:lvl w:ilvl="8" w:tentative="0">
      <w:start w:val="0"/>
      <w:numFmt w:val="decimal"/>
      <w:lvlText w:val=""/>
      <w:lvlJc w:val="left"/>
      <w:rPr>
        <w:rFonts w:cs="Times New Roman"/>
      </w:rPr>
    </w:lvl>
  </w:abstractNum>
  <w:num w:numId="1">
    <w:abstractNumId w:val="3"/>
  </w:num>
  <w:num w:numId="2">
    <w:abstractNumId w:val="0"/>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documentProtection w:enforcement="0"/>
  <w:defaultTabStop w:val="420"/>
  <w:drawingGridVerticalSpacing w:val="156"/>
  <w:displayHorizontalDrawingGridEvery w:val="0"/>
  <w:displayVerticalDrawingGridEvery w:val="2"/>
  <w:doNotShadeFormData w:val="1"/>
  <w:characterSpacingControl w:val="compressPunctuation"/>
  <w:noLineBreaksAfter w:lang="zh-CN" w:val="([{·‘“〈《「『【〔〖（．［｛￡￥"/>
  <w:noLineBreaksBefore w:lang="zh-CN" w:val="!),.:;?]}¨·ˇˉ―‖’”…∶、。〃々〉》」』】〕〗！＂＇），．：；？］｀｜｝～￠"/>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000101A9"/>
    <w:rsid w:val="00027682"/>
    <w:rsid w:val="000468F3"/>
    <w:rsid w:val="00054ECE"/>
    <w:rsid w:val="0007049E"/>
    <w:rsid w:val="000711A2"/>
    <w:rsid w:val="00071425"/>
    <w:rsid w:val="000810D4"/>
    <w:rsid w:val="000C301B"/>
    <w:rsid w:val="000E5BFB"/>
    <w:rsid w:val="000F2CE1"/>
    <w:rsid w:val="000F6B4F"/>
    <w:rsid w:val="00117A70"/>
    <w:rsid w:val="0012242B"/>
    <w:rsid w:val="00145700"/>
    <w:rsid w:val="00152F5C"/>
    <w:rsid w:val="00153423"/>
    <w:rsid w:val="0015788D"/>
    <w:rsid w:val="00172A27"/>
    <w:rsid w:val="00175EB9"/>
    <w:rsid w:val="001A3437"/>
    <w:rsid w:val="001A4CC5"/>
    <w:rsid w:val="001C6544"/>
    <w:rsid w:val="001D0665"/>
    <w:rsid w:val="001F674D"/>
    <w:rsid w:val="00224C41"/>
    <w:rsid w:val="00227D06"/>
    <w:rsid w:val="00236408"/>
    <w:rsid w:val="00253856"/>
    <w:rsid w:val="002540A7"/>
    <w:rsid w:val="00265F11"/>
    <w:rsid w:val="0027302E"/>
    <w:rsid w:val="002A1B53"/>
    <w:rsid w:val="002A2CA1"/>
    <w:rsid w:val="002B47CE"/>
    <w:rsid w:val="002B4B64"/>
    <w:rsid w:val="002F11FD"/>
    <w:rsid w:val="00326A94"/>
    <w:rsid w:val="00327011"/>
    <w:rsid w:val="00327F0A"/>
    <w:rsid w:val="00337D8A"/>
    <w:rsid w:val="00340048"/>
    <w:rsid w:val="0034295B"/>
    <w:rsid w:val="0034483D"/>
    <w:rsid w:val="0034704C"/>
    <w:rsid w:val="003538E8"/>
    <w:rsid w:val="003570ED"/>
    <w:rsid w:val="00381FED"/>
    <w:rsid w:val="00397B25"/>
    <w:rsid w:val="003E12F1"/>
    <w:rsid w:val="003E4B94"/>
    <w:rsid w:val="003F062B"/>
    <w:rsid w:val="003F6D70"/>
    <w:rsid w:val="004027A1"/>
    <w:rsid w:val="00426C16"/>
    <w:rsid w:val="00444459"/>
    <w:rsid w:val="00454AAB"/>
    <w:rsid w:val="00456D20"/>
    <w:rsid w:val="004577DD"/>
    <w:rsid w:val="00464182"/>
    <w:rsid w:val="00481585"/>
    <w:rsid w:val="00491845"/>
    <w:rsid w:val="00493775"/>
    <w:rsid w:val="004C3469"/>
    <w:rsid w:val="004E5295"/>
    <w:rsid w:val="004E7773"/>
    <w:rsid w:val="004F66A1"/>
    <w:rsid w:val="004F69C7"/>
    <w:rsid w:val="005017EA"/>
    <w:rsid w:val="005143FB"/>
    <w:rsid w:val="00523B2F"/>
    <w:rsid w:val="005338BF"/>
    <w:rsid w:val="005370F4"/>
    <w:rsid w:val="005557BF"/>
    <w:rsid w:val="00563AE2"/>
    <w:rsid w:val="00566CDD"/>
    <w:rsid w:val="0059778B"/>
    <w:rsid w:val="005A0A01"/>
    <w:rsid w:val="005B5D6E"/>
    <w:rsid w:val="005E6EC6"/>
    <w:rsid w:val="005F2D4E"/>
    <w:rsid w:val="006135DE"/>
    <w:rsid w:val="00634176"/>
    <w:rsid w:val="00636821"/>
    <w:rsid w:val="00685FD4"/>
    <w:rsid w:val="0069087E"/>
    <w:rsid w:val="00690ED0"/>
    <w:rsid w:val="00694DF9"/>
    <w:rsid w:val="006A0F9C"/>
    <w:rsid w:val="006B76A8"/>
    <w:rsid w:val="006C3D20"/>
    <w:rsid w:val="006C7E50"/>
    <w:rsid w:val="006D5572"/>
    <w:rsid w:val="006D5900"/>
    <w:rsid w:val="006F1B16"/>
    <w:rsid w:val="006F3076"/>
    <w:rsid w:val="0070258B"/>
    <w:rsid w:val="00706715"/>
    <w:rsid w:val="007107C0"/>
    <w:rsid w:val="0071316B"/>
    <w:rsid w:val="00736500"/>
    <w:rsid w:val="0074512F"/>
    <w:rsid w:val="0074538C"/>
    <w:rsid w:val="00764F83"/>
    <w:rsid w:val="00765335"/>
    <w:rsid w:val="00770ADF"/>
    <w:rsid w:val="00782F4E"/>
    <w:rsid w:val="00786DF9"/>
    <w:rsid w:val="00793237"/>
    <w:rsid w:val="0079513B"/>
    <w:rsid w:val="007968D0"/>
    <w:rsid w:val="007A0B90"/>
    <w:rsid w:val="007A421A"/>
    <w:rsid w:val="007A64D5"/>
    <w:rsid w:val="007A7CB5"/>
    <w:rsid w:val="007B6D64"/>
    <w:rsid w:val="007D5FDD"/>
    <w:rsid w:val="007D7FDE"/>
    <w:rsid w:val="008127A1"/>
    <w:rsid w:val="00814056"/>
    <w:rsid w:val="00814144"/>
    <w:rsid w:val="008141E3"/>
    <w:rsid w:val="00835D08"/>
    <w:rsid w:val="00850027"/>
    <w:rsid w:val="00854404"/>
    <w:rsid w:val="00855ACF"/>
    <w:rsid w:val="0086163F"/>
    <w:rsid w:val="00864C19"/>
    <w:rsid w:val="00866BF8"/>
    <w:rsid w:val="00866F2C"/>
    <w:rsid w:val="00881646"/>
    <w:rsid w:val="008834C6"/>
    <w:rsid w:val="008963C6"/>
    <w:rsid w:val="008B74C5"/>
    <w:rsid w:val="008B7AD9"/>
    <w:rsid w:val="008E5EC5"/>
    <w:rsid w:val="008F56AE"/>
    <w:rsid w:val="00902E0E"/>
    <w:rsid w:val="00940ECE"/>
    <w:rsid w:val="0094126B"/>
    <w:rsid w:val="0095098D"/>
    <w:rsid w:val="00963AF9"/>
    <w:rsid w:val="00966F87"/>
    <w:rsid w:val="00974822"/>
    <w:rsid w:val="0098103B"/>
    <w:rsid w:val="0098306B"/>
    <w:rsid w:val="009B772F"/>
    <w:rsid w:val="009C4EB4"/>
    <w:rsid w:val="009E1213"/>
    <w:rsid w:val="009E181F"/>
    <w:rsid w:val="009F6F34"/>
    <w:rsid w:val="009F6F8E"/>
    <w:rsid w:val="00A01F39"/>
    <w:rsid w:val="00A10F6E"/>
    <w:rsid w:val="00A33B31"/>
    <w:rsid w:val="00A35625"/>
    <w:rsid w:val="00A675B8"/>
    <w:rsid w:val="00A77B3E"/>
    <w:rsid w:val="00AB772E"/>
    <w:rsid w:val="00AC733E"/>
    <w:rsid w:val="00AF09DF"/>
    <w:rsid w:val="00B0107C"/>
    <w:rsid w:val="00B027C9"/>
    <w:rsid w:val="00B06277"/>
    <w:rsid w:val="00B11E7E"/>
    <w:rsid w:val="00B21A5A"/>
    <w:rsid w:val="00B2314E"/>
    <w:rsid w:val="00B24B26"/>
    <w:rsid w:val="00B30DE0"/>
    <w:rsid w:val="00B56165"/>
    <w:rsid w:val="00B61E9F"/>
    <w:rsid w:val="00B63DD2"/>
    <w:rsid w:val="00B64632"/>
    <w:rsid w:val="00B74818"/>
    <w:rsid w:val="00B90C59"/>
    <w:rsid w:val="00B93612"/>
    <w:rsid w:val="00BA18D0"/>
    <w:rsid w:val="00BC0EB1"/>
    <w:rsid w:val="00BC4A84"/>
    <w:rsid w:val="00BD3B91"/>
    <w:rsid w:val="00BD6A54"/>
    <w:rsid w:val="00BE26C4"/>
    <w:rsid w:val="00BF3BA2"/>
    <w:rsid w:val="00C03DE2"/>
    <w:rsid w:val="00C3220C"/>
    <w:rsid w:val="00C34363"/>
    <w:rsid w:val="00C56026"/>
    <w:rsid w:val="00C64E7D"/>
    <w:rsid w:val="00C66266"/>
    <w:rsid w:val="00C75C75"/>
    <w:rsid w:val="00C76A0C"/>
    <w:rsid w:val="00C86558"/>
    <w:rsid w:val="00CA48BB"/>
    <w:rsid w:val="00CA4BB1"/>
    <w:rsid w:val="00CA6B80"/>
    <w:rsid w:val="00CB1109"/>
    <w:rsid w:val="00CB78DA"/>
    <w:rsid w:val="00D167FB"/>
    <w:rsid w:val="00D354FF"/>
    <w:rsid w:val="00D47286"/>
    <w:rsid w:val="00D50AA4"/>
    <w:rsid w:val="00D76952"/>
    <w:rsid w:val="00D76CE0"/>
    <w:rsid w:val="00D86EC8"/>
    <w:rsid w:val="00D90A95"/>
    <w:rsid w:val="00DB6DB1"/>
    <w:rsid w:val="00DE351F"/>
    <w:rsid w:val="00DF3D5B"/>
    <w:rsid w:val="00DF7895"/>
    <w:rsid w:val="00E2383C"/>
    <w:rsid w:val="00E3390E"/>
    <w:rsid w:val="00E41A12"/>
    <w:rsid w:val="00E876EE"/>
    <w:rsid w:val="00E94EC3"/>
    <w:rsid w:val="00EA716A"/>
    <w:rsid w:val="00EB2451"/>
    <w:rsid w:val="00EC18B2"/>
    <w:rsid w:val="00ED5CD4"/>
    <w:rsid w:val="00F052A1"/>
    <w:rsid w:val="00F24A51"/>
    <w:rsid w:val="00F452EA"/>
    <w:rsid w:val="00F477FD"/>
    <w:rsid w:val="00F528FC"/>
    <w:rsid w:val="00F55DF6"/>
    <w:rsid w:val="00F64ECA"/>
    <w:rsid w:val="00F6780A"/>
    <w:rsid w:val="00F80829"/>
    <w:rsid w:val="00FA7CDE"/>
    <w:rsid w:val="00FB1D44"/>
    <w:rsid w:val="00FC582C"/>
    <w:rsid w:val="00FD3F0D"/>
    <w:rsid w:val="010C3FA7"/>
    <w:rsid w:val="01322E8E"/>
    <w:rsid w:val="01CF32DE"/>
    <w:rsid w:val="01F706AA"/>
    <w:rsid w:val="028D780A"/>
    <w:rsid w:val="02B253D3"/>
    <w:rsid w:val="02C31846"/>
    <w:rsid w:val="03255047"/>
    <w:rsid w:val="0408683A"/>
    <w:rsid w:val="04196E85"/>
    <w:rsid w:val="04357786"/>
    <w:rsid w:val="048C4A46"/>
    <w:rsid w:val="055D42F5"/>
    <w:rsid w:val="06505614"/>
    <w:rsid w:val="06877CC9"/>
    <w:rsid w:val="06B95302"/>
    <w:rsid w:val="06CA35AE"/>
    <w:rsid w:val="06F7338A"/>
    <w:rsid w:val="072401D0"/>
    <w:rsid w:val="074C6D57"/>
    <w:rsid w:val="07711916"/>
    <w:rsid w:val="079052BE"/>
    <w:rsid w:val="07BF562B"/>
    <w:rsid w:val="07EFA279"/>
    <w:rsid w:val="07F47A42"/>
    <w:rsid w:val="07FF9744"/>
    <w:rsid w:val="084356D6"/>
    <w:rsid w:val="08A6443A"/>
    <w:rsid w:val="08E72401"/>
    <w:rsid w:val="08FB1C4C"/>
    <w:rsid w:val="09C71031"/>
    <w:rsid w:val="09CF2D41"/>
    <w:rsid w:val="0A211753"/>
    <w:rsid w:val="0B0A7CB9"/>
    <w:rsid w:val="0BD4F518"/>
    <w:rsid w:val="0BE79187"/>
    <w:rsid w:val="0BFA9848"/>
    <w:rsid w:val="0C2F1F27"/>
    <w:rsid w:val="0C5C641A"/>
    <w:rsid w:val="0C5C7E64"/>
    <w:rsid w:val="0CE03E87"/>
    <w:rsid w:val="0CE104C0"/>
    <w:rsid w:val="0CF44BCD"/>
    <w:rsid w:val="0DB22FD1"/>
    <w:rsid w:val="0DDF080D"/>
    <w:rsid w:val="0E196E44"/>
    <w:rsid w:val="0E52420A"/>
    <w:rsid w:val="0E576294"/>
    <w:rsid w:val="0E6FBEC9"/>
    <w:rsid w:val="0E73144E"/>
    <w:rsid w:val="0F2D43D6"/>
    <w:rsid w:val="0F626F7D"/>
    <w:rsid w:val="0FBDCFF7"/>
    <w:rsid w:val="0FE84C3B"/>
    <w:rsid w:val="105748B8"/>
    <w:rsid w:val="10D609E3"/>
    <w:rsid w:val="11806702"/>
    <w:rsid w:val="11B819AE"/>
    <w:rsid w:val="123063C6"/>
    <w:rsid w:val="12441BD0"/>
    <w:rsid w:val="12632093"/>
    <w:rsid w:val="12B622B4"/>
    <w:rsid w:val="13020FC6"/>
    <w:rsid w:val="13BFFE24"/>
    <w:rsid w:val="13D576DE"/>
    <w:rsid w:val="13E21002"/>
    <w:rsid w:val="14B434DA"/>
    <w:rsid w:val="14F13770"/>
    <w:rsid w:val="150916C0"/>
    <w:rsid w:val="153F4B5B"/>
    <w:rsid w:val="156A4371"/>
    <w:rsid w:val="15F40433"/>
    <w:rsid w:val="1683537A"/>
    <w:rsid w:val="171E30D0"/>
    <w:rsid w:val="179D0613"/>
    <w:rsid w:val="17C73C8D"/>
    <w:rsid w:val="17E7E543"/>
    <w:rsid w:val="17FF5ED1"/>
    <w:rsid w:val="182F1207"/>
    <w:rsid w:val="18453F4E"/>
    <w:rsid w:val="184D654B"/>
    <w:rsid w:val="186C41B7"/>
    <w:rsid w:val="18845656"/>
    <w:rsid w:val="18B162FF"/>
    <w:rsid w:val="197B14EF"/>
    <w:rsid w:val="199C3918"/>
    <w:rsid w:val="19AE1774"/>
    <w:rsid w:val="19C3292F"/>
    <w:rsid w:val="1A7F4EBE"/>
    <w:rsid w:val="1AD4394C"/>
    <w:rsid w:val="1AEB1932"/>
    <w:rsid w:val="1B402B8C"/>
    <w:rsid w:val="1B637E2F"/>
    <w:rsid w:val="1BA453A0"/>
    <w:rsid w:val="1BBDE9D4"/>
    <w:rsid w:val="1BDF88CD"/>
    <w:rsid w:val="1BEE6D07"/>
    <w:rsid w:val="1BFE2D63"/>
    <w:rsid w:val="1C361086"/>
    <w:rsid w:val="1C654B13"/>
    <w:rsid w:val="1C676888"/>
    <w:rsid w:val="1CDA3F40"/>
    <w:rsid w:val="1DBFA3E0"/>
    <w:rsid w:val="1DEAA37E"/>
    <w:rsid w:val="1DFA7970"/>
    <w:rsid w:val="1DFE8A03"/>
    <w:rsid w:val="1E1C6945"/>
    <w:rsid w:val="1E776AEF"/>
    <w:rsid w:val="1E77CE46"/>
    <w:rsid w:val="1EF9484B"/>
    <w:rsid w:val="1F35607B"/>
    <w:rsid w:val="1F8D7731"/>
    <w:rsid w:val="1FAC22EB"/>
    <w:rsid w:val="1FBB5582"/>
    <w:rsid w:val="1FBF24CD"/>
    <w:rsid w:val="1FBFE7E5"/>
    <w:rsid w:val="1FDAC585"/>
    <w:rsid w:val="1FF685D7"/>
    <w:rsid w:val="20017660"/>
    <w:rsid w:val="200E7E3A"/>
    <w:rsid w:val="20434AA7"/>
    <w:rsid w:val="211A1385"/>
    <w:rsid w:val="2170186C"/>
    <w:rsid w:val="21AC28F2"/>
    <w:rsid w:val="21C56A28"/>
    <w:rsid w:val="220A0B93"/>
    <w:rsid w:val="225D01B4"/>
    <w:rsid w:val="22767546"/>
    <w:rsid w:val="2290760E"/>
    <w:rsid w:val="22C170F8"/>
    <w:rsid w:val="235FF394"/>
    <w:rsid w:val="23C75E0E"/>
    <w:rsid w:val="24657EE0"/>
    <w:rsid w:val="248C0300"/>
    <w:rsid w:val="24B10056"/>
    <w:rsid w:val="24D12D45"/>
    <w:rsid w:val="24F61669"/>
    <w:rsid w:val="2506741C"/>
    <w:rsid w:val="25094E76"/>
    <w:rsid w:val="25907578"/>
    <w:rsid w:val="265202E4"/>
    <w:rsid w:val="26742F04"/>
    <w:rsid w:val="269B60DA"/>
    <w:rsid w:val="271700EA"/>
    <w:rsid w:val="27372C63"/>
    <w:rsid w:val="275C676E"/>
    <w:rsid w:val="277FBDD9"/>
    <w:rsid w:val="278D5651"/>
    <w:rsid w:val="27CB2B9D"/>
    <w:rsid w:val="27CC2DF2"/>
    <w:rsid w:val="27DD8391"/>
    <w:rsid w:val="27F5DCDC"/>
    <w:rsid w:val="27FE2431"/>
    <w:rsid w:val="28655307"/>
    <w:rsid w:val="28E30935"/>
    <w:rsid w:val="292507E6"/>
    <w:rsid w:val="29443257"/>
    <w:rsid w:val="29977098"/>
    <w:rsid w:val="29BE0BBE"/>
    <w:rsid w:val="29BF83D5"/>
    <w:rsid w:val="29CE0B43"/>
    <w:rsid w:val="29D4206D"/>
    <w:rsid w:val="2A901BF0"/>
    <w:rsid w:val="2AAC48AB"/>
    <w:rsid w:val="2AC411DD"/>
    <w:rsid w:val="2AEF5505"/>
    <w:rsid w:val="2B1B7C7C"/>
    <w:rsid w:val="2B204ED2"/>
    <w:rsid w:val="2B7A4DED"/>
    <w:rsid w:val="2B860410"/>
    <w:rsid w:val="2B8E98B9"/>
    <w:rsid w:val="2BBD6D63"/>
    <w:rsid w:val="2BBE0649"/>
    <w:rsid w:val="2BCB1581"/>
    <w:rsid w:val="2BEF3C13"/>
    <w:rsid w:val="2BF3BB84"/>
    <w:rsid w:val="2C157311"/>
    <w:rsid w:val="2C1B0EE8"/>
    <w:rsid w:val="2C447F93"/>
    <w:rsid w:val="2CA74927"/>
    <w:rsid w:val="2CB9A3C7"/>
    <w:rsid w:val="2CFF93C0"/>
    <w:rsid w:val="2D0A0F57"/>
    <w:rsid w:val="2E0916E8"/>
    <w:rsid w:val="2ED7B167"/>
    <w:rsid w:val="2EDE1CD9"/>
    <w:rsid w:val="2EFC2BA8"/>
    <w:rsid w:val="2F73153F"/>
    <w:rsid w:val="2F731FEA"/>
    <w:rsid w:val="2F7E4166"/>
    <w:rsid w:val="2FBF7ABD"/>
    <w:rsid w:val="2FCB04D1"/>
    <w:rsid w:val="2FF4C68C"/>
    <w:rsid w:val="2FF6429B"/>
    <w:rsid w:val="2FFFD555"/>
    <w:rsid w:val="30047218"/>
    <w:rsid w:val="30880B1A"/>
    <w:rsid w:val="309659E4"/>
    <w:rsid w:val="31156A8E"/>
    <w:rsid w:val="318E7BFE"/>
    <w:rsid w:val="31C6224D"/>
    <w:rsid w:val="31C72D0A"/>
    <w:rsid w:val="320115AB"/>
    <w:rsid w:val="321D5534"/>
    <w:rsid w:val="32AE5944"/>
    <w:rsid w:val="32C76F6D"/>
    <w:rsid w:val="33295C1D"/>
    <w:rsid w:val="335C2FB7"/>
    <w:rsid w:val="3397FB7C"/>
    <w:rsid w:val="33B1746F"/>
    <w:rsid w:val="33D06380"/>
    <w:rsid w:val="33F6978F"/>
    <w:rsid w:val="34291D5F"/>
    <w:rsid w:val="34590088"/>
    <w:rsid w:val="3475843F"/>
    <w:rsid w:val="34F42A8A"/>
    <w:rsid w:val="34F97717"/>
    <w:rsid w:val="352E1AEE"/>
    <w:rsid w:val="35303643"/>
    <w:rsid w:val="35A35A3F"/>
    <w:rsid w:val="35C4570A"/>
    <w:rsid w:val="35D5FC96"/>
    <w:rsid w:val="35DA70C1"/>
    <w:rsid w:val="35DD67A3"/>
    <w:rsid w:val="35FF676D"/>
    <w:rsid w:val="36135CBE"/>
    <w:rsid w:val="36340818"/>
    <w:rsid w:val="36625D0C"/>
    <w:rsid w:val="36F75236"/>
    <w:rsid w:val="37470A1B"/>
    <w:rsid w:val="37A27938"/>
    <w:rsid w:val="37B54ADF"/>
    <w:rsid w:val="37DF6A8C"/>
    <w:rsid w:val="37F16680"/>
    <w:rsid w:val="37FB9CD6"/>
    <w:rsid w:val="37FBAB69"/>
    <w:rsid w:val="37FCF9E0"/>
    <w:rsid w:val="386865F3"/>
    <w:rsid w:val="38856E98"/>
    <w:rsid w:val="38AE7374"/>
    <w:rsid w:val="397CE9FA"/>
    <w:rsid w:val="3981356C"/>
    <w:rsid w:val="398FBE59"/>
    <w:rsid w:val="39AE0173"/>
    <w:rsid w:val="39CF9398"/>
    <w:rsid w:val="39E06BB7"/>
    <w:rsid w:val="39FE63DA"/>
    <w:rsid w:val="39FF16A6"/>
    <w:rsid w:val="3A5C1C8F"/>
    <w:rsid w:val="3AEE94BF"/>
    <w:rsid w:val="3AEF1518"/>
    <w:rsid w:val="3AFC5808"/>
    <w:rsid w:val="3AFF354D"/>
    <w:rsid w:val="3B6128AF"/>
    <w:rsid w:val="3B7FD698"/>
    <w:rsid w:val="3BA7155E"/>
    <w:rsid w:val="3BCE2B2E"/>
    <w:rsid w:val="3BDE8904"/>
    <w:rsid w:val="3BE15F28"/>
    <w:rsid w:val="3BEF69F1"/>
    <w:rsid w:val="3BEFF8CF"/>
    <w:rsid w:val="3BF26BA3"/>
    <w:rsid w:val="3BF79200"/>
    <w:rsid w:val="3BFF4957"/>
    <w:rsid w:val="3C063CAC"/>
    <w:rsid w:val="3C1C4055"/>
    <w:rsid w:val="3C52081E"/>
    <w:rsid w:val="3C53C5BC"/>
    <w:rsid w:val="3C8A1A52"/>
    <w:rsid w:val="3C8C2456"/>
    <w:rsid w:val="3CA217BD"/>
    <w:rsid w:val="3CA2779D"/>
    <w:rsid w:val="3CAC57E6"/>
    <w:rsid w:val="3CEB2CD0"/>
    <w:rsid w:val="3CFD645E"/>
    <w:rsid w:val="3D054486"/>
    <w:rsid w:val="3D225D1E"/>
    <w:rsid w:val="3D6C2E0F"/>
    <w:rsid w:val="3D714D63"/>
    <w:rsid w:val="3D8853BD"/>
    <w:rsid w:val="3D9EC0B9"/>
    <w:rsid w:val="3DAC68A9"/>
    <w:rsid w:val="3DCFFF36"/>
    <w:rsid w:val="3DE55C5C"/>
    <w:rsid w:val="3DE79E70"/>
    <w:rsid w:val="3DF64C8C"/>
    <w:rsid w:val="3DF99485"/>
    <w:rsid w:val="3DF9D1C7"/>
    <w:rsid w:val="3DFA2EC2"/>
    <w:rsid w:val="3DFEDA12"/>
    <w:rsid w:val="3E3F64B3"/>
    <w:rsid w:val="3E441781"/>
    <w:rsid w:val="3E4C04DD"/>
    <w:rsid w:val="3E9748C9"/>
    <w:rsid w:val="3EB43CEE"/>
    <w:rsid w:val="3EE13927"/>
    <w:rsid w:val="3EFFC0D2"/>
    <w:rsid w:val="3F13832E"/>
    <w:rsid w:val="3F74DECA"/>
    <w:rsid w:val="3F7F0620"/>
    <w:rsid w:val="3F7F8784"/>
    <w:rsid w:val="3F7FBF7F"/>
    <w:rsid w:val="3F91339B"/>
    <w:rsid w:val="3FEECAA6"/>
    <w:rsid w:val="3FF42639"/>
    <w:rsid w:val="3FF75D61"/>
    <w:rsid w:val="3FF78255"/>
    <w:rsid w:val="3FF960D8"/>
    <w:rsid w:val="3FFB074A"/>
    <w:rsid w:val="40B02E41"/>
    <w:rsid w:val="40B33108"/>
    <w:rsid w:val="40F83A24"/>
    <w:rsid w:val="411A3B51"/>
    <w:rsid w:val="411F26C2"/>
    <w:rsid w:val="41E50E32"/>
    <w:rsid w:val="41FA1742"/>
    <w:rsid w:val="42D107D9"/>
    <w:rsid w:val="42F926FB"/>
    <w:rsid w:val="432C22B1"/>
    <w:rsid w:val="43570C6E"/>
    <w:rsid w:val="43647E43"/>
    <w:rsid w:val="43AF7BBF"/>
    <w:rsid w:val="43C41C76"/>
    <w:rsid w:val="43F961C5"/>
    <w:rsid w:val="4410151C"/>
    <w:rsid w:val="452F3274"/>
    <w:rsid w:val="45844FCE"/>
    <w:rsid w:val="45AE931D"/>
    <w:rsid w:val="45D251E2"/>
    <w:rsid w:val="45DF0453"/>
    <w:rsid w:val="46874D3F"/>
    <w:rsid w:val="46CB39E2"/>
    <w:rsid w:val="46DB781C"/>
    <w:rsid w:val="47A52982"/>
    <w:rsid w:val="47BC2FDD"/>
    <w:rsid w:val="47F76339"/>
    <w:rsid w:val="47FF7ED1"/>
    <w:rsid w:val="483243FA"/>
    <w:rsid w:val="48D16F09"/>
    <w:rsid w:val="493C1E2A"/>
    <w:rsid w:val="49471A9B"/>
    <w:rsid w:val="49B87CAB"/>
    <w:rsid w:val="49D051BB"/>
    <w:rsid w:val="49FA7838"/>
    <w:rsid w:val="4A2F17E4"/>
    <w:rsid w:val="4B476E98"/>
    <w:rsid w:val="4BAE5EE7"/>
    <w:rsid w:val="4BBF65A2"/>
    <w:rsid w:val="4BEBB755"/>
    <w:rsid w:val="4BF39157"/>
    <w:rsid w:val="4BFF044F"/>
    <w:rsid w:val="4C4B6322"/>
    <w:rsid w:val="4CA446A1"/>
    <w:rsid w:val="4D0A437B"/>
    <w:rsid w:val="4D5F122E"/>
    <w:rsid w:val="4D671301"/>
    <w:rsid w:val="4D6C7BBE"/>
    <w:rsid w:val="4D7730E9"/>
    <w:rsid w:val="4D7A24FB"/>
    <w:rsid w:val="4DBB66D0"/>
    <w:rsid w:val="4DBC3976"/>
    <w:rsid w:val="4DDC7C37"/>
    <w:rsid w:val="4DFE5ECB"/>
    <w:rsid w:val="4DFF602E"/>
    <w:rsid w:val="4E021F42"/>
    <w:rsid w:val="4E23723D"/>
    <w:rsid w:val="4E5E23C1"/>
    <w:rsid w:val="4E613699"/>
    <w:rsid w:val="4E8E8560"/>
    <w:rsid w:val="4EAF32A6"/>
    <w:rsid w:val="4F1D1632"/>
    <w:rsid w:val="4F6C7A93"/>
    <w:rsid w:val="4F7EFE6F"/>
    <w:rsid w:val="4F7F3D76"/>
    <w:rsid w:val="4FD32CC0"/>
    <w:rsid w:val="4FD751FD"/>
    <w:rsid w:val="4FDE3C80"/>
    <w:rsid w:val="4FE96F96"/>
    <w:rsid w:val="4FFADD19"/>
    <w:rsid w:val="4FFDFA4D"/>
    <w:rsid w:val="4FFF3772"/>
    <w:rsid w:val="4FFF4671"/>
    <w:rsid w:val="501E4B4D"/>
    <w:rsid w:val="5020372F"/>
    <w:rsid w:val="503A4B3C"/>
    <w:rsid w:val="5046746D"/>
    <w:rsid w:val="5080539A"/>
    <w:rsid w:val="509C224E"/>
    <w:rsid w:val="510500D4"/>
    <w:rsid w:val="51573C03"/>
    <w:rsid w:val="51D8745C"/>
    <w:rsid w:val="520F6E00"/>
    <w:rsid w:val="5227225E"/>
    <w:rsid w:val="52D51C17"/>
    <w:rsid w:val="52DFC284"/>
    <w:rsid w:val="52FC7EA5"/>
    <w:rsid w:val="5318536C"/>
    <w:rsid w:val="535F6931"/>
    <w:rsid w:val="536A73F7"/>
    <w:rsid w:val="537F3341"/>
    <w:rsid w:val="538D4C64"/>
    <w:rsid w:val="53AE463C"/>
    <w:rsid w:val="53AE56BD"/>
    <w:rsid w:val="53F01F45"/>
    <w:rsid w:val="540862D7"/>
    <w:rsid w:val="54130674"/>
    <w:rsid w:val="54156F88"/>
    <w:rsid w:val="54B85071"/>
    <w:rsid w:val="55033D85"/>
    <w:rsid w:val="550E0DC6"/>
    <w:rsid w:val="55571332"/>
    <w:rsid w:val="5557AF97"/>
    <w:rsid w:val="5573F2FD"/>
    <w:rsid w:val="55BB4DE6"/>
    <w:rsid w:val="55BDC8F3"/>
    <w:rsid w:val="55CF7905"/>
    <w:rsid w:val="55D62783"/>
    <w:rsid w:val="55EF1DF6"/>
    <w:rsid w:val="55F91D60"/>
    <w:rsid w:val="563D6FA7"/>
    <w:rsid w:val="566643B6"/>
    <w:rsid w:val="56FD08D9"/>
    <w:rsid w:val="571217ED"/>
    <w:rsid w:val="572110A9"/>
    <w:rsid w:val="573F74FE"/>
    <w:rsid w:val="57586E99"/>
    <w:rsid w:val="577F4FCC"/>
    <w:rsid w:val="57EF86B5"/>
    <w:rsid w:val="57EF870C"/>
    <w:rsid w:val="57F2BCD7"/>
    <w:rsid w:val="57FBC581"/>
    <w:rsid w:val="57FEC794"/>
    <w:rsid w:val="58BD1203"/>
    <w:rsid w:val="58BEE190"/>
    <w:rsid w:val="58EB2FA4"/>
    <w:rsid w:val="58ED7E3F"/>
    <w:rsid w:val="59461922"/>
    <w:rsid w:val="59635AFF"/>
    <w:rsid w:val="59650F4C"/>
    <w:rsid w:val="59763351"/>
    <w:rsid w:val="59D14798"/>
    <w:rsid w:val="59F732A8"/>
    <w:rsid w:val="59FB7F99"/>
    <w:rsid w:val="5A2679B5"/>
    <w:rsid w:val="5A27795C"/>
    <w:rsid w:val="5A506E27"/>
    <w:rsid w:val="5A622C9F"/>
    <w:rsid w:val="5A872B3D"/>
    <w:rsid w:val="5A9C42A7"/>
    <w:rsid w:val="5ABC10CE"/>
    <w:rsid w:val="5AD85ED5"/>
    <w:rsid w:val="5B3754AC"/>
    <w:rsid w:val="5B77BCCC"/>
    <w:rsid w:val="5BBFB84A"/>
    <w:rsid w:val="5BDF6E46"/>
    <w:rsid w:val="5BDF87A3"/>
    <w:rsid w:val="5BFA40A1"/>
    <w:rsid w:val="5BFE3FB4"/>
    <w:rsid w:val="5BFEC130"/>
    <w:rsid w:val="5C75205D"/>
    <w:rsid w:val="5C7F2617"/>
    <w:rsid w:val="5CAF6973"/>
    <w:rsid w:val="5CB7BBFA"/>
    <w:rsid w:val="5CE32510"/>
    <w:rsid w:val="5CFF42F1"/>
    <w:rsid w:val="5D739DEF"/>
    <w:rsid w:val="5D9B5743"/>
    <w:rsid w:val="5DADE61A"/>
    <w:rsid w:val="5DCA7440"/>
    <w:rsid w:val="5DD81EB0"/>
    <w:rsid w:val="5DDFB65A"/>
    <w:rsid w:val="5DF25EA1"/>
    <w:rsid w:val="5DF2DCFE"/>
    <w:rsid w:val="5DFB3ADA"/>
    <w:rsid w:val="5E225D2B"/>
    <w:rsid w:val="5E3907E6"/>
    <w:rsid w:val="5E4C53A9"/>
    <w:rsid w:val="5E4F35CE"/>
    <w:rsid w:val="5E7F4643"/>
    <w:rsid w:val="5EA6B85F"/>
    <w:rsid w:val="5EBF491D"/>
    <w:rsid w:val="5EC63AD0"/>
    <w:rsid w:val="5EC7142D"/>
    <w:rsid w:val="5ED781AB"/>
    <w:rsid w:val="5ED7D437"/>
    <w:rsid w:val="5EDBBEEA"/>
    <w:rsid w:val="5EE71531"/>
    <w:rsid w:val="5F0B1B90"/>
    <w:rsid w:val="5F0F37F9"/>
    <w:rsid w:val="5F1F0156"/>
    <w:rsid w:val="5F3B676F"/>
    <w:rsid w:val="5F3D9862"/>
    <w:rsid w:val="5F5ECCCF"/>
    <w:rsid w:val="5F6F7888"/>
    <w:rsid w:val="5F741735"/>
    <w:rsid w:val="5F77C15B"/>
    <w:rsid w:val="5F7DDA5A"/>
    <w:rsid w:val="5F7E41F8"/>
    <w:rsid w:val="5F7FB8D7"/>
    <w:rsid w:val="5F9F2AF4"/>
    <w:rsid w:val="5FA598A8"/>
    <w:rsid w:val="5FB6C90B"/>
    <w:rsid w:val="5FBF10C9"/>
    <w:rsid w:val="5FBFA8DE"/>
    <w:rsid w:val="5FC72D43"/>
    <w:rsid w:val="5FD48A7F"/>
    <w:rsid w:val="5FDF272A"/>
    <w:rsid w:val="5FE49ED6"/>
    <w:rsid w:val="5FE79582"/>
    <w:rsid w:val="5FF3C4BD"/>
    <w:rsid w:val="5FFB1A71"/>
    <w:rsid w:val="5FFB8C6E"/>
    <w:rsid w:val="5FFE282E"/>
    <w:rsid w:val="5FFED246"/>
    <w:rsid w:val="600121C6"/>
    <w:rsid w:val="600A310B"/>
    <w:rsid w:val="60342AA2"/>
    <w:rsid w:val="605A709E"/>
    <w:rsid w:val="60606B37"/>
    <w:rsid w:val="613C5EC3"/>
    <w:rsid w:val="61757DF5"/>
    <w:rsid w:val="623D2F99"/>
    <w:rsid w:val="62CB057B"/>
    <w:rsid w:val="63DBB834"/>
    <w:rsid w:val="64596240"/>
    <w:rsid w:val="646944FD"/>
    <w:rsid w:val="64783FEC"/>
    <w:rsid w:val="64861737"/>
    <w:rsid w:val="648C5CFB"/>
    <w:rsid w:val="64E240DA"/>
    <w:rsid w:val="64FA4348"/>
    <w:rsid w:val="64FF39D6"/>
    <w:rsid w:val="651340F2"/>
    <w:rsid w:val="654D2483"/>
    <w:rsid w:val="657210B6"/>
    <w:rsid w:val="657E1F08"/>
    <w:rsid w:val="65E850E5"/>
    <w:rsid w:val="65FE312F"/>
    <w:rsid w:val="65FF9331"/>
    <w:rsid w:val="660C0377"/>
    <w:rsid w:val="662B7F26"/>
    <w:rsid w:val="662F6390"/>
    <w:rsid w:val="66771F4E"/>
    <w:rsid w:val="667D4EC7"/>
    <w:rsid w:val="669F651F"/>
    <w:rsid w:val="66A27BCD"/>
    <w:rsid w:val="66DE1220"/>
    <w:rsid w:val="66F9B333"/>
    <w:rsid w:val="6720362F"/>
    <w:rsid w:val="67466BF6"/>
    <w:rsid w:val="675FB1C9"/>
    <w:rsid w:val="677FB307"/>
    <w:rsid w:val="67C764CA"/>
    <w:rsid w:val="67CF6078"/>
    <w:rsid w:val="67F22EE1"/>
    <w:rsid w:val="67F77283"/>
    <w:rsid w:val="67F7EA61"/>
    <w:rsid w:val="67FB012C"/>
    <w:rsid w:val="67FDEBB4"/>
    <w:rsid w:val="67FF1237"/>
    <w:rsid w:val="68014CBD"/>
    <w:rsid w:val="6856019A"/>
    <w:rsid w:val="68626BDA"/>
    <w:rsid w:val="68BF8AEC"/>
    <w:rsid w:val="69C3610A"/>
    <w:rsid w:val="69FF7F75"/>
    <w:rsid w:val="6A352173"/>
    <w:rsid w:val="6A8E4FDE"/>
    <w:rsid w:val="6A9FD300"/>
    <w:rsid w:val="6AA66A8C"/>
    <w:rsid w:val="6AB9F4AD"/>
    <w:rsid w:val="6B0C2C50"/>
    <w:rsid w:val="6B1A0C6D"/>
    <w:rsid w:val="6B566FFB"/>
    <w:rsid w:val="6B593482"/>
    <w:rsid w:val="6B68065B"/>
    <w:rsid w:val="6BB81DF4"/>
    <w:rsid w:val="6BEF4EA0"/>
    <w:rsid w:val="6BFE165B"/>
    <w:rsid w:val="6C177B83"/>
    <w:rsid w:val="6C7F0DE9"/>
    <w:rsid w:val="6C9E1DB3"/>
    <w:rsid w:val="6CA87B16"/>
    <w:rsid w:val="6CB97305"/>
    <w:rsid w:val="6CF62C30"/>
    <w:rsid w:val="6CFBBD14"/>
    <w:rsid w:val="6D5B138D"/>
    <w:rsid w:val="6D736557"/>
    <w:rsid w:val="6D7463D1"/>
    <w:rsid w:val="6DBDE3F4"/>
    <w:rsid w:val="6DD3BE5C"/>
    <w:rsid w:val="6DD769CB"/>
    <w:rsid w:val="6DDE0C73"/>
    <w:rsid w:val="6DDFF55A"/>
    <w:rsid w:val="6DFD7DCB"/>
    <w:rsid w:val="6DFEB86C"/>
    <w:rsid w:val="6DFEF67D"/>
    <w:rsid w:val="6E437D62"/>
    <w:rsid w:val="6E47118D"/>
    <w:rsid w:val="6E58352F"/>
    <w:rsid w:val="6E6E9F58"/>
    <w:rsid w:val="6E7F846C"/>
    <w:rsid w:val="6E9D5F41"/>
    <w:rsid w:val="6EAE2733"/>
    <w:rsid w:val="6ECD4414"/>
    <w:rsid w:val="6EF748B3"/>
    <w:rsid w:val="6EF7F592"/>
    <w:rsid w:val="6EFF5192"/>
    <w:rsid w:val="6F101E5F"/>
    <w:rsid w:val="6F2BFD5F"/>
    <w:rsid w:val="6F3B9CB4"/>
    <w:rsid w:val="6F546DD6"/>
    <w:rsid w:val="6F5FFD67"/>
    <w:rsid w:val="6F77D9A4"/>
    <w:rsid w:val="6F79FA17"/>
    <w:rsid w:val="6F7DADC3"/>
    <w:rsid w:val="6F9237F4"/>
    <w:rsid w:val="6FAB4704"/>
    <w:rsid w:val="6FB7D88C"/>
    <w:rsid w:val="6FBF7179"/>
    <w:rsid w:val="6FC42FE0"/>
    <w:rsid w:val="6FD286C4"/>
    <w:rsid w:val="6FDF1BD1"/>
    <w:rsid w:val="6FE97875"/>
    <w:rsid w:val="6FEF3B06"/>
    <w:rsid w:val="6FFA8A58"/>
    <w:rsid w:val="6FFB3259"/>
    <w:rsid w:val="6FFB9495"/>
    <w:rsid w:val="6FFD8F02"/>
    <w:rsid w:val="6FFF589A"/>
    <w:rsid w:val="6FFFA7A8"/>
    <w:rsid w:val="6FFFADEB"/>
    <w:rsid w:val="700417FA"/>
    <w:rsid w:val="704941AB"/>
    <w:rsid w:val="70705A46"/>
    <w:rsid w:val="707B0806"/>
    <w:rsid w:val="70BE00E9"/>
    <w:rsid w:val="71026A1E"/>
    <w:rsid w:val="717FA606"/>
    <w:rsid w:val="71F24B3E"/>
    <w:rsid w:val="71F3297B"/>
    <w:rsid w:val="72063152"/>
    <w:rsid w:val="727FCB59"/>
    <w:rsid w:val="72B61473"/>
    <w:rsid w:val="72D73356"/>
    <w:rsid w:val="72F268F6"/>
    <w:rsid w:val="72FB753A"/>
    <w:rsid w:val="73324618"/>
    <w:rsid w:val="734C39D0"/>
    <w:rsid w:val="736FF217"/>
    <w:rsid w:val="73922D6F"/>
    <w:rsid w:val="73B39AC5"/>
    <w:rsid w:val="73B60D43"/>
    <w:rsid w:val="73BCD05E"/>
    <w:rsid w:val="73FA5241"/>
    <w:rsid w:val="73FF0AB2"/>
    <w:rsid w:val="73FF66D0"/>
    <w:rsid w:val="741957C2"/>
    <w:rsid w:val="7470361C"/>
    <w:rsid w:val="74BC4A4B"/>
    <w:rsid w:val="74F5A945"/>
    <w:rsid w:val="74F66410"/>
    <w:rsid w:val="757E1149"/>
    <w:rsid w:val="759B7C3F"/>
    <w:rsid w:val="75BCBDE7"/>
    <w:rsid w:val="75D1D076"/>
    <w:rsid w:val="75D8D52D"/>
    <w:rsid w:val="75DF957A"/>
    <w:rsid w:val="75F3CBAB"/>
    <w:rsid w:val="75F66CC9"/>
    <w:rsid w:val="75FF8C55"/>
    <w:rsid w:val="765FBF31"/>
    <w:rsid w:val="768E2916"/>
    <w:rsid w:val="769E716A"/>
    <w:rsid w:val="76C81EB1"/>
    <w:rsid w:val="77245633"/>
    <w:rsid w:val="772F8C49"/>
    <w:rsid w:val="773D42A7"/>
    <w:rsid w:val="775D3490"/>
    <w:rsid w:val="775F893D"/>
    <w:rsid w:val="776F0A63"/>
    <w:rsid w:val="776F1802"/>
    <w:rsid w:val="776FD525"/>
    <w:rsid w:val="777D097E"/>
    <w:rsid w:val="77900B87"/>
    <w:rsid w:val="779301BE"/>
    <w:rsid w:val="77984B58"/>
    <w:rsid w:val="77ABCF51"/>
    <w:rsid w:val="77B622BC"/>
    <w:rsid w:val="77BFC6EB"/>
    <w:rsid w:val="77BFE2CB"/>
    <w:rsid w:val="77DE52B2"/>
    <w:rsid w:val="77DF4994"/>
    <w:rsid w:val="77E7DA5D"/>
    <w:rsid w:val="77F78444"/>
    <w:rsid w:val="77F7F43E"/>
    <w:rsid w:val="77FF84FD"/>
    <w:rsid w:val="78B17334"/>
    <w:rsid w:val="78BF35B7"/>
    <w:rsid w:val="78BFFCAD"/>
    <w:rsid w:val="78EC26A9"/>
    <w:rsid w:val="78F47AA0"/>
    <w:rsid w:val="79537D73"/>
    <w:rsid w:val="796339EC"/>
    <w:rsid w:val="796626C4"/>
    <w:rsid w:val="797314CF"/>
    <w:rsid w:val="79BDAD24"/>
    <w:rsid w:val="79D57C8B"/>
    <w:rsid w:val="79DEFEBC"/>
    <w:rsid w:val="79EDA20A"/>
    <w:rsid w:val="79F700C8"/>
    <w:rsid w:val="7A1D2635"/>
    <w:rsid w:val="7A325BAB"/>
    <w:rsid w:val="7A3F45F3"/>
    <w:rsid w:val="7A461444"/>
    <w:rsid w:val="7A52C7CA"/>
    <w:rsid w:val="7A6F4ADE"/>
    <w:rsid w:val="7A7A3FB1"/>
    <w:rsid w:val="7A7B7626"/>
    <w:rsid w:val="7A7F7AF9"/>
    <w:rsid w:val="7ABFFA84"/>
    <w:rsid w:val="7ACBE27C"/>
    <w:rsid w:val="7B4EDBAB"/>
    <w:rsid w:val="7B571621"/>
    <w:rsid w:val="7B6B478F"/>
    <w:rsid w:val="7B77C213"/>
    <w:rsid w:val="7B7EBBEA"/>
    <w:rsid w:val="7B984663"/>
    <w:rsid w:val="7BB5424A"/>
    <w:rsid w:val="7BB73CDF"/>
    <w:rsid w:val="7BB89036"/>
    <w:rsid w:val="7BBB4E12"/>
    <w:rsid w:val="7BBC1088"/>
    <w:rsid w:val="7BBD17D1"/>
    <w:rsid w:val="7BC519BB"/>
    <w:rsid w:val="7BC7D714"/>
    <w:rsid w:val="7BD0D34C"/>
    <w:rsid w:val="7BD7E33F"/>
    <w:rsid w:val="7BDE8DD2"/>
    <w:rsid w:val="7BEFBEDD"/>
    <w:rsid w:val="7BF38B2A"/>
    <w:rsid w:val="7BF58731"/>
    <w:rsid w:val="7BFBDFEB"/>
    <w:rsid w:val="7BFC8FEF"/>
    <w:rsid w:val="7BFF111C"/>
    <w:rsid w:val="7BFF4FED"/>
    <w:rsid w:val="7BFFCB4E"/>
    <w:rsid w:val="7C216E39"/>
    <w:rsid w:val="7C7B0E18"/>
    <w:rsid w:val="7C9564F3"/>
    <w:rsid w:val="7CBF7C33"/>
    <w:rsid w:val="7CBFBFC5"/>
    <w:rsid w:val="7CD04806"/>
    <w:rsid w:val="7CFEF24E"/>
    <w:rsid w:val="7CFF0BED"/>
    <w:rsid w:val="7D022514"/>
    <w:rsid w:val="7D341CD6"/>
    <w:rsid w:val="7D5F9B1D"/>
    <w:rsid w:val="7D6185B4"/>
    <w:rsid w:val="7D77008D"/>
    <w:rsid w:val="7D790717"/>
    <w:rsid w:val="7D7B4652"/>
    <w:rsid w:val="7D7F6ABB"/>
    <w:rsid w:val="7D8F3ED5"/>
    <w:rsid w:val="7D9A72BC"/>
    <w:rsid w:val="7DB7E982"/>
    <w:rsid w:val="7DBF6FEF"/>
    <w:rsid w:val="7DBF89F1"/>
    <w:rsid w:val="7DCD54C0"/>
    <w:rsid w:val="7DCF8D23"/>
    <w:rsid w:val="7DD7271B"/>
    <w:rsid w:val="7DECE0B0"/>
    <w:rsid w:val="7DF54409"/>
    <w:rsid w:val="7DFAB730"/>
    <w:rsid w:val="7DFBEB08"/>
    <w:rsid w:val="7DFC0962"/>
    <w:rsid w:val="7DFD0A96"/>
    <w:rsid w:val="7DFE5D33"/>
    <w:rsid w:val="7DFEDF41"/>
    <w:rsid w:val="7DFEF71F"/>
    <w:rsid w:val="7DFF08D8"/>
    <w:rsid w:val="7DFF61EB"/>
    <w:rsid w:val="7DFF872E"/>
    <w:rsid w:val="7E3F68C4"/>
    <w:rsid w:val="7E624164"/>
    <w:rsid w:val="7E6F7954"/>
    <w:rsid w:val="7E7D6E6E"/>
    <w:rsid w:val="7E9142BF"/>
    <w:rsid w:val="7EA607EF"/>
    <w:rsid w:val="7EB7EC3B"/>
    <w:rsid w:val="7EBD549C"/>
    <w:rsid w:val="7ECF3098"/>
    <w:rsid w:val="7ECF7365"/>
    <w:rsid w:val="7ED741F6"/>
    <w:rsid w:val="7EDA7E5A"/>
    <w:rsid w:val="7EDB0EDB"/>
    <w:rsid w:val="7EDD8549"/>
    <w:rsid w:val="7EDF3331"/>
    <w:rsid w:val="7EFB2CC6"/>
    <w:rsid w:val="7EFDFAD1"/>
    <w:rsid w:val="7EFF4AEF"/>
    <w:rsid w:val="7EFF8638"/>
    <w:rsid w:val="7EFFA7DA"/>
    <w:rsid w:val="7EFFE719"/>
    <w:rsid w:val="7F3543C4"/>
    <w:rsid w:val="7F3D21E0"/>
    <w:rsid w:val="7F6FDB6F"/>
    <w:rsid w:val="7F7728FA"/>
    <w:rsid w:val="7F775E50"/>
    <w:rsid w:val="7F7B1AD9"/>
    <w:rsid w:val="7F7FA620"/>
    <w:rsid w:val="7F7FD998"/>
    <w:rsid w:val="7F8EB047"/>
    <w:rsid w:val="7F9E0363"/>
    <w:rsid w:val="7FA71501"/>
    <w:rsid w:val="7FA7C79F"/>
    <w:rsid w:val="7FAEB9FE"/>
    <w:rsid w:val="7FB75728"/>
    <w:rsid w:val="7FB7A248"/>
    <w:rsid w:val="7FB9BB9E"/>
    <w:rsid w:val="7FBC0CC7"/>
    <w:rsid w:val="7FC747D0"/>
    <w:rsid w:val="7FCBD10B"/>
    <w:rsid w:val="7FCDF9DA"/>
    <w:rsid w:val="7FD5CB05"/>
    <w:rsid w:val="7FDB7EE6"/>
    <w:rsid w:val="7FDF13AB"/>
    <w:rsid w:val="7FDF732F"/>
    <w:rsid w:val="7FDF8418"/>
    <w:rsid w:val="7FDF9B32"/>
    <w:rsid w:val="7FDFB846"/>
    <w:rsid w:val="7FE15C67"/>
    <w:rsid w:val="7FEC6468"/>
    <w:rsid w:val="7FEE8B33"/>
    <w:rsid w:val="7FEEBF5E"/>
    <w:rsid w:val="7FF4FCB2"/>
    <w:rsid w:val="7FF6133E"/>
    <w:rsid w:val="7FF70147"/>
    <w:rsid w:val="7FF711F0"/>
    <w:rsid w:val="7FF75515"/>
    <w:rsid w:val="7FF76F98"/>
    <w:rsid w:val="7FF7DC1F"/>
    <w:rsid w:val="7FFBE3EB"/>
    <w:rsid w:val="7FFC1B3A"/>
    <w:rsid w:val="7FFDC1B9"/>
    <w:rsid w:val="7FFDC29C"/>
    <w:rsid w:val="7FFEEFFC"/>
    <w:rsid w:val="7FFF0F36"/>
    <w:rsid w:val="7FFF1221"/>
    <w:rsid w:val="7FFF5C8F"/>
    <w:rsid w:val="7FFF92FD"/>
    <w:rsid w:val="7FFFAF90"/>
    <w:rsid w:val="7FFFC32F"/>
    <w:rsid w:val="7FFFF2C5"/>
    <w:rsid w:val="7FFFF62C"/>
    <w:rsid w:val="83E741E6"/>
    <w:rsid w:val="8AFD5FE4"/>
    <w:rsid w:val="8BB7B7DF"/>
    <w:rsid w:val="8BFFA716"/>
    <w:rsid w:val="8DFF2890"/>
    <w:rsid w:val="8E51E9D7"/>
    <w:rsid w:val="8ED71B7D"/>
    <w:rsid w:val="8FDF8E26"/>
    <w:rsid w:val="8FF7D9C7"/>
    <w:rsid w:val="8FF97BFF"/>
    <w:rsid w:val="8FF9EFD3"/>
    <w:rsid w:val="917B956D"/>
    <w:rsid w:val="95DBDEB5"/>
    <w:rsid w:val="97F66D8C"/>
    <w:rsid w:val="97FB9BDE"/>
    <w:rsid w:val="9BB64845"/>
    <w:rsid w:val="9BF9D04B"/>
    <w:rsid w:val="9C7F564E"/>
    <w:rsid w:val="9D7F0A30"/>
    <w:rsid w:val="9DBF5907"/>
    <w:rsid w:val="9DEB6262"/>
    <w:rsid w:val="9DEF7DD7"/>
    <w:rsid w:val="9DF69233"/>
    <w:rsid w:val="9EBF6D3C"/>
    <w:rsid w:val="9EFFA3C5"/>
    <w:rsid w:val="9F2B6F85"/>
    <w:rsid w:val="9F732433"/>
    <w:rsid w:val="9FDB7462"/>
    <w:rsid w:val="9FF2B3EC"/>
    <w:rsid w:val="9FFDF123"/>
    <w:rsid w:val="9FFE976E"/>
    <w:rsid w:val="9FFFEC1B"/>
    <w:rsid w:val="A2FB5CB6"/>
    <w:rsid w:val="A3DB2F9C"/>
    <w:rsid w:val="A4EB2798"/>
    <w:rsid w:val="A52B2461"/>
    <w:rsid w:val="A5FFE412"/>
    <w:rsid w:val="A6F7F33B"/>
    <w:rsid w:val="A6FE19FF"/>
    <w:rsid w:val="A73A3C54"/>
    <w:rsid w:val="A7EAD8F6"/>
    <w:rsid w:val="A9ED98BF"/>
    <w:rsid w:val="ADF55057"/>
    <w:rsid w:val="AE0F1250"/>
    <w:rsid w:val="AEF4B464"/>
    <w:rsid w:val="AF73836A"/>
    <w:rsid w:val="AFDDDFCB"/>
    <w:rsid w:val="AFDE7843"/>
    <w:rsid w:val="AFED8EAC"/>
    <w:rsid w:val="AFEFEB2D"/>
    <w:rsid w:val="AFF9C10E"/>
    <w:rsid w:val="AFFFFF6D"/>
    <w:rsid w:val="B12FD5A9"/>
    <w:rsid w:val="B1EEEF5E"/>
    <w:rsid w:val="B2CF58B4"/>
    <w:rsid w:val="B37CF7BB"/>
    <w:rsid w:val="B3C8B463"/>
    <w:rsid w:val="B3D31583"/>
    <w:rsid w:val="B3DE7BE4"/>
    <w:rsid w:val="B3E6101E"/>
    <w:rsid w:val="B59F766D"/>
    <w:rsid w:val="B5FD8844"/>
    <w:rsid w:val="B6F7532B"/>
    <w:rsid w:val="B77BF44C"/>
    <w:rsid w:val="B77FBD7A"/>
    <w:rsid w:val="B77FD65D"/>
    <w:rsid w:val="B7B05DC7"/>
    <w:rsid w:val="B7E3A70E"/>
    <w:rsid w:val="B7E75FE0"/>
    <w:rsid w:val="B7EBE5DB"/>
    <w:rsid w:val="B7FFAFBD"/>
    <w:rsid w:val="B8B4BD3F"/>
    <w:rsid w:val="B9755EB2"/>
    <w:rsid w:val="B9F77897"/>
    <w:rsid w:val="BA7FBBF9"/>
    <w:rsid w:val="BB630427"/>
    <w:rsid w:val="BB67B601"/>
    <w:rsid w:val="BB7FEED6"/>
    <w:rsid w:val="BBDF29CA"/>
    <w:rsid w:val="BBE534A2"/>
    <w:rsid w:val="BBF539BA"/>
    <w:rsid w:val="BBF78487"/>
    <w:rsid w:val="BBFD3148"/>
    <w:rsid w:val="BBFDEFC2"/>
    <w:rsid w:val="BBFF98B6"/>
    <w:rsid w:val="BCDF6DAD"/>
    <w:rsid w:val="BCEB686C"/>
    <w:rsid w:val="BD2F654B"/>
    <w:rsid w:val="BD7DEDCC"/>
    <w:rsid w:val="BDBF0CE0"/>
    <w:rsid w:val="BDE7841D"/>
    <w:rsid w:val="BDF3838D"/>
    <w:rsid w:val="BDFCA53E"/>
    <w:rsid w:val="BDFE24E6"/>
    <w:rsid w:val="BEBBAA37"/>
    <w:rsid w:val="BEBF0673"/>
    <w:rsid w:val="BEBF52B3"/>
    <w:rsid w:val="BEDF2E97"/>
    <w:rsid w:val="BEFB5F9F"/>
    <w:rsid w:val="BEFD4CE7"/>
    <w:rsid w:val="BEFF960E"/>
    <w:rsid w:val="BF5696D8"/>
    <w:rsid w:val="BF6B8260"/>
    <w:rsid w:val="BF76C53B"/>
    <w:rsid w:val="BF7D98DD"/>
    <w:rsid w:val="BF7FDE3D"/>
    <w:rsid w:val="BF8CD6BE"/>
    <w:rsid w:val="BFA74CDA"/>
    <w:rsid w:val="BFAE4383"/>
    <w:rsid w:val="BFB65FD4"/>
    <w:rsid w:val="BFBAAB60"/>
    <w:rsid w:val="BFCF0BDA"/>
    <w:rsid w:val="BFCF892E"/>
    <w:rsid w:val="BFDB229D"/>
    <w:rsid w:val="BFDF2BB6"/>
    <w:rsid w:val="BFEE84EE"/>
    <w:rsid w:val="BFFA8FD6"/>
    <w:rsid w:val="BFFAB969"/>
    <w:rsid w:val="BFFADC54"/>
    <w:rsid w:val="BFFD8B84"/>
    <w:rsid w:val="BFFE18D3"/>
    <w:rsid w:val="BFFF501F"/>
    <w:rsid w:val="BFFFA05E"/>
    <w:rsid w:val="BFFFE4E8"/>
    <w:rsid w:val="C37F778E"/>
    <w:rsid w:val="C67D8ACF"/>
    <w:rsid w:val="C6B268CB"/>
    <w:rsid w:val="C6D6C223"/>
    <w:rsid w:val="C7DB265A"/>
    <w:rsid w:val="C7DECF56"/>
    <w:rsid w:val="C9DF8FA8"/>
    <w:rsid w:val="C9F741CB"/>
    <w:rsid w:val="CB7B4F79"/>
    <w:rsid w:val="CD5E95A6"/>
    <w:rsid w:val="CDBDFB92"/>
    <w:rsid w:val="CDC36CF8"/>
    <w:rsid w:val="CF2A265B"/>
    <w:rsid w:val="CF76609D"/>
    <w:rsid w:val="CFAF9C2E"/>
    <w:rsid w:val="CFDD247B"/>
    <w:rsid w:val="CFFD2F65"/>
    <w:rsid w:val="D3B466F7"/>
    <w:rsid w:val="D45F5F59"/>
    <w:rsid w:val="D5BB1759"/>
    <w:rsid w:val="D5BF06CF"/>
    <w:rsid w:val="D60BC8CB"/>
    <w:rsid w:val="D6DE1A44"/>
    <w:rsid w:val="D6EA2E41"/>
    <w:rsid w:val="D7121B13"/>
    <w:rsid w:val="D77E6928"/>
    <w:rsid w:val="D77FEBD0"/>
    <w:rsid w:val="D78F792C"/>
    <w:rsid w:val="D792952B"/>
    <w:rsid w:val="D7B73DBD"/>
    <w:rsid w:val="D7BDA7C7"/>
    <w:rsid w:val="D7DD5E3B"/>
    <w:rsid w:val="D7DF5ED6"/>
    <w:rsid w:val="D7E28AD3"/>
    <w:rsid w:val="D7E552CC"/>
    <w:rsid w:val="D9357834"/>
    <w:rsid w:val="D9FF881C"/>
    <w:rsid w:val="DAB11124"/>
    <w:rsid w:val="DADFDE2A"/>
    <w:rsid w:val="DAF72DE5"/>
    <w:rsid w:val="DAFBB832"/>
    <w:rsid w:val="DB514461"/>
    <w:rsid w:val="DBAF315B"/>
    <w:rsid w:val="DBAF760B"/>
    <w:rsid w:val="DBB904F5"/>
    <w:rsid w:val="DBD7C4EC"/>
    <w:rsid w:val="DBEF2A9C"/>
    <w:rsid w:val="DBEF5A4B"/>
    <w:rsid w:val="DBFF766E"/>
    <w:rsid w:val="DBFF771D"/>
    <w:rsid w:val="DC4777D1"/>
    <w:rsid w:val="DC4F651B"/>
    <w:rsid w:val="DCEFC3D6"/>
    <w:rsid w:val="DD0ED113"/>
    <w:rsid w:val="DD7B7089"/>
    <w:rsid w:val="DD7E9D1F"/>
    <w:rsid w:val="DD92F0E7"/>
    <w:rsid w:val="DDF5FFF3"/>
    <w:rsid w:val="DE6F3681"/>
    <w:rsid w:val="DE769F10"/>
    <w:rsid w:val="DEDE5523"/>
    <w:rsid w:val="DEDF3C42"/>
    <w:rsid w:val="DEFF8533"/>
    <w:rsid w:val="DF0394F1"/>
    <w:rsid w:val="DF07DD7D"/>
    <w:rsid w:val="DF5AF944"/>
    <w:rsid w:val="DF695B5E"/>
    <w:rsid w:val="DF6CAE14"/>
    <w:rsid w:val="DF7F2C36"/>
    <w:rsid w:val="DF9D3BF5"/>
    <w:rsid w:val="DF9F5328"/>
    <w:rsid w:val="DFA79409"/>
    <w:rsid w:val="DFBE9958"/>
    <w:rsid w:val="DFBF89C8"/>
    <w:rsid w:val="DFCD2D11"/>
    <w:rsid w:val="DFDF43D7"/>
    <w:rsid w:val="DFE5F416"/>
    <w:rsid w:val="DFEB4A4F"/>
    <w:rsid w:val="DFED20A2"/>
    <w:rsid w:val="DFF1D4FC"/>
    <w:rsid w:val="DFF583A8"/>
    <w:rsid w:val="DFF7E6EF"/>
    <w:rsid w:val="DFFB2450"/>
    <w:rsid w:val="DFFC0D2D"/>
    <w:rsid w:val="DFFD6EB5"/>
    <w:rsid w:val="DFFDD891"/>
    <w:rsid w:val="DFFF66B3"/>
    <w:rsid w:val="E3CEC2EC"/>
    <w:rsid w:val="E3F73F93"/>
    <w:rsid w:val="E3FF01F6"/>
    <w:rsid w:val="E4271B82"/>
    <w:rsid w:val="E48F14A3"/>
    <w:rsid w:val="E4ED83B3"/>
    <w:rsid w:val="E4FDE3A9"/>
    <w:rsid w:val="E54F4605"/>
    <w:rsid w:val="E5F8B5CC"/>
    <w:rsid w:val="E6625FE4"/>
    <w:rsid w:val="E6FED0CD"/>
    <w:rsid w:val="E6FF3C7B"/>
    <w:rsid w:val="E73D2FA5"/>
    <w:rsid w:val="E73F8B09"/>
    <w:rsid w:val="E76F1EAB"/>
    <w:rsid w:val="E77F8439"/>
    <w:rsid w:val="E7DF9F04"/>
    <w:rsid w:val="E7F2706B"/>
    <w:rsid w:val="E7FDF1CF"/>
    <w:rsid w:val="E8DFFC9A"/>
    <w:rsid w:val="E8FF64BF"/>
    <w:rsid w:val="E9F955D9"/>
    <w:rsid w:val="EA6B44AD"/>
    <w:rsid w:val="EA9F4E4A"/>
    <w:rsid w:val="EADE1719"/>
    <w:rsid w:val="EB576BF5"/>
    <w:rsid w:val="EB732E93"/>
    <w:rsid w:val="EB9B7451"/>
    <w:rsid w:val="EBAD98C1"/>
    <w:rsid w:val="EBFEF0DD"/>
    <w:rsid w:val="EC5F58CD"/>
    <w:rsid w:val="ECB72FC0"/>
    <w:rsid w:val="ECF75331"/>
    <w:rsid w:val="ECF9E152"/>
    <w:rsid w:val="ED7F94D7"/>
    <w:rsid w:val="EDD530BE"/>
    <w:rsid w:val="EDE78887"/>
    <w:rsid w:val="EDE7B14F"/>
    <w:rsid w:val="EDF387D9"/>
    <w:rsid w:val="EDFB8919"/>
    <w:rsid w:val="EDFFC030"/>
    <w:rsid w:val="EDFFE066"/>
    <w:rsid w:val="EE3E3ABA"/>
    <w:rsid w:val="EE5EE4E9"/>
    <w:rsid w:val="EE5FFFEF"/>
    <w:rsid w:val="EE674FB9"/>
    <w:rsid w:val="EEE6E3F2"/>
    <w:rsid w:val="EEE9F615"/>
    <w:rsid w:val="EEEB70FE"/>
    <w:rsid w:val="EEF3B450"/>
    <w:rsid w:val="EEF7D0B3"/>
    <w:rsid w:val="EEFDC233"/>
    <w:rsid w:val="EEFDE6E9"/>
    <w:rsid w:val="EEFE7CAD"/>
    <w:rsid w:val="EF156EC4"/>
    <w:rsid w:val="EF4B3BFF"/>
    <w:rsid w:val="EF6AABDA"/>
    <w:rsid w:val="EF7EF75D"/>
    <w:rsid w:val="EF7F6BFC"/>
    <w:rsid w:val="EF7FD2C5"/>
    <w:rsid w:val="EF9F5705"/>
    <w:rsid w:val="EFC683D2"/>
    <w:rsid w:val="EFCFD8DD"/>
    <w:rsid w:val="EFD9914E"/>
    <w:rsid w:val="EFDFABD0"/>
    <w:rsid w:val="EFE7E391"/>
    <w:rsid w:val="EFEF46D2"/>
    <w:rsid w:val="EFEFB160"/>
    <w:rsid w:val="EFF75619"/>
    <w:rsid w:val="EFFC5801"/>
    <w:rsid w:val="EFFE0A90"/>
    <w:rsid w:val="EFFEB9DE"/>
    <w:rsid w:val="EFFF3CE0"/>
    <w:rsid w:val="EFFF93C9"/>
    <w:rsid w:val="EFFFE146"/>
    <w:rsid w:val="F1F75B52"/>
    <w:rsid w:val="F27EB8D8"/>
    <w:rsid w:val="F27FFC4C"/>
    <w:rsid w:val="F2DD63CF"/>
    <w:rsid w:val="F379922A"/>
    <w:rsid w:val="F3DEEDF4"/>
    <w:rsid w:val="F3FEF0CF"/>
    <w:rsid w:val="F4F7C09B"/>
    <w:rsid w:val="F55D8B06"/>
    <w:rsid w:val="F57F0648"/>
    <w:rsid w:val="F5E79497"/>
    <w:rsid w:val="F5EF4119"/>
    <w:rsid w:val="F5FF85D2"/>
    <w:rsid w:val="F5FFA069"/>
    <w:rsid w:val="F61B1BB3"/>
    <w:rsid w:val="F63BFED3"/>
    <w:rsid w:val="F66ED278"/>
    <w:rsid w:val="F68FECCC"/>
    <w:rsid w:val="F6FE1E51"/>
    <w:rsid w:val="F6FEB40C"/>
    <w:rsid w:val="F73FF092"/>
    <w:rsid w:val="F75E3E1F"/>
    <w:rsid w:val="F75F8222"/>
    <w:rsid w:val="F77F0681"/>
    <w:rsid w:val="F77F21DC"/>
    <w:rsid w:val="F79730AD"/>
    <w:rsid w:val="F79E65E6"/>
    <w:rsid w:val="F7B31CDD"/>
    <w:rsid w:val="F7B592D5"/>
    <w:rsid w:val="F7BD2589"/>
    <w:rsid w:val="F7BF2861"/>
    <w:rsid w:val="F7CFDD6C"/>
    <w:rsid w:val="F7DFD9B0"/>
    <w:rsid w:val="F7EFBC5A"/>
    <w:rsid w:val="F7FAA18D"/>
    <w:rsid w:val="F7FBAF1D"/>
    <w:rsid w:val="F7FE0FF4"/>
    <w:rsid w:val="F7FE9C03"/>
    <w:rsid w:val="F7FF2410"/>
    <w:rsid w:val="F7FFB7F6"/>
    <w:rsid w:val="F7FFE387"/>
    <w:rsid w:val="F7FFE903"/>
    <w:rsid w:val="F87A081D"/>
    <w:rsid w:val="F89D304E"/>
    <w:rsid w:val="F8D346C8"/>
    <w:rsid w:val="F8ED2250"/>
    <w:rsid w:val="F8FF44B6"/>
    <w:rsid w:val="F972001A"/>
    <w:rsid w:val="F97F1117"/>
    <w:rsid w:val="F97F999B"/>
    <w:rsid w:val="F98E4439"/>
    <w:rsid w:val="F99FDA36"/>
    <w:rsid w:val="F9B3F838"/>
    <w:rsid w:val="F9EF0914"/>
    <w:rsid w:val="F9F3EB7D"/>
    <w:rsid w:val="F9FD82E5"/>
    <w:rsid w:val="F9FDC70A"/>
    <w:rsid w:val="FA0EF94D"/>
    <w:rsid w:val="FA4E220D"/>
    <w:rsid w:val="FA982247"/>
    <w:rsid w:val="FABEB44F"/>
    <w:rsid w:val="FACF9AB9"/>
    <w:rsid w:val="FAF51BDB"/>
    <w:rsid w:val="FB77C25E"/>
    <w:rsid w:val="FB9F7AD3"/>
    <w:rsid w:val="FBAEDB19"/>
    <w:rsid w:val="FBD35E07"/>
    <w:rsid w:val="FBDA79DF"/>
    <w:rsid w:val="FBDFC074"/>
    <w:rsid w:val="FBE1AB99"/>
    <w:rsid w:val="FBEBC5D6"/>
    <w:rsid w:val="FBED3E85"/>
    <w:rsid w:val="FBEFFB7A"/>
    <w:rsid w:val="FBF3B8E0"/>
    <w:rsid w:val="FBFB910E"/>
    <w:rsid w:val="FBFC7B99"/>
    <w:rsid w:val="FBFD03A0"/>
    <w:rsid w:val="FBFD4DC7"/>
    <w:rsid w:val="FBFE4C98"/>
    <w:rsid w:val="FBFFCAA3"/>
    <w:rsid w:val="FC6FBC55"/>
    <w:rsid w:val="FC79A0BB"/>
    <w:rsid w:val="FC7F2C93"/>
    <w:rsid w:val="FCDE1A40"/>
    <w:rsid w:val="FCF72825"/>
    <w:rsid w:val="FCF78876"/>
    <w:rsid w:val="FCFB8D43"/>
    <w:rsid w:val="FD1F0DF1"/>
    <w:rsid w:val="FD1F740E"/>
    <w:rsid w:val="FD36F994"/>
    <w:rsid w:val="FD4F7CCC"/>
    <w:rsid w:val="FD59B623"/>
    <w:rsid w:val="FD5BC3A7"/>
    <w:rsid w:val="FD7878B4"/>
    <w:rsid w:val="FD7D2666"/>
    <w:rsid w:val="FD7E1E59"/>
    <w:rsid w:val="FD9533FF"/>
    <w:rsid w:val="FD9B0ED4"/>
    <w:rsid w:val="FDBFE9F3"/>
    <w:rsid w:val="FDCFB870"/>
    <w:rsid w:val="FDD122BB"/>
    <w:rsid w:val="FDDDF9D9"/>
    <w:rsid w:val="FDE58312"/>
    <w:rsid w:val="FDEC8F33"/>
    <w:rsid w:val="FDED4CF7"/>
    <w:rsid w:val="FDF3229F"/>
    <w:rsid w:val="FDF72368"/>
    <w:rsid w:val="FDFDAF82"/>
    <w:rsid w:val="FDFE3B2F"/>
    <w:rsid w:val="FDFEE3DE"/>
    <w:rsid w:val="FDFF00AA"/>
    <w:rsid w:val="FDFF33DF"/>
    <w:rsid w:val="FDFF91F4"/>
    <w:rsid w:val="FE3D643D"/>
    <w:rsid w:val="FE4BEE59"/>
    <w:rsid w:val="FE6F105A"/>
    <w:rsid w:val="FE7A4656"/>
    <w:rsid w:val="FE8DD527"/>
    <w:rsid w:val="FEAB5E58"/>
    <w:rsid w:val="FEB746FA"/>
    <w:rsid w:val="FEBDBBB2"/>
    <w:rsid w:val="FECC4353"/>
    <w:rsid w:val="FECF432C"/>
    <w:rsid w:val="FED01B59"/>
    <w:rsid w:val="FEF3282F"/>
    <w:rsid w:val="FEF59A29"/>
    <w:rsid w:val="FEF717ED"/>
    <w:rsid w:val="FEF7A559"/>
    <w:rsid w:val="FEF7BC32"/>
    <w:rsid w:val="FEFF3C62"/>
    <w:rsid w:val="FF0B5F84"/>
    <w:rsid w:val="FF0CDEB5"/>
    <w:rsid w:val="FF16A798"/>
    <w:rsid w:val="FF361E29"/>
    <w:rsid w:val="FF372CDD"/>
    <w:rsid w:val="FF48A5DE"/>
    <w:rsid w:val="FF4D014D"/>
    <w:rsid w:val="FF6E71E1"/>
    <w:rsid w:val="FF7321C8"/>
    <w:rsid w:val="FF76E2E0"/>
    <w:rsid w:val="FF7D9772"/>
    <w:rsid w:val="FF7E213E"/>
    <w:rsid w:val="FF7E666D"/>
    <w:rsid w:val="FF7ED418"/>
    <w:rsid w:val="FF7F6F12"/>
    <w:rsid w:val="FF8E5A6F"/>
    <w:rsid w:val="FF8FDA20"/>
    <w:rsid w:val="FF9EEFAF"/>
    <w:rsid w:val="FFA78F94"/>
    <w:rsid w:val="FFA7B0A6"/>
    <w:rsid w:val="FFAEFD10"/>
    <w:rsid w:val="FFBDF1C0"/>
    <w:rsid w:val="FFBE005B"/>
    <w:rsid w:val="FFBE3D54"/>
    <w:rsid w:val="FFBF3AB7"/>
    <w:rsid w:val="FFBF41CF"/>
    <w:rsid w:val="FFC734A8"/>
    <w:rsid w:val="FFCBC5AE"/>
    <w:rsid w:val="FFD9A6CE"/>
    <w:rsid w:val="FFDD321B"/>
    <w:rsid w:val="FFDFA1A0"/>
    <w:rsid w:val="FFE142B7"/>
    <w:rsid w:val="FFE5314D"/>
    <w:rsid w:val="FFE70E16"/>
    <w:rsid w:val="FFEAEB6B"/>
    <w:rsid w:val="FFEBB1B4"/>
    <w:rsid w:val="FFECEC2D"/>
    <w:rsid w:val="FFED6F1C"/>
    <w:rsid w:val="FFEEB330"/>
    <w:rsid w:val="FFEEF054"/>
    <w:rsid w:val="FFEF0495"/>
    <w:rsid w:val="FFEF3CF4"/>
    <w:rsid w:val="FFEF4004"/>
    <w:rsid w:val="FFEF7D7E"/>
    <w:rsid w:val="FFEFE1FF"/>
    <w:rsid w:val="FFF34AB2"/>
    <w:rsid w:val="FFF5D327"/>
    <w:rsid w:val="FFF77D2C"/>
    <w:rsid w:val="FFF7FD3B"/>
    <w:rsid w:val="FFFB358F"/>
    <w:rsid w:val="FFFBA1B8"/>
    <w:rsid w:val="FFFBB436"/>
    <w:rsid w:val="FFFC35CB"/>
    <w:rsid w:val="FFFD2880"/>
    <w:rsid w:val="FFFE40A5"/>
    <w:rsid w:val="FFFE79F0"/>
    <w:rsid w:val="FFFF1FA2"/>
    <w:rsid w:val="FFFF3361"/>
    <w:rsid w:val="FFFF5817"/>
    <w:rsid w:val="FFFF6B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qFormat="1"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qFormat="1" w:uiPriority="99" w:semiHidden="0" w:name="Body Text 3"/>
    <w:lsdException w:qFormat="1" w:unhideWhenUsed="0" w:uiPriority="0" w:semiHidden="0" w:name="Body Text Indent 2"/>
    <w:lsdException w:qFormat="1"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after="160" w:line="259" w:lineRule="auto"/>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39"/>
    <w:qFormat/>
    <w:uiPriority w:val="0"/>
    <w:pPr>
      <w:keepNext/>
      <w:keepLines/>
      <w:spacing w:before="340" w:after="330" w:line="576" w:lineRule="auto"/>
      <w:outlineLvl w:val="0"/>
    </w:pPr>
    <w:rPr>
      <w:b/>
      <w:bCs/>
      <w:kern w:val="44"/>
      <w:sz w:val="44"/>
      <w:szCs w:val="44"/>
    </w:rPr>
  </w:style>
  <w:style w:type="paragraph" w:styleId="4">
    <w:name w:val="heading 2"/>
    <w:basedOn w:val="3"/>
    <w:next w:val="5"/>
    <w:qFormat/>
    <w:uiPriority w:val="0"/>
    <w:pPr>
      <w:numPr>
        <w:ilvl w:val="1"/>
        <w:numId w:val="1"/>
      </w:numPr>
      <w:tabs>
        <w:tab w:val="left" w:pos="2400"/>
      </w:tabs>
      <w:spacing w:before="260" w:afterLines="50" w:line="416" w:lineRule="auto"/>
      <w:outlineLvl w:val="1"/>
    </w:pPr>
    <w:rPr>
      <w:rFonts w:ascii="Arial" w:hAnsi="Arial" w:eastAsia="黑体" w:cs="Calibri"/>
      <w:sz w:val="32"/>
      <w:szCs w:val="32"/>
    </w:rPr>
  </w:style>
  <w:style w:type="paragraph" w:styleId="5">
    <w:name w:val="heading 3"/>
    <w:basedOn w:val="1"/>
    <w:next w:val="1"/>
    <w:link w:val="40"/>
    <w:qFormat/>
    <w:uiPriority w:val="0"/>
    <w:pPr>
      <w:keepNext/>
      <w:keepLines/>
      <w:tabs>
        <w:tab w:val="left" w:pos="0"/>
      </w:tabs>
      <w:spacing w:before="260" w:after="260" w:line="415" w:lineRule="auto"/>
      <w:outlineLvl w:val="2"/>
    </w:pPr>
    <w:rPr>
      <w:b/>
      <w:sz w:val="32"/>
      <w:szCs w:val="32"/>
    </w:rPr>
  </w:style>
  <w:style w:type="paragraph" w:styleId="6">
    <w:name w:val="heading 4"/>
    <w:basedOn w:val="1"/>
    <w:next w:val="1"/>
    <w:link w:val="41"/>
    <w:qFormat/>
    <w:uiPriority w:val="0"/>
    <w:pPr>
      <w:keepNext/>
      <w:autoSpaceDE w:val="0"/>
      <w:autoSpaceDN w:val="0"/>
      <w:adjustRightInd w:val="0"/>
      <w:jc w:val="left"/>
      <w:outlineLvl w:val="3"/>
    </w:pPr>
    <w:rPr>
      <w:rFonts w:ascii="宋体" w:hAnsi="宋体"/>
      <w:color w:val="0000FF"/>
      <w:kern w:val="0"/>
      <w:sz w:val="28"/>
      <w:szCs w:val="20"/>
    </w:rPr>
  </w:style>
  <w:style w:type="paragraph" w:styleId="7">
    <w:name w:val="heading 5"/>
    <w:basedOn w:val="1"/>
    <w:next w:val="1"/>
    <w:link w:val="42"/>
    <w:qFormat/>
    <w:uiPriority w:val="0"/>
    <w:pPr>
      <w:keepNext/>
      <w:keepLines/>
      <w:tabs>
        <w:tab w:val="left" w:pos="1008"/>
      </w:tabs>
      <w:spacing w:before="280" w:after="290" w:line="374" w:lineRule="auto"/>
      <w:ind w:left="1008" w:hanging="1008"/>
      <w:outlineLvl w:val="4"/>
    </w:pPr>
    <w:rPr>
      <w:rFonts w:ascii="Verdana" w:hAnsi="Verdana"/>
      <w:b/>
      <w:bCs/>
      <w:sz w:val="28"/>
      <w:szCs w:val="28"/>
    </w:rPr>
  </w:style>
  <w:style w:type="paragraph" w:styleId="8">
    <w:name w:val="heading 6"/>
    <w:basedOn w:val="1"/>
    <w:next w:val="1"/>
    <w:link w:val="43"/>
    <w:qFormat/>
    <w:uiPriority w:val="0"/>
    <w:pPr>
      <w:keepNext/>
      <w:keepLines/>
      <w:tabs>
        <w:tab w:val="left" w:pos="1152"/>
      </w:tabs>
      <w:spacing w:before="240" w:after="64" w:line="319" w:lineRule="auto"/>
      <w:ind w:left="1152" w:hanging="1152"/>
      <w:outlineLvl w:val="5"/>
    </w:pPr>
    <w:rPr>
      <w:rFonts w:ascii="Arial" w:hAnsi="Arial" w:eastAsia="黑体"/>
      <w:b/>
      <w:bCs/>
      <w:sz w:val="24"/>
    </w:rPr>
  </w:style>
  <w:style w:type="paragraph" w:styleId="9">
    <w:name w:val="heading 7"/>
    <w:basedOn w:val="1"/>
    <w:next w:val="1"/>
    <w:link w:val="44"/>
    <w:qFormat/>
    <w:uiPriority w:val="0"/>
    <w:pPr>
      <w:keepNext/>
      <w:keepLines/>
      <w:tabs>
        <w:tab w:val="left" w:pos="1296"/>
      </w:tabs>
      <w:spacing w:before="240" w:after="64" w:line="319" w:lineRule="auto"/>
      <w:ind w:left="1296" w:hanging="1296"/>
      <w:outlineLvl w:val="6"/>
    </w:pPr>
    <w:rPr>
      <w:b/>
      <w:bCs/>
      <w:sz w:val="24"/>
    </w:rPr>
  </w:style>
  <w:style w:type="paragraph" w:styleId="10">
    <w:name w:val="heading 8"/>
    <w:basedOn w:val="1"/>
    <w:next w:val="1"/>
    <w:link w:val="45"/>
    <w:qFormat/>
    <w:uiPriority w:val="0"/>
    <w:pPr>
      <w:keepNext/>
      <w:keepLines/>
      <w:tabs>
        <w:tab w:val="left" w:pos="1440"/>
      </w:tabs>
      <w:spacing w:before="240" w:after="64" w:line="319" w:lineRule="auto"/>
      <w:ind w:left="1440" w:hanging="1440"/>
      <w:outlineLvl w:val="7"/>
    </w:pPr>
    <w:rPr>
      <w:rFonts w:ascii="Arial" w:hAnsi="Arial" w:eastAsia="黑体"/>
      <w:sz w:val="24"/>
    </w:rPr>
  </w:style>
  <w:style w:type="paragraph" w:styleId="11">
    <w:name w:val="heading 9"/>
    <w:basedOn w:val="1"/>
    <w:next w:val="1"/>
    <w:link w:val="46"/>
    <w:qFormat/>
    <w:uiPriority w:val="0"/>
    <w:pPr>
      <w:keepNext/>
      <w:keepLines/>
      <w:tabs>
        <w:tab w:val="left" w:pos="1584"/>
      </w:tabs>
      <w:spacing w:before="240" w:after="64" w:line="319" w:lineRule="auto"/>
      <w:ind w:left="1584" w:hanging="1584"/>
      <w:outlineLvl w:val="8"/>
    </w:pPr>
    <w:rPr>
      <w:rFonts w:ascii="Arial" w:hAnsi="Arial" w:eastAsia="黑体"/>
      <w:szCs w:val="21"/>
    </w:rPr>
  </w:style>
  <w:style w:type="character" w:default="1" w:styleId="33">
    <w:name w:val="Default Paragraph Font"/>
    <w:semiHidden/>
    <w:unhideWhenUsed/>
    <w:qFormat/>
    <w:uiPriority w:val="1"/>
  </w:style>
  <w:style w:type="table" w:default="1" w:styleId="32">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38"/>
    <w:qFormat/>
    <w:uiPriority w:val="0"/>
    <w:pPr>
      <w:spacing w:after="120"/>
    </w:pPr>
  </w:style>
  <w:style w:type="paragraph" w:styleId="12">
    <w:name w:val="List Number 2"/>
    <w:basedOn w:val="1"/>
    <w:qFormat/>
    <w:uiPriority w:val="0"/>
    <w:pPr>
      <w:numPr>
        <w:ilvl w:val="0"/>
        <w:numId w:val="2"/>
      </w:numPr>
    </w:pPr>
  </w:style>
  <w:style w:type="paragraph" w:styleId="13">
    <w:name w:val="Document Map"/>
    <w:basedOn w:val="1"/>
    <w:link w:val="47"/>
    <w:qFormat/>
    <w:uiPriority w:val="0"/>
    <w:pPr>
      <w:shd w:val="clear" w:color="auto" w:fill="000080"/>
    </w:pPr>
    <w:rPr>
      <w:kern w:val="0"/>
      <w:sz w:val="20"/>
      <w:shd w:val="clear" w:color="auto" w:fill="000080"/>
    </w:rPr>
  </w:style>
  <w:style w:type="paragraph" w:styleId="14">
    <w:name w:val="annotation text"/>
    <w:basedOn w:val="1"/>
    <w:qFormat/>
    <w:uiPriority w:val="0"/>
    <w:pPr>
      <w:jc w:val="left"/>
    </w:pPr>
  </w:style>
  <w:style w:type="paragraph" w:styleId="15">
    <w:name w:val="Body Text 3"/>
    <w:basedOn w:val="1"/>
    <w:unhideWhenUsed/>
    <w:qFormat/>
    <w:uiPriority w:val="99"/>
    <w:pPr>
      <w:widowControl/>
      <w:kinsoku w:val="0"/>
      <w:autoSpaceDE w:val="0"/>
      <w:autoSpaceDN w:val="0"/>
      <w:adjustRightInd w:val="0"/>
      <w:snapToGrid w:val="0"/>
      <w:spacing w:after="120"/>
      <w:jc w:val="left"/>
      <w:textAlignment w:val="baseline"/>
    </w:pPr>
    <w:rPr>
      <w:rFonts w:ascii="Cambria" w:hAnsi="Cambria" w:eastAsia="微软雅黑" w:cs="Arial"/>
      <w:snapToGrid w:val="0"/>
      <w:color w:val="595959"/>
      <w:kern w:val="20"/>
      <w:sz w:val="16"/>
      <w:szCs w:val="20"/>
      <w:lang w:val="zh-CN" w:eastAsia="en-US"/>
    </w:rPr>
  </w:style>
  <w:style w:type="paragraph" w:styleId="16">
    <w:name w:val="Body Text Indent"/>
    <w:basedOn w:val="1"/>
    <w:link w:val="48"/>
    <w:qFormat/>
    <w:uiPriority w:val="0"/>
    <w:pPr>
      <w:ind w:firstLine="360"/>
    </w:pPr>
    <w:rPr>
      <w:kern w:val="0"/>
      <w:sz w:val="20"/>
      <w:szCs w:val="20"/>
    </w:rPr>
  </w:style>
  <w:style w:type="paragraph" w:styleId="17">
    <w:name w:val="toc 3"/>
    <w:basedOn w:val="1"/>
    <w:next w:val="18"/>
    <w:qFormat/>
    <w:uiPriority w:val="0"/>
    <w:pPr>
      <w:widowControl/>
      <w:spacing w:after="0" w:line="240" w:lineRule="auto"/>
      <w:ind w:left="480"/>
      <w:jc w:val="left"/>
    </w:pPr>
    <w:rPr>
      <w:rFonts w:ascii="仿宋_GB2312" w:hAnsi="仿宋_GB2312" w:eastAsia="仿宋_GB2312" w:cs="仿宋_GB2312"/>
      <w:color w:val="000000"/>
      <w:kern w:val="0"/>
      <w:sz w:val="24"/>
      <w:lang w:eastAsia="en-US"/>
    </w:rPr>
  </w:style>
  <w:style w:type="paragraph" w:customStyle="1" w:styleId="18">
    <w:name w:val="Normal_0"/>
    <w:qFormat/>
    <w:uiPriority w:val="0"/>
    <w:rPr>
      <w:rFonts w:ascii="Times New Roman" w:hAnsi="Times New Roman" w:eastAsia="Times New Roman" w:cs="Times New Roman"/>
      <w:sz w:val="24"/>
      <w:szCs w:val="24"/>
      <w:lang w:val="en-US" w:eastAsia="en-US" w:bidi="ar-SA"/>
    </w:rPr>
  </w:style>
  <w:style w:type="paragraph" w:styleId="19">
    <w:name w:val="Plain Text"/>
    <w:basedOn w:val="1"/>
    <w:link w:val="49"/>
    <w:qFormat/>
    <w:uiPriority w:val="0"/>
    <w:pPr>
      <w:spacing w:after="0"/>
    </w:pPr>
    <w:rPr>
      <w:rFonts w:ascii="宋体" w:hAnsi="Courier New"/>
      <w:kern w:val="0"/>
      <w:sz w:val="20"/>
      <w:szCs w:val="21"/>
    </w:rPr>
  </w:style>
  <w:style w:type="paragraph" w:styleId="20">
    <w:name w:val="Date"/>
    <w:basedOn w:val="1"/>
    <w:next w:val="1"/>
    <w:link w:val="50"/>
    <w:qFormat/>
    <w:uiPriority w:val="0"/>
    <w:pPr>
      <w:ind w:left="100" w:leftChars="2500"/>
    </w:pPr>
    <w:rPr>
      <w:kern w:val="0"/>
      <w:sz w:val="20"/>
    </w:rPr>
  </w:style>
  <w:style w:type="paragraph" w:styleId="21">
    <w:name w:val="Body Text Indent 2"/>
    <w:basedOn w:val="1"/>
    <w:link w:val="51"/>
    <w:qFormat/>
    <w:uiPriority w:val="0"/>
    <w:pPr>
      <w:ind w:firstLine="630"/>
    </w:pPr>
    <w:rPr>
      <w:rFonts w:ascii="宋体"/>
      <w:kern w:val="0"/>
      <w:sz w:val="28"/>
      <w:szCs w:val="20"/>
    </w:rPr>
  </w:style>
  <w:style w:type="paragraph" w:styleId="22">
    <w:name w:val="Balloon Text"/>
    <w:basedOn w:val="1"/>
    <w:link w:val="52"/>
    <w:qFormat/>
    <w:uiPriority w:val="0"/>
    <w:rPr>
      <w:kern w:val="0"/>
      <w:sz w:val="18"/>
      <w:szCs w:val="18"/>
    </w:rPr>
  </w:style>
  <w:style w:type="paragraph" w:styleId="23">
    <w:name w:val="footer"/>
    <w:basedOn w:val="1"/>
    <w:link w:val="53"/>
    <w:qFormat/>
    <w:uiPriority w:val="0"/>
    <w:pPr>
      <w:tabs>
        <w:tab w:val="center" w:pos="4140"/>
        <w:tab w:val="right" w:pos="8300"/>
      </w:tabs>
      <w:snapToGrid w:val="0"/>
      <w:spacing w:after="0"/>
      <w:jc w:val="left"/>
    </w:pPr>
    <w:rPr>
      <w:kern w:val="0"/>
      <w:sz w:val="18"/>
    </w:rPr>
  </w:style>
  <w:style w:type="paragraph" w:styleId="24">
    <w:name w:val="header"/>
    <w:basedOn w:val="1"/>
    <w:link w:val="54"/>
    <w:qFormat/>
    <w:uiPriority w:val="0"/>
    <w:pPr>
      <w:pBdr>
        <w:bottom w:val="single" w:color="auto" w:sz="6" w:space="1"/>
      </w:pBdr>
      <w:tabs>
        <w:tab w:val="center" w:pos="4153"/>
        <w:tab w:val="right" w:pos="8306"/>
      </w:tabs>
      <w:snapToGrid w:val="0"/>
      <w:jc w:val="center"/>
    </w:pPr>
    <w:rPr>
      <w:kern w:val="0"/>
      <w:sz w:val="18"/>
      <w:szCs w:val="18"/>
    </w:rPr>
  </w:style>
  <w:style w:type="paragraph" w:styleId="25">
    <w:name w:val="toc 1"/>
    <w:basedOn w:val="1"/>
    <w:next w:val="1"/>
    <w:qFormat/>
    <w:uiPriority w:val="0"/>
    <w:pPr>
      <w:spacing w:before="120" w:after="120"/>
      <w:jc w:val="left"/>
    </w:pPr>
    <w:rPr>
      <w:rFonts w:ascii="仿宋_GB2312" w:hAnsi="仿宋_GB2312" w:eastAsia="仿宋_GB2312" w:cs="仿宋_GB2312"/>
      <w:bCs/>
      <w:caps/>
      <w:color w:val="000000"/>
      <w:sz w:val="24"/>
      <w:szCs w:val="20"/>
    </w:rPr>
  </w:style>
  <w:style w:type="paragraph" w:styleId="26">
    <w:name w:val="Body Text Indent 3"/>
    <w:basedOn w:val="1"/>
    <w:link w:val="55"/>
    <w:qFormat/>
    <w:uiPriority w:val="0"/>
    <w:pPr>
      <w:spacing w:line="360" w:lineRule="auto"/>
      <w:ind w:firstLine="480" w:firstLineChars="200"/>
      <w:jc w:val="left"/>
    </w:pPr>
    <w:rPr>
      <w:kern w:val="0"/>
      <w:sz w:val="24"/>
      <w:szCs w:val="20"/>
    </w:rPr>
  </w:style>
  <w:style w:type="paragraph" w:styleId="27">
    <w:name w:val="toc 2"/>
    <w:basedOn w:val="1"/>
    <w:next w:val="18"/>
    <w:qFormat/>
    <w:uiPriority w:val="0"/>
    <w:pPr>
      <w:widowControl/>
      <w:spacing w:after="0" w:line="240" w:lineRule="auto"/>
      <w:ind w:left="240"/>
      <w:jc w:val="left"/>
    </w:pPr>
    <w:rPr>
      <w:rFonts w:ascii="仿宋_GB2312" w:hAnsi="仿宋_GB2312" w:eastAsia="仿宋_GB2312" w:cs="仿宋_GB2312"/>
      <w:color w:val="000000"/>
      <w:kern w:val="0"/>
      <w:sz w:val="24"/>
      <w:lang w:eastAsia="en-US"/>
    </w:rPr>
  </w:style>
  <w:style w:type="paragraph" w:styleId="28">
    <w:name w:val="Body Text 2"/>
    <w:basedOn w:val="1"/>
    <w:link w:val="56"/>
    <w:qFormat/>
    <w:uiPriority w:val="0"/>
    <w:rPr>
      <w:rFonts w:ascii="FangSong_GB2312" w:eastAsia="FangSong_GB2312"/>
      <w:kern w:val="0"/>
      <w:sz w:val="28"/>
      <w:szCs w:val="20"/>
    </w:rPr>
  </w:style>
  <w:style w:type="paragraph" w:styleId="29">
    <w:name w:val="Normal (Web)"/>
    <w:basedOn w:val="1"/>
    <w:qFormat/>
    <w:uiPriority w:val="0"/>
    <w:pPr>
      <w:spacing w:before="100" w:beforeAutospacing="1" w:after="100" w:afterAutospacing="1"/>
      <w:jc w:val="left"/>
    </w:pPr>
    <w:rPr>
      <w:kern w:val="0"/>
      <w:sz w:val="24"/>
    </w:rPr>
  </w:style>
  <w:style w:type="paragraph" w:styleId="30">
    <w:name w:val="Title"/>
    <w:basedOn w:val="1"/>
    <w:link w:val="57"/>
    <w:qFormat/>
    <w:uiPriority w:val="0"/>
    <w:pPr>
      <w:spacing w:before="240" w:after="60"/>
      <w:jc w:val="center"/>
      <w:outlineLvl w:val="0"/>
    </w:pPr>
    <w:rPr>
      <w:rFonts w:ascii="Cambria" w:hAnsi="Cambria"/>
      <w:b/>
      <w:bCs/>
      <w:kern w:val="0"/>
      <w:sz w:val="32"/>
      <w:szCs w:val="32"/>
    </w:rPr>
  </w:style>
  <w:style w:type="paragraph" w:styleId="31">
    <w:name w:val="Body Text First Indent"/>
    <w:basedOn w:val="2"/>
    <w:link w:val="58"/>
    <w:qFormat/>
    <w:uiPriority w:val="0"/>
    <w:pPr>
      <w:ind w:firstLine="420" w:firstLineChars="100"/>
    </w:pPr>
    <w:rPr>
      <w:kern w:val="0"/>
      <w:sz w:val="20"/>
    </w:rPr>
  </w:style>
  <w:style w:type="character" w:styleId="34">
    <w:name w:val="Strong"/>
    <w:qFormat/>
    <w:uiPriority w:val="0"/>
    <w:rPr>
      <w:rFonts w:ascii="Times New Roman" w:hAnsi="Times New Roman" w:eastAsia="宋体" w:cs="Times New Roman"/>
      <w:b/>
    </w:rPr>
  </w:style>
  <w:style w:type="character" w:styleId="35">
    <w:name w:val="page number"/>
    <w:qFormat/>
    <w:uiPriority w:val="0"/>
    <w:rPr>
      <w:rFonts w:ascii="Times New Roman" w:hAnsi="Times New Roman" w:eastAsia="宋体" w:cs="Times New Roman"/>
    </w:rPr>
  </w:style>
  <w:style w:type="character" w:styleId="36">
    <w:name w:val="FollowedHyperlink"/>
    <w:qFormat/>
    <w:uiPriority w:val="0"/>
    <w:rPr>
      <w:rFonts w:hint="eastAsia" w:ascii="微软雅黑" w:hAnsi="微软雅黑" w:eastAsia="微软雅黑" w:cs="微软雅黑"/>
      <w:color w:val="02396F"/>
      <w:u w:val="single"/>
    </w:rPr>
  </w:style>
  <w:style w:type="character" w:styleId="37">
    <w:name w:val="Hyperlink"/>
    <w:qFormat/>
    <w:uiPriority w:val="0"/>
    <w:rPr>
      <w:rFonts w:ascii="Times New Roman" w:hAnsi="Times New Roman" w:eastAsia="宋体" w:cs="Times New Roman"/>
      <w:color w:val="0000FF"/>
      <w:u w:val="single"/>
    </w:rPr>
  </w:style>
  <w:style w:type="character" w:customStyle="1" w:styleId="38">
    <w:name w:val="Body Text Char"/>
    <w:link w:val="2"/>
    <w:qFormat/>
    <w:uiPriority w:val="0"/>
    <w:rPr>
      <w:rFonts w:ascii="Times New Roman" w:hAnsi="Times New Roman" w:eastAsia="宋体" w:cs="Times New Roman"/>
      <w:kern w:val="2"/>
      <w:sz w:val="21"/>
      <w:szCs w:val="24"/>
      <w:lang w:val="en-US" w:eastAsia="zh-CN" w:bidi="ar-SA"/>
    </w:rPr>
  </w:style>
  <w:style w:type="character" w:customStyle="1" w:styleId="39">
    <w:name w:val="Heading 1 Char"/>
    <w:link w:val="3"/>
    <w:qFormat/>
    <w:uiPriority w:val="0"/>
    <w:rPr>
      <w:rFonts w:ascii="Times New Roman" w:hAnsi="Times New Roman" w:eastAsia="宋体" w:cs="Times New Roman"/>
      <w:b/>
      <w:bCs/>
      <w:kern w:val="44"/>
      <w:sz w:val="44"/>
      <w:szCs w:val="44"/>
      <w:lang w:val="en-US" w:eastAsia="zh-CN" w:bidi="ar-SA"/>
    </w:rPr>
  </w:style>
  <w:style w:type="character" w:customStyle="1" w:styleId="40">
    <w:name w:val="Heading 3 Char"/>
    <w:link w:val="5"/>
    <w:qFormat/>
    <w:uiPriority w:val="0"/>
    <w:rPr>
      <w:rFonts w:ascii="Times New Roman" w:hAnsi="Times New Roman" w:eastAsia="宋体" w:cs="Times New Roman"/>
      <w:b/>
      <w:bCs/>
      <w:kern w:val="2"/>
      <w:sz w:val="32"/>
      <w:szCs w:val="32"/>
      <w:lang w:val="en-US" w:eastAsia="zh-CN" w:bidi="ar-SA"/>
    </w:rPr>
  </w:style>
  <w:style w:type="character" w:customStyle="1" w:styleId="41">
    <w:name w:val="Heading 4 Char"/>
    <w:link w:val="6"/>
    <w:qFormat/>
    <w:uiPriority w:val="0"/>
    <w:rPr>
      <w:rFonts w:ascii="宋体" w:hAnsi="宋体" w:eastAsia="宋体" w:cs="Times New Roman"/>
      <w:color w:val="0000FF"/>
      <w:sz w:val="28"/>
      <w:lang w:val="en-US" w:eastAsia="zh-CN" w:bidi="ar-SA"/>
    </w:rPr>
  </w:style>
  <w:style w:type="character" w:customStyle="1" w:styleId="42">
    <w:name w:val="Heading 5 Char"/>
    <w:link w:val="7"/>
    <w:qFormat/>
    <w:uiPriority w:val="0"/>
    <w:rPr>
      <w:rFonts w:ascii="Verdana" w:hAnsi="Verdana" w:eastAsia="宋体" w:cs="Times New Roman"/>
      <w:b/>
      <w:bCs/>
      <w:kern w:val="2"/>
      <w:sz w:val="28"/>
      <w:szCs w:val="28"/>
      <w:lang w:val="en-US" w:eastAsia="zh-CN" w:bidi="ar-SA"/>
    </w:rPr>
  </w:style>
  <w:style w:type="character" w:customStyle="1" w:styleId="43">
    <w:name w:val="Heading 6 Char"/>
    <w:link w:val="8"/>
    <w:qFormat/>
    <w:uiPriority w:val="0"/>
    <w:rPr>
      <w:rFonts w:ascii="Arial" w:hAnsi="Arial" w:eastAsia="黑体" w:cs="Times New Roman"/>
      <w:b/>
      <w:bCs/>
      <w:kern w:val="2"/>
      <w:sz w:val="24"/>
      <w:szCs w:val="24"/>
      <w:lang w:val="en-US" w:eastAsia="zh-CN" w:bidi="ar-SA"/>
    </w:rPr>
  </w:style>
  <w:style w:type="character" w:customStyle="1" w:styleId="44">
    <w:name w:val="Heading 7 Char"/>
    <w:link w:val="9"/>
    <w:qFormat/>
    <w:uiPriority w:val="0"/>
    <w:rPr>
      <w:rFonts w:ascii="Times New Roman" w:hAnsi="Times New Roman" w:eastAsia="宋体" w:cs="Times New Roman"/>
      <w:b/>
      <w:bCs/>
      <w:kern w:val="2"/>
      <w:sz w:val="24"/>
      <w:szCs w:val="24"/>
      <w:lang w:val="en-US" w:eastAsia="zh-CN" w:bidi="ar-SA"/>
    </w:rPr>
  </w:style>
  <w:style w:type="character" w:customStyle="1" w:styleId="45">
    <w:name w:val="Heading 8 Char"/>
    <w:link w:val="10"/>
    <w:qFormat/>
    <w:uiPriority w:val="0"/>
    <w:rPr>
      <w:rFonts w:ascii="Arial" w:hAnsi="Arial" w:eastAsia="黑体" w:cs="Times New Roman"/>
      <w:kern w:val="2"/>
      <w:sz w:val="24"/>
      <w:szCs w:val="24"/>
      <w:lang w:val="en-US" w:eastAsia="zh-CN" w:bidi="ar-SA"/>
    </w:rPr>
  </w:style>
  <w:style w:type="character" w:customStyle="1" w:styleId="46">
    <w:name w:val="Heading 9 Char"/>
    <w:link w:val="11"/>
    <w:qFormat/>
    <w:uiPriority w:val="0"/>
    <w:rPr>
      <w:rFonts w:ascii="Arial" w:hAnsi="Arial" w:eastAsia="黑体" w:cs="Times New Roman"/>
      <w:kern w:val="2"/>
      <w:sz w:val="21"/>
      <w:szCs w:val="21"/>
      <w:lang w:val="en-US" w:eastAsia="zh-CN" w:bidi="ar-SA"/>
    </w:rPr>
  </w:style>
  <w:style w:type="character" w:customStyle="1" w:styleId="47">
    <w:name w:val="Document Map Char"/>
    <w:link w:val="13"/>
    <w:qFormat/>
    <w:uiPriority w:val="0"/>
    <w:rPr>
      <w:rFonts w:ascii="Times New Roman" w:hAnsi="Times New Roman" w:eastAsia="宋体" w:cs="Times New Roman"/>
      <w:szCs w:val="24"/>
      <w:shd w:val="clear" w:color="auto" w:fill="000080"/>
      <w:lang w:bidi="ar-SA"/>
    </w:rPr>
  </w:style>
  <w:style w:type="character" w:customStyle="1" w:styleId="48">
    <w:name w:val="Body Text Indent Char"/>
    <w:link w:val="16"/>
    <w:qFormat/>
    <w:uiPriority w:val="0"/>
    <w:rPr>
      <w:rFonts w:ascii="Times New Roman" w:hAnsi="Times New Roman" w:eastAsia="宋体" w:cs="Times New Roman"/>
      <w:lang w:bidi="ar-SA"/>
    </w:rPr>
  </w:style>
  <w:style w:type="character" w:customStyle="1" w:styleId="49">
    <w:name w:val="Plain Text Char"/>
    <w:link w:val="19"/>
    <w:qFormat/>
    <w:uiPriority w:val="0"/>
    <w:rPr>
      <w:rFonts w:ascii="宋体" w:hAnsi="Courier New" w:eastAsia="宋体" w:cs="Times New Roman"/>
      <w:szCs w:val="21"/>
      <w:lang w:bidi="ar-SA"/>
    </w:rPr>
  </w:style>
  <w:style w:type="character" w:customStyle="1" w:styleId="50">
    <w:name w:val="Date Char"/>
    <w:link w:val="20"/>
    <w:qFormat/>
    <w:uiPriority w:val="0"/>
    <w:rPr>
      <w:rFonts w:ascii="Times New Roman" w:hAnsi="Times New Roman" w:eastAsia="宋体" w:cs="Times New Roman"/>
      <w:szCs w:val="24"/>
      <w:lang w:bidi="ar-SA"/>
    </w:rPr>
  </w:style>
  <w:style w:type="character" w:customStyle="1" w:styleId="51">
    <w:name w:val="Body Text Indent 2 Char"/>
    <w:link w:val="21"/>
    <w:qFormat/>
    <w:uiPriority w:val="0"/>
    <w:rPr>
      <w:rFonts w:ascii="宋体" w:hAnsi="Times New Roman" w:eastAsia="宋体" w:cs="Times New Roman"/>
      <w:sz w:val="28"/>
      <w:lang w:bidi="ar-SA"/>
    </w:rPr>
  </w:style>
  <w:style w:type="character" w:customStyle="1" w:styleId="52">
    <w:name w:val="Balloon Text Char"/>
    <w:link w:val="22"/>
    <w:qFormat/>
    <w:uiPriority w:val="0"/>
    <w:rPr>
      <w:rFonts w:ascii="Times New Roman" w:hAnsi="Times New Roman" w:eastAsia="宋体" w:cs="Times New Roman"/>
      <w:sz w:val="18"/>
      <w:szCs w:val="18"/>
      <w:lang w:bidi="ar-SA"/>
    </w:rPr>
  </w:style>
  <w:style w:type="character" w:customStyle="1" w:styleId="53">
    <w:name w:val="Footer Char"/>
    <w:link w:val="23"/>
    <w:qFormat/>
    <w:uiPriority w:val="0"/>
    <w:rPr>
      <w:rFonts w:ascii="Times New Roman" w:hAnsi="Times New Roman" w:eastAsia="宋体" w:cs="Times New Roman"/>
      <w:sz w:val="18"/>
      <w:szCs w:val="24"/>
      <w:lang w:bidi="ar-SA"/>
    </w:rPr>
  </w:style>
  <w:style w:type="character" w:customStyle="1" w:styleId="54">
    <w:name w:val="Header Char"/>
    <w:link w:val="24"/>
    <w:qFormat/>
    <w:uiPriority w:val="0"/>
    <w:rPr>
      <w:rFonts w:ascii="Times New Roman" w:hAnsi="Times New Roman" w:eastAsia="宋体" w:cs="Times New Roman"/>
      <w:sz w:val="18"/>
      <w:szCs w:val="18"/>
      <w:lang w:bidi="ar-SA"/>
    </w:rPr>
  </w:style>
  <w:style w:type="character" w:customStyle="1" w:styleId="55">
    <w:name w:val="Body Text Indent 3 Char"/>
    <w:link w:val="26"/>
    <w:qFormat/>
    <w:uiPriority w:val="0"/>
    <w:rPr>
      <w:rFonts w:ascii="Times New Roman" w:hAnsi="Times New Roman" w:eastAsia="宋体" w:cs="Times New Roman"/>
      <w:sz w:val="24"/>
      <w:lang w:bidi="ar-SA"/>
    </w:rPr>
  </w:style>
  <w:style w:type="character" w:customStyle="1" w:styleId="56">
    <w:name w:val="Body Text 2 Char"/>
    <w:link w:val="28"/>
    <w:qFormat/>
    <w:uiPriority w:val="0"/>
    <w:rPr>
      <w:rFonts w:ascii="FangSong_GB2312" w:hAnsi="Times New Roman" w:eastAsia="FangSong_GB2312" w:cs="Times New Roman"/>
      <w:sz w:val="28"/>
      <w:lang w:bidi="ar-SA"/>
    </w:rPr>
  </w:style>
  <w:style w:type="character" w:customStyle="1" w:styleId="57">
    <w:name w:val="Title Char"/>
    <w:link w:val="30"/>
    <w:qFormat/>
    <w:uiPriority w:val="0"/>
    <w:rPr>
      <w:rFonts w:ascii="Cambria" w:hAnsi="Cambria" w:eastAsia="宋体" w:cs="Times New Roman"/>
      <w:b/>
      <w:bCs/>
      <w:sz w:val="32"/>
      <w:szCs w:val="32"/>
      <w:lang w:bidi="ar-SA"/>
    </w:rPr>
  </w:style>
  <w:style w:type="character" w:customStyle="1" w:styleId="58">
    <w:name w:val="Body Text First Indent Char"/>
    <w:link w:val="31"/>
    <w:qFormat/>
    <w:uiPriority w:val="0"/>
    <w:rPr>
      <w:rFonts w:ascii="Times New Roman" w:hAnsi="Times New Roman" w:eastAsia="宋体" w:cs="Times New Roman"/>
      <w:szCs w:val="24"/>
      <w:lang w:bidi="ar-SA"/>
    </w:rPr>
  </w:style>
  <w:style w:type="character" w:customStyle="1" w:styleId="59">
    <w:name w:val="gjfg"/>
    <w:basedOn w:val="33"/>
    <w:qFormat/>
    <w:uiPriority w:val="0"/>
  </w:style>
  <w:style w:type="character" w:customStyle="1" w:styleId="60">
    <w:name w:val="cfdate"/>
    <w:qFormat/>
    <w:uiPriority w:val="0"/>
    <w:rPr>
      <w:rFonts w:ascii="Times New Roman" w:hAnsi="Times New Roman" w:eastAsia="宋体" w:cs="Times New Roman"/>
      <w:color w:val="333333"/>
      <w:sz w:val="12"/>
      <w:szCs w:val="12"/>
    </w:rPr>
  </w:style>
  <w:style w:type="character" w:customStyle="1" w:styleId="61">
    <w:name w:val="正文文本 Char1"/>
    <w:qFormat/>
    <w:uiPriority w:val="0"/>
    <w:rPr>
      <w:rFonts w:ascii="Times New Roman" w:hAnsi="Times New Roman" w:eastAsia="宋体" w:cs="Times New Roman"/>
      <w:szCs w:val="24"/>
    </w:rPr>
  </w:style>
  <w:style w:type="character" w:customStyle="1" w:styleId="62">
    <w:name w:val="redfilenumber"/>
    <w:qFormat/>
    <w:uiPriority w:val="0"/>
    <w:rPr>
      <w:rFonts w:ascii="Times New Roman" w:hAnsi="Times New Roman" w:eastAsia="宋体" w:cs="Times New Roman"/>
      <w:color w:val="BA2636"/>
      <w:sz w:val="12"/>
      <w:szCs w:val="12"/>
    </w:rPr>
  </w:style>
  <w:style w:type="character" w:customStyle="1" w:styleId="63">
    <w:name w:val="ll2 Char Char"/>
    <w:link w:val="64"/>
    <w:qFormat/>
    <w:uiPriority w:val="0"/>
    <w:rPr>
      <w:rFonts w:ascii="宋体" w:hAnsi="宋体" w:eastAsia="Times New Roman" w:cs="Times New Roman"/>
      <w:bCs/>
      <w:color w:val="000000"/>
      <w:sz w:val="24"/>
      <w:szCs w:val="32"/>
      <w:lang w:val="en-US" w:eastAsia="zh-CN" w:bidi="ar-SA"/>
    </w:rPr>
  </w:style>
  <w:style w:type="paragraph" w:customStyle="1" w:styleId="64">
    <w:name w:val="ll2"/>
    <w:link w:val="63"/>
    <w:qFormat/>
    <w:uiPriority w:val="0"/>
    <w:pPr>
      <w:numPr>
        <w:ilvl w:val="0"/>
        <w:numId w:val="3"/>
      </w:numPr>
      <w:tabs>
        <w:tab w:val="left" w:pos="0"/>
      </w:tabs>
      <w:snapToGrid w:val="0"/>
      <w:spacing w:after="160" w:line="240" w:lineRule="atLeast"/>
      <w:ind w:left="0" w:firstLine="0"/>
    </w:pPr>
    <w:rPr>
      <w:rFonts w:ascii="宋体" w:hAnsi="宋体" w:eastAsia="Times New Roman" w:cs="Times New Roman"/>
      <w:bCs/>
      <w:color w:val="000000"/>
      <w:sz w:val="24"/>
      <w:szCs w:val="32"/>
      <w:lang w:val="en-US" w:eastAsia="zh-CN" w:bidi="ar-SA"/>
    </w:rPr>
  </w:style>
  <w:style w:type="character" w:customStyle="1" w:styleId="65">
    <w:name w:val="Style .. + 宋体 五号 Black Char"/>
    <w:link w:val="66"/>
    <w:qFormat/>
    <w:uiPriority w:val="0"/>
    <w:rPr>
      <w:rFonts w:ascii="宋体" w:hAnsi="宋体" w:eastAsia="宋体" w:cs="Times New Roman"/>
      <w:color w:val="000000"/>
      <w:sz w:val="24"/>
      <w:lang w:bidi="ar-SA"/>
    </w:rPr>
  </w:style>
  <w:style w:type="paragraph" w:customStyle="1" w:styleId="66">
    <w:name w:val="Style .. + 宋体 五号 Black"/>
    <w:basedOn w:val="1"/>
    <w:link w:val="65"/>
    <w:qFormat/>
    <w:uiPriority w:val="0"/>
    <w:pPr>
      <w:autoSpaceDE w:val="0"/>
      <w:autoSpaceDN w:val="0"/>
      <w:adjustRightInd w:val="0"/>
      <w:spacing w:line="360" w:lineRule="auto"/>
      <w:jc w:val="left"/>
    </w:pPr>
    <w:rPr>
      <w:rFonts w:ascii="宋体" w:hAnsi="宋体"/>
      <w:color w:val="000000"/>
      <w:kern w:val="0"/>
      <w:sz w:val="24"/>
      <w:szCs w:val="20"/>
    </w:rPr>
  </w:style>
  <w:style w:type="character" w:customStyle="1" w:styleId="67">
    <w:name w:val="15"/>
    <w:basedOn w:val="33"/>
    <w:qFormat/>
    <w:uiPriority w:val="0"/>
    <w:rPr>
      <w:rFonts w:hint="default" w:ascii="Times New Roman" w:hAnsi="Times New Roman" w:eastAsia="宋体" w:cs="Times New Roman"/>
    </w:rPr>
  </w:style>
  <w:style w:type="character" w:customStyle="1" w:styleId="68">
    <w:name w:val="正文文字 Char"/>
    <w:link w:val="69"/>
    <w:qFormat/>
    <w:uiPriority w:val="0"/>
    <w:rPr>
      <w:rFonts w:ascii="Times New Roman" w:hAnsi="Times New Roman" w:eastAsia="宋体" w:cs="Times New Roman"/>
      <w:sz w:val="24"/>
      <w:szCs w:val="24"/>
      <w:lang w:bidi="ar-SA"/>
    </w:rPr>
  </w:style>
  <w:style w:type="paragraph" w:customStyle="1" w:styleId="69">
    <w:name w:val="正文文字"/>
    <w:basedOn w:val="1"/>
    <w:link w:val="68"/>
    <w:qFormat/>
    <w:uiPriority w:val="0"/>
    <w:pPr>
      <w:spacing w:before="60" w:after="60" w:line="360" w:lineRule="auto"/>
      <w:ind w:firstLine="200" w:firstLineChars="200"/>
      <w:jc w:val="left"/>
    </w:pPr>
    <w:rPr>
      <w:kern w:val="0"/>
      <w:sz w:val="24"/>
    </w:rPr>
  </w:style>
  <w:style w:type="character" w:customStyle="1" w:styleId="70">
    <w:name w:val="文档正文 Char"/>
    <w:link w:val="71"/>
    <w:qFormat/>
    <w:uiPriority w:val="0"/>
    <w:rPr>
      <w:rFonts w:ascii="长城仿宋" w:hAnsi="Times New Roman" w:eastAsia="宋体" w:cs="Times New Roman"/>
      <w:sz w:val="24"/>
      <w:lang w:bidi="ar-SA"/>
    </w:rPr>
  </w:style>
  <w:style w:type="paragraph" w:customStyle="1" w:styleId="71">
    <w:name w:val="文档正文"/>
    <w:basedOn w:val="1"/>
    <w:link w:val="70"/>
    <w:qFormat/>
    <w:uiPriority w:val="0"/>
    <w:pPr>
      <w:adjustRightInd w:val="0"/>
      <w:spacing w:line="480" w:lineRule="atLeast"/>
      <w:ind w:firstLine="567"/>
    </w:pPr>
    <w:rPr>
      <w:rFonts w:ascii="长城仿宋"/>
      <w:kern w:val="0"/>
      <w:sz w:val="24"/>
      <w:szCs w:val="20"/>
    </w:rPr>
  </w:style>
  <w:style w:type="character" w:customStyle="1" w:styleId="72">
    <w:name w:val="displayarti"/>
    <w:qFormat/>
    <w:uiPriority w:val="0"/>
    <w:rPr>
      <w:rFonts w:ascii="Times New Roman" w:hAnsi="Times New Roman" w:eastAsia="宋体" w:cs="Times New Roman"/>
      <w:color w:val="FFFFFF"/>
      <w:shd w:val="clear" w:color="auto" w:fill="A00000"/>
    </w:rPr>
  </w:style>
  <w:style w:type="character" w:customStyle="1" w:styleId="73">
    <w:name w:val="redfilefwwh"/>
    <w:qFormat/>
    <w:uiPriority w:val="0"/>
    <w:rPr>
      <w:rFonts w:ascii="Times New Roman" w:hAnsi="Times New Roman" w:eastAsia="宋体" w:cs="Times New Roman"/>
      <w:color w:val="BA2636"/>
      <w:sz w:val="12"/>
      <w:szCs w:val="12"/>
    </w:rPr>
  </w:style>
  <w:style w:type="character" w:customStyle="1" w:styleId="74">
    <w:name w:val="qxdate"/>
    <w:qFormat/>
    <w:uiPriority w:val="0"/>
    <w:rPr>
      <w:rFonts w:ascii="Times New Roman" w:hAnsi="Times New Roman" w:eastAsia="宋体" w:cs="Times New Roman"/>
      <w:color w:val="333333"/>
      <w:sz w:val="12"/>
      <w:szCs w:val="12"/>
    </w:rPr>
  </w:style>
  <w:style w:type="paragraph" w:customStyle="1" w:styleId="75">
    <w:name w:val="_Style 3"/>
    <w:basedOn w:val="3"/>
    <w:next w:val="1"/>
    <w:qFormat/>
    <w:uiPriority w:val="0"/>
    <w:pPr>
      <w:widowControl/>
      <w:tabs>
        <w:tab w:val="left" w:pos="0"/>
      </w:tabs>
      <w:spacing w:before="240" w:line="259" w:lineRule="auto"/>
      <w:jc w:val="left"/>
      <w:outlineLvl w:val="9"/>
    </w:pPr>
    <w:rPr>
      <w:rFonts w:ascii="Calibri Light" w:hAnsi="Calibri Light"/>
      <w:b w:val="0"/>
      <w:color w:val="2E74B5"/>
      <w:sz w:val="32"/>
      <w:szCs w:val="32"/>
    </w:rPr>
  </w:style>
  <w:style w:type="paragraph" w:customStyle="1" w:styleId="76">
    <w:name w:val="正文（绿盟科技）"/>
    <w:qFormat/>
    <w:uiPriority w:val="0"/>
    <w:pPr>
      <w:spacing w:after="160" w:line="300" w:lineRule="auto"/>
    </w:pPr>
    <w:rPr>
      <w:rFonts w:ascii="Arial" w:hAnsi="Arial" w:eastAsia="宋体" w:cs="黑体"/>
      <w:sz w:val="21"/>
      <w:szCs w:val="21"/>
      <w:lang w:val="en-US" w:eastAsia="zh-CN" w:bidi="ar-SA"/>
    </w:rPr>
  </w:style>
  <w:style w:type="paragraph" w:customStyle="1" w:styleId="77">
    <w:name w:val="标题 5（有编号）（绿盟科技）"/>
    <w:basedOn w:val="1"/>
    <w:next w:val="76"/>
    <w:qFormat/>
    <w:uiPriority w:val="0"/>
    <w:pPr>
      <w:keepNext/>
      <w:keepLines/>
      <w:numPr>
        <w:ilvl w:val="4"/>
        <w:numId w:val="4"/>
      </w:numPr>
      <w:spacing w:before="280" w:after="156" w:line="377" w:lineRule="auto"/>
      <w:jc w:val="left"/>
      <w:outlineLvl w:val="4"/>
    </w:pPr>
    <w:rPr>
      <w:rFonts w:ascii="Arial" w:hAnsi="Arial" w:eastAsia="黑体" w:cs="黑体"/>
      <w:b/>
      <w:kern w:val="0"/>
      <w:sz w:val="24"/>
      <w:szCs w:val="28"/>
    </w:rPr>
  </w:style>
  <w:style w:type="paragraph" w:customStyle="1" w:styleId="78">
    <w:name w:val="Char"/>
    <w:basedOn w:val="1"/>
    <w:qFormat/>
    <w:uiPriority w:val="0"/>
    <w:rPr>
      <w:rFonts w:ascii="Tahoma" w:hAnsi="Tahoma"/>
      <w:sz w:val="24"/>
      <w:szCs w:val="20"/>
    </w:rPr>
  </w:style>
  <w:style w:type="paragraph" w:styleId="79">
    <w:name w:val="List Paragraph"/>
    <w:basedOn w:val="1"/>
    <w:qFormat/>
    <w:uiPriority w:val="34"/>
    <w:pPr>
      <w:ind w:firstLine="420"/>
    </w:pPr>
    <w:rPr>
      <w:kern w:val="0"/>
      <w:szCs w:val="21"/>
    </w:rPr>
  </w:style>
  <w:style w:type="paragraph" w:customStyle="1" w:styleId="80">
    <w:name w:val="正常"/>
    <w:basedOn w:val="81"/>
    <w:qFormat/>
    <w:uiPriority w:val="0"/>
    <w:rPr>
      <w:sz w:val="24"/>
    </w:rPr>
  </w:style>
  <w:style w:type="paragraph" w:customStyle="1" w:styleId="81">
    <w:name w:val="小正常"/>
    <w:basedOn w:val="1"/>
    <w:qFormat/>
    <w:uiPriority w:val="0"/>
    <w:rPr>
      <w:sz w:val="20"/>
      <w:szCs w:val="20"/>
    </w:rPr>
  </w:style>
  <w:style w:type="paragraph" w:customStyle="1" w:styleId="82">
    <w:name w:val="样式 样式 样式 标题 2 + 宋体 五号 非加粗 黑色 + 段前: 6 磅 段后: 0 磅 行距: 单倍行距 + 段前: 12..."/>
    <w:basedOn w:val="1"/>
    <w:qFormat/>
    <w:uiPriority w:val="0"/>
    <w:pPr>
      <w:keepNext/>
      <w:keepLines/>
      <w:tabs>
        <w:tab w:val="left" w:pos="1875"/>
      </w:tabs>
      <w:adjustRightInd w:val="0"/>
      <w:spacing w:before="240"/>
      <w:ind w:left="1875" w:hanging="435"/>
      <w:jc w:val="left"/>
      <w:outlineLvl w:val="1"/>
    </w:pPr>
    <w:rPr>
      <w:rFonts w:ascii="宋体" w:hAnsi="宋体"/>
      <w:color w:val="000000"/>
      <w:kern w:val="0"/>
      <w:szCs w:val="20"/>
    </w:rPr>
  </w:style>
  <w:style w:type="paragraph" w:customStyle="1" w:styleId="83">
    <w:name w:val="列出段落1"/>
    <w:basedOn w:val="1"/>
    <w:qFormat/>
    <w:uiPriority w:val="0"/>
    <w:pPr>
      <w:spacing w:line="360" w:lineRule="auto"/>
      <w:ind w:firstLine="420" w:firstLineChars="200"/>
      <w:jc w:val="left"/>
    </w:pPr>
    <w:rPr>
      <w:rFonts w:ascii="Calibri" w:hAnsi="Calibri"/>
      <w:kern w:val="0"/>
      <w:szCs w:val="22"/>
      <w:lang w:bidi="en-US"/>
    </w:rPr>
  </w:style>
  <w:style w:type="paragraph" w:customStyle="1" w:styleId="84">
    <w:name w:val="样式1"/>
    <w:basedOn w:val="1"/>
    <w:qFormat/>
    <w:uiPriority w:val="0"/>
    <w:pPr>
      <w:numPr>
        <w:ilvl w:val="0"/>
        <w:numId w:val="5"/>
      </w:numPr>
      <w:adjustRightInd w:val="0"/>
    </w:pPr>
    <w:rPr>
      <w:rFonts w:ascii="宋体" w:hAnsi="宋体"/>
      <w:kern w:val="0"/>
      <w:szCs w:val="20"/>
    </w:rPr>
  </w:style>
  <w:style w:type="paragraph" w:customStyle="1" w:styleId="85">
    <w:name w:val="Char Char Char"/>
    <w:basedOn w:val="1"/>
    <w:qFormat/>
    <w:uiPriority w:val="0"/>
    <w:rPr>
      <w:rFonts w:ascii="Tahoma" w:hAnsi="Tahoma"/>
      <w:sz w:val="24"/>
      <w:szCs w:val="20"/>
    </w:rPr>
  </w:style>
  <w:style w:type="paragraph" w:customStyle="1" w:styleId="86">
    <w:name w:val="Normal Indent1"/>
    <w:qFormat/>
    <w:uiPriority w:val="0"/>
    <w:pPr>
      <w:spacing w:after="160" w:afterLines="50" w:line="360" w:lineRule="auto"/>
      <w:ind w:firstLine="420" w:firstLineChars="200"/>
    </w:pPr>
    <w:rPr>
      <w:rFonts w:ascii="Times New Roman" w:hAnsi="Times New Roman" w:eastAsia="宋体" w:cs="Times New Roman"/>
      <w:lang w:val="en-US" w:eastAsia="zh-CN" w:bidi="ar-SA"/>
    </w:rPr>
  </w:style>
  <w:style w:type="table" w:customStyle="1" w:styleId="87">
    <w:name w:val="Table Normal_0"/>
    <w:unhideWhenUsed/>
    <w:qFormat/>
    <w:uiPriority w:val="0"/>
    <w:pPr>
      <w:spacing w:after="160" w:line="259" w:lineRule="auto"/>
    </w:pPr>
    <w:tblPr>
      <w:tblCellMar>
        <w:top w:w="0" w:type="dxa"/>
        <w:left w:w="0" w:type="dxa"/>
        <w:bottom w:w="0" w:type="dxa"/>
        <w:right w:w="0" w:type="dxa"/>
      </w:tblCellMar>
    </w:tblPr>
  </w:style>
  <w:style w:type="character" w:customStyle="1" w:styleId="88">
    <w:name w:val="Hyperlink_0"/>
    <w:basedOn w:val="33"/>
    <w:qFormat/>
    <w:uiPriority w:val="0"/>
    <w:rPr>
      <w:color w:val="0000FF"/>
      <w:u w:val="single"/>
    </w:rPr>
  </w:style>
  <w:style w:type="paragraph" w:customStyle="1" w:styleId="89">
    <w:name w:val="TOC 1_0"/>
    <w:basedOn w:val="1"/>
    <w:next w:val="18"/>
    <w:qFormat/>
    <w:uiPriority w:val="0"/>
    <w:pPr>
      <w:widowControl/>
      <w:spacing w:after="0" w:line="240" w:lineRule="auto"/>
      <w:jc w:val="left"/>
    </w:pPr>
    <w:rPr>
      <w:rFonts w:eastAsia="Times New Roman"/>
      <w:kern w:val="0"/>
      <w:sz w:val="24"/>
      <w:lang w:eastAsia="en-US"/>
    </w:rPr>
  </w:style>
  <w:style w:type="paragraph" w:customStyle="1" w:styleId="90">
    <w:name w:val="Heading 1_0"/>
    <w:basedOn w:val="1"/>
    <w:next w:val="18"/>
    <w:qFormat/>
    <w:uiPriority w:val="0"/>
    <w:pPr>
      <w:keepNext/>
      <w:widowControl/>
      <w:spacing w:before="240" w:after="60" w:line="240" w:lineRule="auto"/>
      <w:jc w:val="left"/>
      <w:outlineLvl w:val="0"/>
    </w:pPr>
    <w:rPr>
      <w:rFonts w:ascii="Arial" w:hAnsi="Arial" w:eastAsia="Times New Roman" w:cs="Arial"/>
      <w:b/>
      <w:bCs/>
      <w:kern w:val="32"/>
      <w:sz w:val="32"/>
      <w:szCs w:val="32"/>
      <w:lang w:eastAsia="en-US"/>
    </w:rPr>
  </w:style>
  <w:style w:type="paragraph" w:customStyle="1" w:styleId="91">
    <w:name w:val="Heading 2_0"/>
    <w:basedOn w:val="1"/>
    <w:next w:val="18"/>
    <w:qFormat/>
    <w:uiPriority w:val="0"/>
    <w:pPr>
      <w:keepNext/>
      <w:widowControl/>
      <w:spacing w:before="240" w:after="60" w:line="240" w:lineRule="auto"/>
      <w:jc w:val="left"/>
      <w:outlineLvl w:val="1"/>
    </w:pPr>
    <w:rPr>
      <w:rFonts w:ascii="Arial" w:hAnsi="Arial" w:eastAsia="Times New Roman" w:cs="Arial"/>
      <w:b/>
      <w:bCs/>
      <w:i/>
      <w:iCs/>
      <w:kern w:val="0"/>
      <w:sz w:val="28"/>
      <w:szCs w:val="28"/>
      <w:lang w:eastAsia="en-US"/>
    </w:rPr>
  </w:style>
  <w:style w:type="paragraph" w:customStyle="1" w:styleId="92">
    <w:name w:val="Heading 3_0"/>
    <w:basedOn w:val="1"/>
    <w:next w:val="18"/>
    <w:qFormat/>
    <w:uiPriority w:val="0"/>
    <w:pPr>
      <w:keepNext/>
      <w:widowControl/>
      <w:spacing w:before="240" w:after="60" w:line="240" w:lineRule="auto"/>
      <w:jc w:val="left"/>
      <w:outlineLvl w:val="2"/>
    </w:pPr>
    <w:rPr>
      <w:rFonts w:ascii="Arial" w:hAnsi="Arial" w:eastAsia="Times New Roman" w:cs="Arial"/>
      <w:b/>
      <w:bCs/>
      <w:kern w:val="0"/>
      <w:sz w:val="26"/>
      <w:szCs w:val="26"/>
      <w:lang w:eastAsia="en-US"/>
    </w:rPr>
  </w:style>
  <w:style w:type="paragraph" w:customStyle="1" w:styleId="93">
    <w:name w:val="15_0"/>
    <w:basedOn w:val="1"/>
    <w:qFormat/>
    <w:uiPriority w:val="0"/>
    <w:pPr>
      <w:widowControl/>
      <w:spacing w:after="0" w:line="240" w:lineRule="auto"/>
      <w:jc w:val="left"/>
    </w:pPr>
    <w:rPr>
      <w:rFonts w:eastAsia="Times New Roman"/>
      <w:kern w:val="0"/>
      <w:sz w:val="24"/>
      <w:lang w:eastAsia="en-US"/>
    </w:rPr>
  </w:style>
  <w:style w:type="paragraph" w:customStyle="1" w:styleId="94">
    <w:name w:val="Heading 4_0"/>
    <w:basedOn w:val="1"/>
    <w:next w:val="18"/>
    <w:qFormat/>
    <w:uiPriority w:val="0"/>
    <w:pPr>
      <w:keepNext/>
      <w:widowControl/>
      <w:spacing w:before="240" w:after="60" w:line="240" w:lineRule="auto"/>
      <w:jc w:val="left"/>
      <w:outlineLvl w:val="3"/>
    </w:pPr>
    <w:rPr>
      <w:rFonts w:eastAsia="Times New Roman"/>
      <w:b/>
      <w:bCs/>
      <w:kern w:val="0"/>
      <w:sz w:val="28"/>
      <w:szCs w:val="28"/>
      <w:lang w:eastAsia="en-US"/>
    </w:rPr>
  </w:style>
  <w:style w:type="paragraph" w:customStyle="1" w:styleId="95">
    <w:name w:val="MsoNormal"/>
    <w:basedOn w:val="1"/>
    <w:qFormat/>
    <w:uiPriority w:val="0"/>
    <w:pPr>
      <w:widowControl/>
      <w:spacing w:after="0" w:line="240" w:lineRule="auto"/>
      <w:jc w:val="left"/>
    </w:pPr>
    <w:rPr>
      <w:rFonts w:eastAsia="Times New Roman"/>
      <w:kern w:val="0"/>
      <w:sz w:val="24"/>
      <w:lang w:eastAsia="en-US"/>
    </w:rPr>
  </w:style>
  <w:style w:type="paragraph" w:customStyle="1" w:styleId="96">
    <w:name w:val="16"/>
    <w:basedOn w:val="1"/>
    <w:qFormat/>
    <w:uiPriority w:val="0"/>
    <w:pPr>
      <w:widowControl/>
      <w:spacing w:after="0" w:line="240" w:lineRule="auto"/>
      <w:jc w:val="left"/>
    </w:pPr>
    <w:rPr>
      <w:rFonts w:eastAsia="Times New Roman"/>
      <w:kern w:val="0"/>
      <w:sz w:val="24"/>
      <w:lang w:eastAsia="en-US"/>
    </w:rPr>
  </w:style>
  <w:style w:type="paragraph" w:customStyle="1" w:styleId="97">
    <w:name w:val="18"/>
    <w:basedOn w:val="1"/>
    <w:qFormat/>
    <w:uiPriority w:val="0"/>
    <w:pPr>
      <w:widowControl/>
      <w:spacing w:after="0" w:line="240" w:lineRule="auto"/>
      <w:jc w:val="left"/>
    </w:pPr>
    <w:rPr>
      <w:rFonts w:eastAsia="Times New Roman"/>
      <w:kern w:val="0"/>
      <w:sz w:val="24"/>
      <w:lang w:eastAsia="en-US"/>
    </w:rPr>
  </w:style>
  <w:style w:type="paragraph" w:customStyle="1" w:styleId="98">
    <w:name w:val="MsoCommentText"/>
    <w:basedOn w:val="1"/>
    <w:qFormat/>
    <w:uiPriority w:val="0"/>
    <w:pPr>
      <w:widowControl/>
      <w:spacing w:after="0" w:line="240" w:lineRule="auto"/>
      <w:jc w:val="left"/>
    </w:pPr>
    <w:rPr>
      <w:rFonts w:eastAsia="Times New Roman"/>
      <w:kern w:val="0"/>
      <w:sz w:val="24"/>
      <w:lang w:eastAsia="en-US"/>
    </w:rPr>
  </w:style>
  <w:style w:type="table" w:customStyle="1" w:styleId="99">
    <w:name w:val="MsoTableGrid"/>
    <w:basedOn w:val="32"/>
    <w:qFormat/>
    <w:uiPriority w:val="0"/>
    <w:rPr>
      <w:rFonts w:eastAsia="Times New Roman"/>
      <w:lang w:val="en-US" w:eastAsia="en-US"/>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China</Company>
  <Pages>22</Pages>
  <Words>9484</Words>
  <Characters>9992</Characters>
  <Lines>1</Lines>
  <Paragraphs>1</Paragraphs>
  <TotalTime>4</TotalTime>
  <ScaleCrop>false</ScaleCrop>
  <LinksUpToDate>false</LinksUpToDate>
  <CharactersWithSpaces>10038</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2020-05-09T15:26:00Z</dcterms:created>
  <dc:creator>Administrator</dc:creator>
  <cp:lastModifiedBy>VvnFng</cp:lastModifiedBy>
  <cp:lastPrinted>2023-10-01T19:04:00Z</cp:lastPrinted>
  <dcterms:modified xsi:type="dcterms:W3CDTF">2026-08-13T09:48:41Z</dcterms:modified>
  <dc:title>招 标 文 件</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8EB624980725402A8BA88DD3C662F915_13</vt:lpwstr>
  </property>
  <property fmtid="{D5CDD505-2E9C-101B-9397-08002B2CF9AE}" pid="3" name="KSOProductBuildVer">
    <vt:lpwstr>2052-12.1.0.28043</vt:lpwstr>
  </property>
</Properties>
</file>