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72"/>
          <w:szCs w:val="72"/>
          <w:highlight w:val="none"/>
        </w:rPr>
      </w:pPr>
      <w:r>
        <w:rPr>
          <w:rFonts w:hint="eastAsia" w:ascii="华文新魏" w:hAnsi="华文新魏" w:eastAsia="华文新魏"/>
          <w:color w:val="auto"/>
          <w:sz w:val="72"/>
          <w:szCs w:val="72"/>
          <w:highlight w:val="none"/>
        </w:rPr>
        <w:t>广西科联招标中心有限公司</w:t>
      </w:r>
    </w:p>
    <w:p>
      <w:pPr>
        <w:jc w:val="center"/>
        <w:rPr>
          <w:rFonts w:ascii="华文新魏" w:hAnsi="华文新魏" w:eastAsia="华文新魏"/>
          <w:color w:val="auto"/>
          <w:spacing w:val="116"/>
          <w:sz w:val="52"/>
          <w:highlight w:val="none"/>
        </w:rPr>
      </w:pPr>
    </w:p>
    <w:p>
      <w:pPr>
        <w:jc w:val="center"/>
        <w:rPr>
          <w:color w:val="auto"/>
          <w:szCs w:val="84"/>
          <w:highlight w:val="none"/>
        </w:rPr>
      </w:pPr>
      <w:r>
        <w:rPr>
          <w:rFonts w:hint="eastAsia" w:ascii="楷体_GB2312" w:eastAsia="楷体_GB2312"/>
          <w:b/>
          <w:bCs/>
          <w:color w:val="auto"/>
          <w:spacing w:val="100"/>
          <w:sz w:val="84"/>
          <w:szCs w:val="84"/>
          <w:highlight w:val="none"/>
        </w:rPr>
        <w:t>磋商文件</w:t>
      </w:r>
    </w:p>
    <w:p>
      <w:pPr>
        <w:jc w:val="center"/>
        <w:rPr>
          <w:color w:val="auto"/>
          <w:highlight w:val="none"/>
        </w:rPr>
      </w:pPr>
    </w:p>
    <w:p>
      <w:pPr>
        <w:jc w:val="center"/>
        <w:rPr>
          <w:b/>
          <w:color w:val="auto"/>
          <w:sz w:val="36"/>
          <w:szCs w:val="36"/>
          <w:highlight w:val="none"/>
        </w:rPr>
      </w:pPr>
    </w:p>
    <w:p>
      <w:pPr>
        <w:jc w:val="center"/>
        <w:rPr>
          <w:color w:val="auto"/>
          <w:highlight w:val="none"/>
        </w:rPr>
      </w:pPr>
    </w:p>
    <w:p>
      <w:pPr>
        <w:jc w:val="center"/>
        <w:rPr>
          <w:color w:val="auto"/>
          <w:highlight w:val="none"/>
        </w:rPr>
      </w:pPr>
    </w:p>
    <w:p>
      <w:pPr>
        <w:spacing w:line="480" w:lineRule="auto"/>
        <w:ind w:firstLine="1108" w:firstLineChars="345"/>
        <w:rPr>
          <w:b/>
          <w:color w:val="auto"/>
          <w:sz w:val="32"/>
          <w:highlight w:val="none"/>
        </w:rPr>
      </w:pPr>
      <w:r>
        <w:rPr>
          <w:rFonts w:hint="eastAsia"/>
          <w:b/>
          <w:color w:val="auto"/>
          <w:sz w:val="32"/>
          <w:highlight w:val="none"/>
        </w:rPr>
        <w:t>项目名称：国家税务总局玉林市经济开发区税务局办税服务厅非执法类辅助性服务</w:t>
      </w:r>
    </w:p>
    <w:p>
      <w:pPr>
        <w:spacing w:line="480" w:lineRule="auto"/>
        <w:jc w:val="center"/>
        <w:rPr>
          <w:b/>
          <w:color w:val="auto"/>
          <w:sz w:val="32"/>
          <w:highlight w:val="none"/>
        </w:rPr>
      </w:pPr>
      <w:r>
        <w:rPr>
          <w:rFonts w:hint="eastAsia"/>
          <w:b/>
          <w:color w:val="auto"/>
          <w:sz w:val="32"/>
          <w:highlight w:val="none"/>
        </w:rPr>
        <w:t>（本项目为目录外标准下）</w:t>
      </w:r>
    </w:p>
    <w:p>
      <w:pPr>
        <w:spacing w:line="480" w:lineRule="auto"/>
        <w:ind w:firstLine="1285" w:firstLineChars="400"/>
        <w:rPr>
          <w:b/>
          <w:color w:val="auto"/>
          <w:sz w:val="32"/>
          <w:highlight w:val="none"/>
        </w:rPr>
      </w:pPr>
      <w:r>
        <w:rPr>
          <w:rFonts w:hint="eastAsia"/>
          <w:b/>
          <w:color w:val="auto"/>
          <w:sz w:val="32"/>
          <w:highlight w:val="none"/>
        </w:rPr>
        <w:t>项目编号：KLYLCS202224</w:t>
      </w:r>
    </w:p>
    <w:p>
      <w:pPr>
        <w:spacing w:line="480" w:lineRule="auto"/>
        <w:ind w:left="838" w:leftChars="399"/>
        <w:jc w:val="center"/>
        <w:rPr>
          <w:b/>
          <w:color w:val="auto"/>
          <w:sz w:val="32"/>
          <w:highlight w:val="none"/>
        </w:rPr>
      </w:pPr>
    </w:p>
    <w:p>
      <w:pPr>
        <w:spacing w:line="480" w:lineRule="auto"/>
        <w:ind w:left="838" w:leftChars="399" w:firstLine="964" w:firstLineChars="300"/>
        <w:rPr>
          <w:b/>
          <w:color w:val="auto"/>
          <w:sz w:val="32"/>
          <w:szCs w:val="32"/>
          <w:highlight w:val="none"/>
        </w:rPr>
      </w:pPr>
    </w:p>
    <w:p>
      <w:pPr>
        <w:spacing w:line="480" w:lineRule="auto"/>
        <w:ind w:left="838" w:leftChars="399" w:firstLine="948" w:firstLineChars="295"/>
        <w:rPr>
          <w:b/>
          <w:color w:val="auto"/>
          <w:sz w:val="32"/>
          <w:szCs w:val="32"/>
          <w:highlight w:val="none"/>
        </w:rPr>
      </w:pPr>
    </w:p>
    <w:p>
      <w:pPr>
        <w:spacing w:line="480" w:lineRule="auto"/>
        <w:ind w:left="838" w:leftChars="399" w:firstLine="948" w:firstLineChars="295"/>
        <w:rPr>
          <w:b/>
          <w:color w:val="auto"/>
          <w:sz w:val="32"/>
          <w:szCs w:val="32"/>
          <w:highlight w:val="none"/>
        </w:rPr>
      </w:pPr>
    </w:p>
    <w:p>
      <w:pPr>
        <w:spacing w:line="480" w:lineRule="auto"/>
        <w:ind w:left="838" w:leftChars="399" w:firstLine="948" w:firstLineChars="295"/>
        <w:rPr>
          <w:b/>
          <w:color w:val="auto"/>
          <w:sz w:val="32"/>
          <w:szCs w:val="32"/>
          <w:highlight w:val="none"/>
        </w:rPr>
      </w:pPr>
      <w:r>
        <w:rPr>
          <w:rFonts w:hint="eastAsia"/>
          <w:b/>
          <w:color w:val="auto"/>
          <w:sz w:val="32"/>
          <w:szCs w:val="32"/>
          <w:highlight w:val="none"/>
          <w:lang w:eastAsia="zh-CN"/>
        </w:rPr>
        <w:t>采</w:t>
      </w:r>
      <w:r>
        <w:rPr>
          <w:rFonts w:hint="eastAsia"/>
          <w:b/>
          <w:color w:val="auto"/>
          <w:sz w:val="32"/>
          <w:szCs w:val="32"/>
          <w:highlight w:val="none"/>
        </w:rPr>
        <w:t>购单位：国家税务总局玉林市经济开发区税务局</w:t>
      </w:r>
      <w:r>
        <w:rPr>
          <w:b/>
          <w:color w:val="auto"/>
          <w:sz w:val="32"/>
          <w:szCs w:val="32"/>
          <w:highlight w:val="none"/>
        </w:rPr>
        <w:t xml:space="preserve"> </w:t>
      </w:r>
    </w:p>
    <w:p>
      <w:pPr>
        <w:pStyle w:val="3"/>
        <w:rPr>
          <w:color w:val="auto"/>
          <w:sz w:val="32"/>
          <w:szCs w:val="32"/>
          <w:highlight w:val="none"/>
        </w:rPr>
      </w:pPr>
    </w:p>
    <w:p>
      <w:pPr>
        <w:rPr>
          <w:b/>
          <w:color w:val="auto"/>
          <w:sz w:val="32"/>
          <w:szCs w:val="32"/>
          <w:highlight w:val="none"/>
        </w:rPr>
      </w:pPr>
    </w:p>
    <w:p>
      <w:pPr>
        <w:pStyle w:val="3"/>
        <w:rPr>
          <w:color w:val="auto"/>
          <w:sz w:val="32"/>
          <w:szCs w:val="32"/>
          <w:highlight w:val="none"/>
        </w:rPr>
      </w:pPr>
    </w:p>
    <w:p>
      <w:pPr>
        <w:spacing w:line="480" w:lineRule="auto"/>
        <w:ind w:left="-2" w:leftChars="-1" w:firstLine="1767" w:firstLineChars="550"/>
        <w:rPr>
          <w:b/>
          <w:color w:val="auto"/>
          <w:sz w:val="32"/>
          <w:szCs w:val="32"/>
          <w:highlight w:val="none"/>
        </w:rPr>
      </w:pPr>
      <w:r>
        <w:rPr>
          <w:rFonts w:hint="eastAsia"/>
          <w:b/>
          <w:color w:val="auto"/>
          <w:sz w:val="32"/>
          <w:szCs w:val="32"/>
          <w:highlight w:val="none"/>
        </w:rPr>
        <w:t>采购代理机构：广西科联招标中心有限公司</w:t>
      </w:r>
    </w:p>
    <w:p>
      <w:pPr>
        <w:spacing w:line="480" w:lineRule="auto"/>
        <w:ind w:left="-2" w:leftChars="-1" w:firstLine="1767" w:firstLineChars="550"/>
        <w:rPr>
          <w:b/>
          <w:color w:val="auto"/>
          <w:sz w:val="32"/>
          <w:szCs w:val="32"/>
          <w:highlight w:val="none"/>
        </w:rPr>
      </w:pPr>
    </w:p>
    <w:p>
      <w:pPr>
        <w:spacing w:line="480" w:lineRule="auto"/>
        <w:jc w:val="center"/>
        <w:rPr>
          <w:rFonts w:ascii="宋体"/>
          <w:b/>
          <w:color w:val="auto"/>
          <w:sz w:val="32"/>
          <w:szCs w:val="32"/>
          <w:highlight w:val="none"/>
        </w:rPr>
      </w:pPr>
      <w:r>
        <w:rPr>
          <w:b/>
          <w:color w:val="auto"/>
          <w:sz w:val="32"/>
          <w:szCs w:val="32"/>
          <w:highlight w:val="none"/>
        </w:rPr>
        <w:t>202</w:t>
      </w:r>
      <w:r>
        <w:rPr>
          <w:rFonts w:hint="eastAsia"/>
          <w:b/>
          <w:color w:val="auto"/>
          <w:sz w:val="32"/>
          <w:szCs w:val="32"/>
          <w:highlight w:val="none"/>
        </w:rPr>
        <w:t>2</w:t>
      </w:r>
      <w:r>
        <w:rPr>
          <w:b/>
          <w:color w:val="auto"/>
          <w:sz w:val="32"/>
          <w:szCs w:val="32"/>
          <w:highlight w:val="none"/>
        </w:rPr>
        <w:t>年</w:t>
      </w:r>
      <w:r>
        <w:rPr>
          <w:rFonts w:hint="eastAsia"/>
          <w:b/>
          <w:color w:val="auto"/>
          <w:sz w:val="32"/>
          <w:szCs w:val="32"/>
          <w:highlight w:val="none"/>
        </w:rPr>
        <w:t>5月</w:t>
      </w:r>
    </w:p>
    <w:p>
      <w:pPr>
        <w:spacing w:line="600" w:lineRule="auto"/>
        <w:jc w:val="center"/>
        <w:rPr>
          <w:rFonts w:ascii="宋体" w:hAnsi="宋体" w:cs="宋体"/>
          <w:b/>
          <w:color w:val="auto"/>
          <w:sz w:val="44"/>
          <w:szCs w:val="52"/>
          <w:highlight w:val="none"/>
        </w:rPr>
        <w:sectPr>
          <w:pgSz w:w="11906" w:h="16838"/>
          <w:pgMar w:top="1270" w:right="1474" w:bottom="1157" w:left="1587" w:header="851" w:footer="992" w:gutter="0"/>
          <w:pgNumType w:start="0"/>
          <w:cols w:space="720" w:num="1"/>
          <w:titlePg/>
          <w:docGrid w:type="lines" w:linePitch="312" w:charSpace="0"/>
        </w:sectPr>
      </w:pPr>
    </w:p>
    <w:p>
      <w:pPr>
        <w:spacing w:line="600" w:lineRule="auto"/>
        <w:jc w:val="center"/>
        <w:rPr>
          <w:rFonts w:ascii="宋体" w:hAnsi="宋体" w:cs="宋体"/>
          <w:b/>
          <w:color w:val="auto"/>
          <w:sz w:val="52"/>
          <w:szCs w:val="52"/>
          <w:highlight w:val="none"/>
        </w:rPr>
      </w:pPr>
      <w:r>
        <w:rPr>
          <w:rFonts w:hint="eastAsia" w:ascii="宋体" w:hAnsi="宋体" w:cs="宋体"/>
          <w:b/>
          <w:color w:val="auto"/>
          <w:sz w:val="44"/>
          <w:szCs w:val="52"/>
          <w:highlight w:val="none"/>
        </w:rPr>
        <w:t>目录</w:t>
      </w:r>
    </w:p>
    <w:p>
      <w:pPr>
        <w:pStyle w:val="27"/>
        <w:spacing w:line="600" w:lineRule="auto"/>
        <w:jc w:val="center"/>
        <w:rPr>
          <w:rFonts w:eastAsia="宋体" w:cs="宋体"/>
          <w:color w:val="auto"/>
          <w:szCs w:val="30"/>
          <w:highlight w:val="none"/>
        </w:rPr>
      </w:pPr>
      <w:r>
        <w:rPr>
          <w:rFonts w:hint="eastAsia" w:eastAsia="宋体" w:cs="宋体"/>
          <w:color w:val="auto"/>
          <w:szCs w:val="30"/>
          <w:highlight w:val="none"/>
        </w:rPr>
        <w:t>第一部分　商务部分</w:t>
      </w:r>
    </w:p>
    <w:p>
      <w:pPr>
        <w:pStyle w:val="27"/>
        <w:tabs>
          <w:tab w:val="right" w:leader="dot" w:pos="8845"/>
          <w:tab w:val="clear" w:pos="962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磋商邀请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845"/>
          <w:tab w:val="clear" w:pos="962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_Toc32189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_Toc32189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845"/>
          <w:tab w:val="clear" w:pos="962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_Toc21754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评审方法及标准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_Toc21754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845"/>
          <w:tab w:val="clear" w:pos="962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eastAsia="宋体" w:cs="宋体"/>
          <w:bCs/>
          <w:color w:val="auto"/>
          <w:sz w:val="28"/>
          <w:szCs w:val="28"/>
          <w:highlight w:val="none"/>
        </w:rPr>
        <w:t>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845"/>
          <w:tab w:val="clear" w:pos="962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_Toc3633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响应文件组成</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_Toc3633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845"/>
          <w:tab w:val="clear" w:pos="9628"/>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_Toc5623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技术部分</w:t>
      </w:r>
      <w:r>
        <w:rPr>
          <w:rFonts w:hint="eastAsia" w:ascii="宋体" w:hAnsi="宋体" w:eastAsia="宋体" w:cs="宋体"/>
          <w:color w:val="auto"/>
          <w:sz w:val="28"/>
          <w:szCs w:val="28"/>
          <w:highlight w:val="none"/>
        </w:rPr>
        <w:fldChar w:fldCharType="end"/>
      </w:r>
    </w:p>
    <w:p>
      <w:pPr>
        <w:pStyle w:val="27"/>
        <w:tabs>
          <w:tab w:val="right" w:leader="dot" w:pos="9639"/>
          <w:tab w:val="clear" w:pos="9628"/>
        </w:tabs>
        <w:spacing w:line="600" w:lineRule="auto"/>
        <w:rPr>
          <w:rStyle w:val="50"/>
          <w:rFonts w:hint="default" w:ascii="宋体" w:hAnsi="宋体" w:eastAsia="黑体" w:cs="宋体"/>
          <w:color w:val="auto"/>
          <w:highlight w:val="none"/>
          <w:lang w:val="en-US" w:eastAsia="zh-CN"/>
        </w:rPr>
      </w:pPr>
      <w:r>
        <w:rPr>
          <w:rFonts w:hint="eastAsia" w:ascii="宋体" w:hAnsi="宋体" w:eastAsia="宋体" w:cs="宋体"/>
          <w:color w:val="auto"/>
          <w:sz w:val="28"/>
          <w:szCs w:val="28"/>
          <w:highlight w:val="none"/>
        </w:rPr>
        <w:fldChar w:fldCharType="end"/>
      </w:r>
      <w:r>
        <w:rPr>
          <w:rFonts w:hint="eastAsia" w:ascii="宋体" w:hAnsi="宋体" w:eastAsia="宋体" w:cs="宋体"/>
          <w:b/>
          <w:color w:val="auto"/>
          <w:sz w:val="28"/>
          <w:szCs w:val="28"/>
          <w:highlight w:val="none"/>
        </w:rPr>
        <w:t>第六章 项目采购需求</w:t>
      </w:r>
      <w:r>
        <w:rPr>
          <w:rFonts w:hint="eastAsia" w:ascii="宋体" w:hAnsi="宋体" w:eastAsia="宋体" w:cs="宋体"/>
          <w:b/>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64</w:t>
      </w:r>
    </w:p>
    <w:p>
      <w:pPr>
        <w:pStyle w:val="20"/>
        <w:spacing w:line="700" w:lineRule="exact"/>
        <w:rPr>
          <w:rFonts w:hAnsi="宋体" w:cs="宋体"/>
          <w:color w:val="auto"/>
          <w:highlight w:val="none"/>
        </w:rPr>
      </w:pPr>
    </w:p>
    <w:p>
      <w:pPr>
        <w:pStyle w:val="20"/>
        <w:spacing w:line="700" w:lineRule="exact"/>
        <w:rPr>
          <w:rFonts w:hAnsi="宋体" w:cs="宋体"/>
          <w:color w:val="auto"/>
          <w:highlight w:val="none"/>
        </w:rPr>
      </w:pPr>
    </w:p>
    <w:p>
      <w:pPr>
        <w:pStyle w:val="20"/>
        <w:spacing w:line="700" w:lineRule="exact"/>
        <w:rPr>
          <w:rFonts w:hAnsi="宋体" w:cs="宋体"/>
          <w:color w:val="auto"/>
          <w:highlight w:val="none"/>
        </w:rPr>
      </w:pPr>
    </w:p>
    <w:p>
      <w:pPr>
        <w:spacing w:line="160" w:lineRule="exact"/>
        <w:rPr>
          <w:rFonts w:ascii="宋体" w:hAnsi="宋体" w:cs="宋体"/>
          <w:b/>
          <w:bCs/>
          <w:color w:val="auto"/>
          <w:highlight w:val="none"/>
        </w:rPr>
      </w:pPr>
      <w:r>
        <w:rPr>
          <w:rFonts w:hint="eastAsia" w:ascii="宋体" w:hAnsi="宋体" w:cs="宋体"/>
          <w:color w:val="auto"/>
          <w:sz w:val="36"/>
          <w:highlight w:val="none"/>
        </w:rPr>
        <w:br w:type="page"/>
      </w:r>
    </w:p>
    <w:p>
      <w:pPr>
        <w:spacing w:line="400" w:lineRule="exact"/>
        <w:jc w:val="center"/>
        <w:outlineLvl w:val="0"/>
        <w:rPr>
          <w:rFonts w:ascii="宋体" w:hAnsi="宋体" w:cs="宋体"/>
          <w:b/>
          <w:color w:val="auto"/>
          <w:sz w:val="28"/>
          <w:szCs w:val="28"/>
          <w:highlight w:val="none"/>
        </w:rPr>
      </w:pPr>
      <w:bookmarkStart w:id="0" w:name="_Toc1696"/>
      <w:bookmarkStart w:id="1" w:name="_Toc9180"/>
      <w:bookmarkStart w:id="2" w:name="_Toc8337"/>
      <w:r>
        <w:rPr>
          <w:rFonts w:hint="eastAsia" w:ascii="宋体" w:hAnsi="宋体" w:cs="宋体"/>
          <w:b/>
          <w:color w:val="auto"/>
          <w:sz w:val="28"/>
          <w:szCs w:val="28"/>
          <w:highlight w:val="none"/>
        </w:rPr>
        <w:t>第一章 磋商邀请</w:t>
      </w:r>
      <w:bookmarkEnd w:id="0"/>
      <w:bookmarkEnd w:id="1"/>
      <w:bookmarkEnd w:id="2"/>
    </w:p>
    <w:p>
      <w:pPr>
        <w:spacing w:line="400" w:lineRule="exact"/>
        <w:jc w:val="center"/>
        <w:outlineLvl w:val="0"/>
        <w:rPr>
          <w:rFonts w:ascii="宋体" w:hAnsi="宋体" w:cs="宋体"/>
          <w:b/>
          <w:color w:val="auto"/>
          <w:sz w:val="28"/>
          <w:szCs w:val="28"/>
          <w:highlight w:val="none"/>
        </w:rPr>
      </w:pPr>
    </w:p>
    <w:p>
      <w:pPr>
        <w:spacing w:line="360" w:lineRule="auto"/>
        <w:jc w:val="center"/>
        <w:outlineLvl w:val="0"/>
        <w:rPr>
          <w:rFonts w:ascii="宋体" w:hAnsi="宋体" w:cs="宋体"/>
          <w:b/>
          <w:color w:val="auto"/>
          <w:sz w:val="28"/>
          <w:szCs w:val="28"/>
          <w:highlight w:val="none"/>
        </w:rPr>
      </w:pPr>
      <w:bookmarkStart w:id="3" w:name="_Toc30258"/>
      <w:bookmarkStart w:id="4" w:name="_Toc14941"/>
      <w:bookmarkStart w:id="5" w:name="_Toc2589"/>
      <w:bookmarkStart w:id="6" w:name="_Toc48"/>
      <w:bookmarkStart w:id="7" w:name="_Toc46761412"/>
      <w:r>
        <w:rPr>
          <w:rFonts w:hint="eastAsia" w:ascii="宋体" w:hAnsi="宋体" w:cs="宋体"/>
          <w:b/>
          <w:color w:val="auto"/>
          <w:sz w:val="28"/>
          <w:szCs w:val="28"/>
          <w:highlight w:val="none"/>
        </w:rPr>
        <w:t>国家税务总局玉林市经济开发区税务局办税服务厅非执法类辅助性服务（KLYLCS20222</w:t>
      </w: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）磋商公告</w:t>
      </w:r>
      <w:bookmarkEnd w:id="3"/>
      <w:bookmarkEnd w:id="4"/>
      <w:bookmarkEnd w:id="5"/>
      <w:bookmarkEnd w:id="6"/>
      <w:bookmarkEnd w:id="7"/>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(国家税务总局玉林市经济开发区税务局办税服务厅非执法类辅助性服务)采购项目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lang w:bidi="ar"/>
        </w:rPr>
        <w:t>广西科联招标中心有限公司玉林分公司财务部（玉林市人民东路40-1号 新都香格里拉花园10幢101房)</w:t>
      </w:r>
      <w:r>
        <w:rPr>
          <w:rFonts w:hint="eastAsia" w:ascii="宋体" w:hAnsi="宋体" w:cs="宋体"/>
          <w:color w:val="auto"/>
          <w:szCs w:val="21"/>
          <w:highlight w:val="none"/>
        </w:rPr>
        <w:t>获取采购文件，并于</w:t>
      </w: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keepNext/>
        <w:keepLines/>
        <w:spacing w:before="312" w:beforeLines="100" w:line="360" w:lineRule="auto"/>
        <w:outlineLvl w:val="1"/>
        <w:rPr>
          <w:rFonts w:ascii="宋体" w:hAnsi="宋体" w:cs="宋体"/>
          <w:bCs/>
          <w:color w:val="auto"/>
          <w:szCs w:val="21"/>
          <w:highlight w:val="none"/>
        </w:rPr>
      </w:pPr>
      <w:bookmarkStart w:id="8" w:name="_Toc3408"/>
      <w:bookmarkStart w:id="9" w:name="_Toc35393798"/>
      <w:bookmarkStart w:id="10" w:name="_Toc24411"/>
      <w:bookmarkStart w:id="11" w:name="_Toc28359089"/>
      <w:bookmarkStart w:id="12" w:name="_Toc28359012"/>
      <w:bookmarkStart w:id="13" w:name="_Toc12726"/>
      <w:bookmarkStart w:id="14" w:name="_Toc46761413"/>
      <w:bookmarkStart w:id="15" w:name="_Toc35393629"/>
      <w:bookmarkStart w:id="16" w:name="_Toc22036"/>
      <w:r>
        <w:rPr>
          <w:rFonts w:hint="eastAsia" w:ascii="宋体" w:hAnsi="宋体" w:cs="宋体"/>
          <w:bCs/>
          <w:color w:val="auto"/>
          <w:szCs w:val="21"/>
          <w:highlight w:val="none"/>
        </w:rPr>
        <w:t>一、项目基本情况</w:t>
      </w:r>
      <w:bookmarkEnd w:id="8"/>
      <w:bookmarkEnd w:id="9"/>
      <w:bookmarkEnd w:id="10"/>
      <w:bookmarkEnd w:id="11"/>
      <w:bookmarkEnd w:id="12"/>
      <w:bookmarkEnd w:id="13"/>
      <w:bookmarkEnd w:id="14"/>
      <w:bookmarkEnd w:id="15"/>
      <w:bookmarkEnd w:id="1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项目编号：KLYLCS202224</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项目名称：国家税务总局玉林市经济开发区税务局办税服务厅非执法类辅助性服务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kern w:val="10"/>
          <w:szCs w:val="21"/>
          <w:highlight w:val="none"/>
        </w:rPr>
        <w:t>人民币肆拾叁万元整（￥430000.00）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olor w:val="auto"/>
          <w:kern w:val="10"/>
          <w:szCs w:val="21"/>
          <w:highlight w:val="none"/>
        </w:rPr>
        <w:t>人民币肆拾叁万元整（￥430000.00）</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采购需求：国家税务总局玉林市经济开发区税务局办税服务厅非执法类辅助性服务</w:t>
      </w:r>
      <w:r>
        <w:rPr>
          <w:rFonts w:hint="default" w:ascii="宋体" w:hAnsi="宋体" w:cs="Times New Roman"/>
          <w:color w:val="auto"/>
          <w:kern w:val="10"/>
          <w:szCs w:val="21"/>
          <w:highlight w:val="none"/>
        </w:rPr>
        <w:t>1项，</w:t>
      </w:r>
      <w:r>
        <w:rPr>
          <w:rFonts w:hint="eastAsia" w:ascii="宋体" w:hAnsi="宋体"/>
          <w:color w:val="auto"/>
          <w:kern w:val="10"/>
          <w:szCs w:val="21"/>
          <w:highlight w:val="none"/>
          <w:lang w:eastAsia="zh-CN"/>
        </w:rPr>
        <w:t>按照工作要求和工作完成时限（</w:t>
      </w:r>
      <w:r>
        <w:rPr>
          <w:rFonts w:hint="eastAsia" w:ascii="宋体" w:hAnsi="宋体"/>
          <w:color w:val="auto"/>
          <w:kern w:val="10"/>
          <w:szCs w:val="21"/>
          <w:highlight w:val="none"/>
          <w:lang w:val="en-US" w:eastAsia="zh-CN"/>
        </w:rPr>
        <w:t>7个月</w:t>
      </w:r>
      <w:r>
        <w:rPr>
          <w:rFonts w:hint="eastAsia" w:ascii="宋体" w:hAnsi="宋体"/>
          <w:color w:val="auto"/>
          <w:kern w:val="10"/>
          <w:szCs w:val="21"/>
          <w:highlight w:val="none"/>
          <w:lang w:eastAsia="zh-CN"/>
        </w:rPr>
        <w:t>），完成以下任务：</w:t>
      </w:r>
      <w:r>
        <w:rPr>
          <w:rFonts w:hint="default" w:ascii="宋体" w:hAnsi="宋体"/>
          <w:color w:val="auto"/>
          <w:kern w:val="10"/>
          <w:szCs w:val="21"/>
          <w:highlight w:val="none"/>
          <w:lang w:val="en-US" w:eastAsia="zh-CN"/>
        </w:rPr>
        <w:t>1、纳税服务类：</w:t>
      </w:r>
      <w:r>
        <w:rPr>
          <w:rFonts w:hint="default" w:ascii="宋体" w:hAnsi="宋体"/>
          <w:color w:val="auto"/>
          <w:kern w:val="10"/>
          <w:szCs w:val="21"/>
          <w:highlight w:val="none"/>
          <w:lang w:eastAsia="zh-CN"/>
        </w:rPr>
        <w:t>办税服务厅非执法类服务、税收宣传、纳税申报提醒服务。</w:t>
      </w:r>
      <w:r>
        <w:rPr>
          <w:rFonts w:hint="default" w:ascii="宋体" w:hAnsi="宋体"/>
          <w:color w:val="auto"/>
          <w:kern w:val="10"/>
          <w:szCs w:val="21"/>
          <w:highlight w:val="none"/>
          <w:lang w:val="en-US" w:eastAsia="zh-CN"/>
        </w:rPr>
        <w:t>2、</w:t>
      </w:r>
      <w:r>
        <w:rPr>
          <w:rFonts w:hint="default" w:ascii="宋体" w:hAnsi="宋体"/>
          <w:color w:val="auto"/>
          <w:kern w:val="10"/>
          <w:szCs w:val="21"/>
          <w:highlight w:val="none"/>
          <w:lang w:eastAsia="zh-CN"/>
        </w:rPr>
        <w:t>非税业务类：社保费、医保费等非税收入的宣传，收集缴费人、经办人员遇到的各类问题，引导并推广相关非税缴费业务网上办理。</w:t>
      </w:r>
      <w:r>
        <w:rPr>
          <w:rFonts w:hint="default" w:ascii="宋体" w:hAnsi="宋体" w:cs="Times New Roman"/>
          <w:color w:val="auto"/>
          <w:kern w:val="10"/>
          <w:szCs w:val="21"/>
          <w:highlight w:val="none"/>
        </w:rPr>
        <w:t>如需进一步了解详细内容，详见采购文件。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color w:val="auto"/>
          <w:kern w:val="10"/>
          <w:szCs w:val="21"/>
          <w:highlight w:val="none"/>
        </w:rPr>
        <w:t>7个月</w:t>
      </w:r>
      <w:r>
        <w:rPr>
          <w:rFonts w:ascii="宋体" w:hAnsi="宋体"/>
          <w:color w:val="auto"/>
          <w:kern w:val="10"/>
          <w:szCs w:val="21"/>
          <w:highlight w:val="none"/>
        </w:rPr>
        <w:t>（具体日期以采购人书面通知为准）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本项目（是/否）接受联合体：不接受。</w:t>
      </w:r>
      <w:bookmarkStart w:id="17" w:name="_Toc35393630"/>
      <w:bookmarkStart w:id="18" w:name="_Toc28359013"/>
      <w:bookmarkStart w:id="19" w:name="_Toc28359090"/>
      <w:bookmarkStart w:id="20" w:name="_Toc35393799"/>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二、申请人的资格要求：</w:t>
      </w:r>
      <w:bookmarkEnd w:id="17"/>
      <w:bookmarkEnd w:id="18"/>
      <w:bookmarkEnd w:id="19"/>
      <w:bookmarkEnd w:id="20"/>
      <w:bookmarkStart w:id="21" w:name="_Toc35393800"/>
      <w:bookmarkStart w:id="22" w:name="_Toc35393631"/>
      <w:bookmarkStart w:id="23" w:name="_Toc28359014"/>
      <w:bookmarkStart w:id="24" w:name="_Toc28359091"/>
    </w:p>
    <w:p>
      <w:pPr>
        <w:spacing w:line="360" w:lineRule="auto"/>
        <w:ind w:firstLine="420" w:firstLineChars="200"/>
        <w:rPr>
          <w:color w:val="auto"/>
          <w:highlight w:val="none"/>
        </w:rPr>
      </w:pPr>
      <w:r>
        <w:rPr>
          <w:rFonts w:hint="eastAsia" w:ascii="宋体" w:hAnsi="宋体" w:cs="宋体"/>
          <w:color w:val="auto"/>
          <w:szCs w:val="21"/>
          <w:highlight w:val="none"/>
        </w:rPr>
        <w:t>1.供应商参加本采购活动应当具备下列条件</w:t>
      </w:r>
      <w:r>
        <w:rPr>
          <w:rFonts w:hint="eastAsia"/>
          <w:color w:val="auto"/>
          <w:highlight w:val="none"/>
        </w:rPr>
        <w:t>：</w:t>
      </w:r>
    </w:p>
    <w:p>
      <w:pPr>
        <w:spacing w:line="360" w:lineRule="auto"/>
        <w:ind w:left="420" w:leftChars="200"/>
        <w:rPr>
          <w:rFonts w:ascii="宋体" w:hAnsi="宋体" w:cs="宋体"/>
          <w:bCs/>
          <w:color w:val="auto"/>
          <w:szCs w:val="21"/>
          <w:highlight w:val="none"/>
        </w:rPr>
      </w:pPr>
      <w:r>
        <w:rPr>
          <w:rFonts w:hint="eastAsia" w:ascii="宋体" w:hAnsi="宋体" w:cs="宋体"/>
          <w:bCs/>
          <w:color w:val="auto"/>
          <w:szCs w:val="21"/>
          <w:highlight w:val="none"/>
        </w:rPr>
        <w:t>（一）具有独立承担民事责任的能力；</w:t>
      </w:r>
    </w:p>
    <w:p>
      <w:pPr>
        <w:spacing w:line="360" w:lineRule="auto"/>
        <w:ind w:left="420" w:leftChars="200"/>
        <w:rPr>
          <w:rFonts w:ascii="宋体" w:hAnsi="宋体" w:cs="宋体"/>
          <w:bCs/>
          <w:color w:val="auto"/>
          <w:szCs w:val="21"/>
          <w:highlight w:val="none"/>
        </w:rPr>
      </w:pPr>
      <w:r>
        <w:rPr>
          <w:rFonts w:hint="eastAsia" w:ascii="宋体" w:hAnsi="宋体" w:cs="宋体"/>
          <w:bCs/>
          <w:color w:val="auto"/>
          <w:szCs w:val="21"/>
          <w:highlight w:val="none"/>
        </w:rPr>
        <w:t>（二）具有良好的商业信誉和健全的财务会计制度；</w:t>
      </w:r>
    </w:p>
    <w:p>
      <w:pPr>
        <w:spacing w:line="360" w:lineRule="auto"/>
        <w:ind w:left="420" w:leftChars="200"/>
        <w:rPr>
          <w:rFonts w:ascii="宋体" w:hAnsi="宋体" w:cs="宋体"/>
          <w:bCs/>
          <w:color w:val="auto"/>
          <w:szCs w:val="21"/>
          <w:highlight w:val="none"/>
        </w:rPr>
      </w:pPr>
      <w:r>
        <w:rPr>
          <w:rFonts w:hint="eastAsia" w:ascii="宋体" w:hAnsi="宋体" w:cs="宋体"/>
          <w:bCs/>
          <w:color w:val="auto"/>
          <w:szCs w:val="21"/>
          <w:highlight w:val="none"/>
        </w:rPr>
        <w:t>（三）具有履行合同所必需的设备和专业技术能力；</w:t>
      </w:r>
    </w:p>
    <w:p>
      <w:pPr>
        <w:spacing w:line="360" w:lineRule="auto"/>
        <w:ind w:left="420" w:leftChars="200"/>
        <w:rPr>
          <w:rFonts w:ascii="宋体" w:hAnsi="宋体" w:cs="宋体"/>
          <w:bCs/>
          <w:color w:val="auto"/>
          <w:szCs w:val="21"/>
          <w:highlight w:val="none"/>
        </w:rPr>
      </w:pPr>
      <w:r>
        <w:rPr>
          <w:rFonts w:hint="eastAsia" w:ascii="宋体" w:hAnsi="宋体" w:cs="宋体"/>
          <w:bCs/>
          <w:color w:val="auto"/>
          <w:szCs w:val="21"/>
          <w:highlight w:val="none"/>
        </w:rPr>
        <w:t>（四）有依法缴纳税收和社会保障资金的良好记录；</w:t>
      </w:r>
    </w:p>
    <w:p>
      <w:pPr>
        <w:spacing w:line="360" w:lineRule="auto"/>
        <w:ind w:left="420" w:leftChars="200"/>
        <w:rPr>
          <w:rFonts w:ascii="宋体" w:hAnsi="宋体" w:cs="宋体"/>
          <w:bCs/>
          <w:color w:val="auto"/>
          <w:szCs w:val="21"/>
          <w:highlight w:val="none"/>
        </w:rPr>
      </w:pPr>
      <w:r>
        <w:rPr>
          <w:rFonts w:hint="eastAsia" w:ascii="宋体" w:hAnsi="宋体" w:cs="宋体"/>
          <w:bCs/>
          <w:color w:val="auto"/>
          <w:szCs w:val="21"/>
          <w:highlight w:val="none"/>
        </w:rPr>
        <w:t>（五）参加采购活动前三年内，在经营活动中没有重大违法记录；</w:t>
      </w:r>
    </w:p>
    <w:p>
      <w:pPr>
        <w:spacing w:line="360" w:lineRule="auto"/>
        <w:ind w:left="420" w:leftChars="200"/>
        <w:rPr>
          <w:rFonts w:ascii="宋体" w:hAnsi="宋体" w:cs="宋体"/>
          <w:bCs/>
          <w:color w:val="auto"/>
          <w:szCs w:val="21"/>
          <w:highlight w:val="none"/>
        </w:rPr>
      </w:pPr>
      <w:r>
        <w:rPr>
          <w:rFonts w:hint="eastAsia" w:ascii="宋体" w:hAnsi="宋体" w:cs="宋体"/>
          <w:bCs/>
          <w:color w:val="auto"/>
          <w:szCs w:val="21"/>
          <w:highlight w:val="none"/>
        </w:rPr>
        <w:t>（六）法律、行政法规规定的其他条件。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Cs w:val="21"/>
          <w:highlight w:val="none"/>
        </w:rPr>
        <w:t>。</w:t>
      </w:r>
      <w:r>
        <w:rPr>
          <w:rFonts w:hint="eastAsia"/>
          <w:color w:val="auto"/>
          <w:highlight w:val="none"/>
        </w:rPr>
        <w:t>本项目采购标的对应的中小企业划分标准所属行业为</w:t>
      </w:r>
      <w:r>
        <w:rPr>
          <w:rFonts w:ascii="宋体" w:hAnsi="宋体" w:cs="宋体"/>
          <w:color w:val="auto"/>
          <w:highlight w:val="none"/>
        </w:rPr>
        <w:t>其他未列明行业</w:t>
      </w:r>
      <w:r>
        <w:rPr>
          <w:rFonts w:hint="eastAsia"/>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pStyle w:val="2"/>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4.本项目由符合国家有关法律法规规定、同时满足本项目资质要求、在中国境内注册的合格供应商参加磋商。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5.不存在不良信用记录（在“信用中国”网站(www.creditchina.gov.cn)、中国政府采购网(www.ccgp.gov.cn)等渠道查询</w:t>
      </w:r>
      <w:r>
        <w:rPr>
          <w:rFonts w:ascii="宋体" w:hAnsi="宋体" w:cs="宋体"/>
          <w:color w:val="auto"/>
          <w:kern w:val="0"/>
          <w:szCs w:val="21"/>
          <w:highlight w:val="none"/>
        </w:rPr>
        <w:t>对列入失信被执行人、重大税收违法案件当事人名单、政府采购严重违法失信行为记录名单</w:t>
      </w:r>
      <w:r>
        <w:rPr>
          <w:rFonts w:hint="eastAsia" w:ascii="宋体" w:hAnsi="宋体" w:cs="宋体"/>
          <w:color w:val="auto"/>
          <w:kern w:val="0"/>
          <w:szCs w:val="21"/>
          <w:highlight w:val="none"/>
        </w:rPr>
        <w:t>的供应商</w:t>
      </w:r>
      <w:r>
        <w:rPr>
          <w:rFonts w:ascii="宋体" w:hAnsi="宋体" w:cs="宋体"/>
          <w:color w:val="auto"/>
          <w:kern w:val="0"/>
          <w:szCs w:val="21"/>
          <w:highlight w:val="none"/>
        </w:rPr>
        <w:t>，应当拒绝其参与</w:t>
      </w:r>
      <w:r>
        <w:rPr>
          <w:rFonts w:hint="eastAsia" w:ascii="宋体" w:hAnsi="宋体" w:cs="宋体"/>
          <w:color w:val="auto"/>
          <w:kern w:val="0"/>
          <w:szCs w:val="21"/>
          <w:highlight w:val="none"/>
        </w:rPr>
        <w:t>本次</w:t>
      </w:r>
      <w:r>
        <w:rPr>
          <w:rFonts w:ascii="宋体" w:hAnsi="宋体" w:cs="宋体"/>
          <w:color w:val="auto"/>
          <w:kern w:val="0"/>
          <w:szCs w:val="21"/>
          <w:highlight w:val="none"/>
        </w:rPr>
        <w:t>采购活动</w:t>
      </w:r>
      <w:r>
        <w:rPr>
          <w:rFonts w:hint="eastAsia" w:ascii="宋体" w:hAnsi="宋体" w:cs="宋体"/>
          <w:color w:val="auto"/>
          <w:szCs w:val="21"/>
          <w:highlight w:val="none"/>
        </w:rPr>
        <w:t>）。</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6.单位负责人为同一人或者存在直接控股、管理关系的不同供应商，不得参加同一合同项下的采购活动。</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7.为本项目提供整体设计、规范编制或者项目管理、监理、检测等服务的供应商，不得再参加本次采购活动。</w:t>
      </w:r>
    </w:p>
    <w:p>
      <w:pPr>
        <w:spacing w:line="360" w:lineRule="auto"/>
        <w:rPr>
          <w:rFonts w:ascii="宋体" w:hAnsi="宋体" w:cs="宋体"/>
          <w:color w:val="auto"/>
          <w:szCs w:val="21"/>
          <w:highlight w:val="none"/>
        </w:rPr>
      </w:pPr>
      <w:r>
        <w:rPr>
          <w:rFonts w:hint="eastAsia" w:ascii="宋体" w:hAnsi="宋体" w:cs="宋体"/>
          <w:bCs/>
          <w:color w:val="auto"/>
          <w:szCs w:val="21"/>
          <w:highlight w:val="none"/>
        </w:rPr>
        <w:t>三、获取采购文件</w:t>
      </w:r>
      <w:bookmarkEnd w:id="21"/>
      <w:bookmarkEnd w:id="22"/>
      <w:bookmarkEnd w:id="23"/>
      <w:bookmarkEnd w:id="24"/>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u w:val="single"/>
        </w:rPr>
        <w:t>2022年5月</w:t>
      </w:r>
      <w:r>
        <w:rPr>
          <w:rFonts w:hint="eastAsia" w:ascii="宋体" w:hAnsi="宋体" w:cs="宋体"/>
          <w:bCs/>
          <w:color w:val="auto"/>
          <w:szCs w:val="21"/>
          <w:highlight w:val="none"/>
          <w:u w:val="single"/>
          <w:lang w:val="en-US" w:eastAsia="zh-CN"/>
        </w:rPr>
        <w:t>20</w:t>
      </w:r>
      <w:r>
        <w:rPr>
          <w:rFonts w:hint="eastAsia" w:ascii="宋体" w:hAnsi="宋体" w:cs="宋体"/>
          <w:bCs/>
          <w:color w:val="auto"/>
          <w:szCs w:val="21"/>
          <w:highlight w:val="none"/>
          <w:u w:val="single"/>
        </w:rPr>
        <w:t>日</w:t>
      </w:r>
      <w:r>
        <w:rPr>
          <w:rFonts w:hint="eastAsia" w:ascii="宋体" w:hAnsi="宋体" w:cs="宋体"/>
          <w:color w:val="auto"/>
          <w:szCs w:val="21"/>
          <w:highlight w:val="none"/>
        </w:rPr>
        <w:t>至</w:t>
      </w:r>
      <w:r>
        <w:rPr>
          <w:rFonts w:hint="eastAsia" w:ascii="宋体" w:hAnsi="宋体" w:cs="宋体"/>
          <w:bCs/>
          <w:color w:val="auto"/>
          <w:szCs w:val="21"/>
          <w:highlight w:val="none"/>
          <w:u w:val="single"/>
        </w:rPr>
        <w:t>2022年5月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color w:val="auto"/>
          <w:szCs w:val="21"/>
          <w:highlight w:val="none"/>
        </w:rPr>
        <w:t>止，每天上午8时至12时，下午15时至18时（北京时间，法定节假日除外 ）。</w:t>
      </w:r>
    </w:p>
    <w:p>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lang w:bidi="ar"/>
        </w:rPr>
        <w:t>广西科联招标中心有限公司玉林分公司财务部（玉林市人民东路40-1号 新都香格里拉花园10幢101房</w:t>
      </w:r>
      <w:r>
        <w:rPr>
          <w:rFonts w:hint="eastAsia" w:ascii="宋体" w:hAnsi="宋体" w:cs="宋体"/>
          <w:color w:val="auto"/>
          <w:szCs w:val="21"/>
          <w:highlight w:val="none"/>
        </w:rPr>
        <w:t>。</w:t>
      </w:r>
    </w:p>
    <w:p>
      <w:pPr>
        <w:spacing w:line="360" w:lineRule="auto"/>
        <w:ind w:firstLine="426" w:firstLineChars="202"/>
        <w:rPr>
          <w:rFonts w:ascii="宋体" w:hAnsi="宋体" w:cs="宋体"/>
          <w:b/>
          <w:bCs/>
          <w:color w:val="auto"/>
          <w:szCs w:val="21"/>
          <w:highlight w:val="none"/>
        </w:rPr>
      </w:pPr>
      <w:r>
        <w:rPr>
          <w:rFonts w:hint="eastAsia" w:ascii="宋体" w:hAnsi="宋体" w:cs="宋体"/>
          <w:b/>
          <w:bCs/>
          <w:color w:val="auto"/>
          <w:szCs w:val="21"/>
          <w:highlight w:val="none"/>
        </w:rPr>
        <w:t>方式：</w:t>
      </w:r>
    </w:p>
    <w:p>
      <w:pPr>
        <w:spacing w:line="360" w:lineRule="auto"/>
        <w:ind w:firstLine="426" w:firstLineChars="202"/>
        <w:rPr>
          <w:rFonts w:ascii="宋体" w:hAnsi="宋体" w:cs="宋体"/>
          <w:color w:val="auto"/>
          <w:szCs w:val="21"/>
          <w:highlight w:val="none"/>
        </w:rPr>
      </w:pPr>
      <w:r>
        <w:rPr>
          <w:rFonts w:hint="eastAsia" w:ascii="宋体" w:hAnsi="宋体" w:cs="宋体"/>
          <w:b/>
          <w:color w:val="auto"/>
          <w:szCs w:val="21"/>
          <w:highlight w:val="none"/>
        </w:rPr>
        <w:t>方式一:邮购。</w:t>
      </w:r>
      <w:r>
        <w:rPr>
          <w:rFonts w:hint="eastAsia" w:ascii="宋体" w:hAnsi="宋体" w:cs="宋体"/>
          <w:b w:val="0"/>
          <w:bCs w:val="0"/>
          <w:color w:val="auto"/>
          <w:szCs w:val="21"/>
          <w:highlight w:val="none"/>
          <w:lang w:eastAsia="zh-CN"/>
        </w:rPr>
        <w:t>潜在</w:t>
      </w:r>
      <w:r>
        <w:rPr>
          <w:rFonts w:hint="eastAsia" w:ascii="宋体" w:hAnsi="宋体" w:cs="宋体"/>
          <w:color w:val="auto"/>
          <w:szCs w:val="21"/>
          <w:highlight w:val="none"/>
        </w:rPr>
        <w:t>供应商将项目名称、项目编号、收件人姓名、联系电话、收件地址、开票信息在获取采购文件的时间内发送至指定邮箱：702180875@qq.com（联系电话：吕敏0775-2687688）。供应商报名成功后，采购代理机构将采购文件的电子版发送至供应商报名时的电子邮箱。未按本公告要求提供有效收件人联系方式的，不予办理纸质版采购文件的邮寄手续；因此造成供应商无法按时获取纸质版采购文件的，责任由供应商承担。</w:t>
      </w:r>
    </w:p>
    <w:p>
      <w:pPr>
        <w:spacing w:line="360" w:lineRule="auto"/>
        <w:ind w:firstLine="426" w:firstLineChars="202"/>
        <w:rPr>
          <w:rFonts w:ascii="宋体" w:hAnsi="宋体" w:cs="宋体"/>
          <w:b/>
          <w:color w:val="auto"/>
          <w:szCs w:val="21"/>
          <w:highlight w:val="none"/>
        </w:rPr>
      </w:pPr>
      <w:r>
        <w:rPr>
          <w:rFonts w:hint="eastAsia" w:ascii="宋体" w:hAnsi="宋体" w:cs="宋体"/>
          <w:b/>
          <w:color w:val="auto"/>
          <w:szCs w:val="21"/>
          <w:highlight w:val="none"/>
        </w:rPr>
        <w:t>方式二：现场报名获取（供应商无需携带报名资料）。</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售价：采购文件工本费每本人民币250元，售后不退。如需邮寄采购文件纸质版，每本另加邮费人民币50元。</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【注：供应商须于</w:t>
      </w:r>
      <w:r>
        <w:rPr>
          <w:rFonts w:hint="eastAsia"/>
          <w:color w:val="auto"/>
          <w:highlight w:val="none"/>
        </w:rPr>
        <w:t>获取采购文件截止时间前</w:t>
      </w:r>
      <w:r>
        <w:rPr>
          <w:rFonts w:hint="eastAsia" w:ascii="宋体" w:hAnsi="宋体" w:cs="宋体"/>
          <w:color w:val="auto"/>
          <w:szCs w:val="21"/>
          <w:highlight w:val="none"/>
        </w:rPr>
        <w:t>将工本费、邮费（如需邮寄）汇到广西科联招标中心有限公司指定账户，汇款、转账时请备注项目名称或项目编号信息】。</w:t>
      </w:r>
    </w:p>
    <w:p>
      <w:pPr>
        <w:spacing w:line="360" w:lineRule="auto"/>
        <w:rPr>
          <w:rFonts w:ascii="宋体" w:hAnsi="宋体" w:cs="宋体"/>
          <w:color w:val="auto"/>
          <w:szCs w:val="21"/>
          <w:highlight w:val="none"/>
        </w:rPr>
      </w:pPr>
      <w:bookmarkStart w:id="25" w:name="_Toc28359092"/>
      <w:bookmarkStart w:id="26" w:name="_Toc35393801"/>
      <w:bookmarkStart w:id="27" w:name="_Toc35393632"/>
      <w:bookmarkStart w:id="28" w:name="_Toc28359015"/>
      <w:r>
        <w:rPr>
          <w:rFonts w:hint="eastAsia" w:ascii="宋体" w:hAnsi="宋体" w:cs="宋体"/>
          <w:bCs/>
          <w:color w:val="auto"/>
          <w:szCs w:val="21"/>
          <w:highlight w:val="none"/>
        </w:rPr>
        <w:t>四、响应文件提交</w:t>
      </w:r>
      <w:bookmarkEnd w:id="25"/>
      <w:bookmarkEnd w:id="26"/>
      <w:bookmarkEnd w:id="27"/>
      <w:bookmarkEnd w:id="28"/>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点30分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地点：广西科联招标中心有限公司玉林分公司开标室（玉林市人民东路40-1号 新都香格里拉花园10幢101房），逾期送达的将予以拒收。</w:t>
      </w:r>
      <w:bookmarkStart w:id="29" w:name="_Toc28359016"/>
      <w:bookmarkStart w:id="30" w:name="_Toc28359093"/>
      <w:bookmarkStart w:id="31" w:name="_Toc35393633"/>
      <w:bookmarkStart w:id="32" w:name="_Toc35393802"/>
    </w:p>
    <w:p>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五、开启</w:t>
      </w:r>
      <w:bookmarkEnd w:id="29"/>
      <w:bookmarkEnd w:id="30"/>
      <w:bookmarkEnd w:id="31"/>
      <w:bookmarkEnd w:id="32"/>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点30分</w:t>
      </w:r>
      <w:r>
        <w:rPr>
          <w:rFonts w:hint="eastAsia" w:ascii="宋体" w:hAnsi="宋体" w:cs="宋体"/>
          <w:bCs/>
          <w:color w:val="auto"/>
          <w:szCs w:val="21"/>
          <w:highlight w:val="none"/>
        </w:rPr>
        <w:t>（北京时间）</w:t>
      </w:r>
      <w:r>
        <w:rPr>
          <w:rFonts w:hint="eastAsia"/>
          <w:color w:val="auto"/>
          <w:highlight w:val="none"/>
        </w:rPr>
        <w:t>后</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地点：广西科联招标中心有限公司玉林分公司评标室（玉林市人民东路40-1号 新都香格里拉花园10幢101房）</w:t>
      </w:r>
      <w:bookmarkStart w:id="33" w:name="_Toc35393803"/>
      <w:bookmarkStart w:id="34" w:name="_Toc35393634"/>
      <w:bookmarkStart w:id="35" w:name="_Toc28359094"/>
      <w:bookmarkStart w:id="36" w:name="_Toc28359017"/>
    </w:p>
    <w:p>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六、公告期限</w:t>
      </w:r>
      <w:bookmarkEnd w:id="33"/>
      <w:bookmarkEnd w:id="34"/>
      <w:bookmarkEnd w:id="35"/>
      <w:bookmarkEnd w:id="36"/>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bookmarkStart w:id="37" w:name="_Toc35393804"/>
      <w:bookmarkStart w:id="38" w:name="_Toc35393635"/>
    </w:p>
    <w:p>
      <w:pPr>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七、其他补充事宜</w:t>
      </w:r>
      <w:bookmarkEnd w:id="37"/>
      <w:bookmarkEnd w:id="38"/>
      <w:r>
        <w:rPr>
          <w:rFonts w:hint="eastAsia" w:ascii="宋体" w:hAnsi="宋体" w:cs="宋体"/>
          <w:bCs/>
          <w:color w:val="auto"/>
          <w:szCs w:val="21"/>
          <w:highlight w:val="none"/>
        </w:rPr>
        <w:t>：</w:t>
      </w:r>
    </w:p>
    <w:p>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1.磋商保证金：</w:t>
      </w:r>
      <w:r>
        <w:rPr>
          <w:rFonts w:hint="eastAsia" w:ascii="宋体" w:hAnsi="宋体" w:cs="宋体"/>
          <w:b/>
          <w:color w:val="auto"/>
          <w:szCs w:val="21"/>
          <w:highlight w:val="none"/>
          <w:lang w:val="en-US" w:eastAsia="zh-CN"/>
        </w:rPr>
        <w:t>本项目不收取磋商保证金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购买采购文件的价款及邮费交纳的指定账户：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开户名称：广西科联招标中心有限公司玉林分公司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开户银行：中国建设银行玉林金都支行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银行账号：45050166044200000882</w:t>
      </w:r>
    </w:p>
    <w:p>
      <w:pPr>
        <w:numPr>
          <w:ilvl w:val="0"/>
          <w:numId w:val="0"/>
        </w:num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color w:val="auto"/>
          <w:szCs w:val="21"/>
          <w:highlight w:val="none"/>
        </w:rPr>
        <w:t>磋商时间及地点：于</w:t>
      </w: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color w:val="auto"/>
          <w:szCs w:val="21"/>
          <w:highlight w:val="none"/>
        </w:rPr>
        <w:t>上午9时30分截止后为磋商小组与供应商磋商时间，具体时间由采购代理机构另行通知。地点：广西科联招标中心有限公司玉林分公司开标室（以具体通知为准），参加磋商的法定代表人（负责人）或委托代理人必须持证件（法定代表人（负责人）凭资格证书和身份证或委托代理人凭法人授权委托书原件或复印件和身份证原件）依时到达指定地点等候当面磋商。</w:t>
      </w:r>
    </w:p>
    <w:p>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公告媒体：广西壮族自治区税务局网玉林频道（</w:t>
      </w:r>
      <w:r>
        <w:rPr>
          <w:rFonts w:ascii="宋体" w:hAnsi="宋体" w:cs="宋体"/>
          <w:color w:val="auto"/>
          <w:szCs w:val="21"/>
          <w:highlight w:val="none"/>
        </w:rPr>
        <w:t>http://guangxi.chinatax.gov.cn/yulin/</w:t>
      </w:r>
      <w:r>
        <w:rPr>
          <w:rFonts w:hint="eastAsia" w:ascii="宋体" w:hAnsi="宋体" w:cs="宋体"/>
          <w:color w:val="auto"/>
          <w:szCs w:val="21"/>
          <w:highlight w:val="none"/>
        </w:rPr>
        <w:t>）、广西科联招标中心有限公司网站（www.gxkl.com）。</w:t>
      </w:r>
    </w:p>
    <w:p>
      <w:pPr>
        <w:numPr>
          <w:ilvl w:val="255"/>
          <w:numId w:val="0"/>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本项目预算金额（服务类）：</w:t>
      </w:r>
      <w:r>
        <w:rPr>
          <w:rFonts w:hint="eastAsia" w:ascii="宋体" w:hAnsi="宋体"/>
          <w:color w:val="auto"/>
          <w:kern w:val="10"/>
          <w:szCs w:val="21"/>
          <w:highlight w:val="none"/>
        </w:rPr>
        <w:t>人民币肆拾叁万元整（￥430000.00）</w:t>
      </w:r>
      <w:r>
        <w:rPr>
          <w:rFonts w:hint="eastAsia" w:ascii="宋体" w:hAnsi="宋体" w:cs="宋体"/>
          <w:color w:val="auto"/>
          <w:szCs w:val="21"/>
          <w:highlight w:val="none"/>
        </w:rPr>
        <w:t>，</w:t>
      </w:r>
      <w:r>
        <w:rPr>
          <w:rFonts w:hint="eastAsia" w:ascii="宋体" w:hAnsi="宋体"/>
          <w:color w:val="auto"/>
          <w:kern w:val="10"/>
          <w:szCs w:val="21"/>
          <w:highlight w:val="none"/>
        </w:rPr>
        <w:t>7个月</w:t>
      </w:r>
      <w:r>
        <w:rPr>
          <w:rFonts w:ascii="宋体" w:hAnsi="宋体"/>
          <w:color w:val="auto"/>
          <w:kern w:val="10"/>
          <w:szCs w:val="21"/>
          <w:highlight w:val="none"/>
        </w:rPr>
        <w:t>（具体日期以采购人书面通知为准）</w:t>
      </w:r>
      <w:r>
        <w:rPr>
          <w:rFonts w:hint="eastAsia" w:ascii="宋体" w:hAnsi="宋体"/>
          <w:color w:val="auto"/>
          <w:highlight w:val="none"/>
        </w:rPr>
        <w:t>。</w:t>
      </w:r>
    </w:p>
    <w:p>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本项目为目录外标准下项目。</w:t>
      </w:r>
    </w:p>
    <w:p>
      <w:pPr>
        <w:keepNext/>
        <w:keepLines/>
        <w:spacing w:line="360" w:lineRule="auto"/>
        <w:outlineLvl w:val="1"/>
        <w:rPr>
          <w:rFonts w:ascii="宋体" w:hAnsi="宋体" w:cs="宋体"/>
          <w:bCs/>
          <w:color w:val="auto"/>
          <w:szCs w:val="21"/>
          <w:highlight w:val="none"/>
        </w:rPr>
      </w:pPr>
      <w:bookmarkStart w:id="39" w:name="_Toc35393805"/>
      <w:bookmarkStart w:id="40" w:name="_Toc25751"/>
      <w:bookmarkStart w:id="41" w:name="_Toc35393636"/>
      <w:bookmarkStart w:id="42" w:name="_Toc28359018"/>
      <w:bookmarkStart w:id="43" w:name="_Toc28359095"/>
      <w:bookmarkStart w:id="44" w:name="_Toc46761414"/>
      <w:bookmarkStart w:id="45" w:name="_Toc2189"/>
      <w:bookmarkStart w:id="46" w:name="_Toc31918"/>
      <w:bookmarkStart w:id="47" w:name="_Toc13006"/>
      <w:r>
        <w:rPr>
          <w:rFonts w:hint="eastAsia" w:ascii="宋体" w:hAnsi="宋体" w:cs="宋体"/>
          <w:bCs/>
          <w:color w:val="auto"/>
          <w:szCs w:val="21"/>
          <w:highlight w:val="none"/>
        </w:rPr>
        <w:t>八、凡对本次采购提出询问，请按以下方式联系。</w:t>
      </w:r>
      <w:bookmarkEnd w:id="39"/>
      <w:bookmarkEnd w:id="40"/>
      <w:bookmarkEnd w:id="41"/>
      <w:bookmarkEnd w:id="42"/>
      <w:bookmarkEnd w:id="43"/>
      <w:bookmarkEnd w:id="44"/>
      <w:bookmarkEnd w:id="45"/>
      <w:bookmarkEnd w:id="46"/>
      <w:bookmarkEnd w:id="47"/>
    </w:p>
    <w:p>
      <w:pPr>
        <w:keepNext/>
        <w:keepLines/>
        <w:spacing w:line="360" w:lineRule="auto"/>
        <w:ind w:firstLine="420" w:firstLineChars="200"/>
        <w:outlineLvl w:val="1"/>
        <w:rPr>
          <w:rFonts w:ascii="宋体" w:hAnsi="宋体" w:cs="宋体"/>
          <w:bCs/>
          <w:color w:val="auto"/>
          <w:szCs w:val="21"/>
          <w:highlight w:val="none"/>
        </w:rPr>
      </w:pPr>
      <w:bookmarkStart w:id="48" w:name="_Toc28796"/>
      <w:bookmarkStart w:id="49" w:name="_Toc23929"/>
      <w:bookmarkStart w:id="50" w:name="_Toc3754"/>
      <w:bookmarkStart w:id="51" w:name="_Toc35393806"/>
      <w:bookmarkStart w:id="52" w:name="_Toc46761415"/>
      <w:bookmarkStart w:id="53" w:name="_Toc28359019"/>
      <w:bookmarkStart w:id="54" w:name="_Toc28359096"/>
      <w:bookmarkStart w:id="55" w:name="_Toc35393637"/>
      <w:bookmarkStart w:id="56" w:name="_Toc15710"/>
      <w:r>
        <w:rPr>
          <w:rFonts w:hint="eastAsia" w:ascii="宋体" w:hAnsi="宋体" w:cs="宋体"/>
          <w:bCs/>
          <w:color w:val="auto"/>
          <w:szCs w:val="21"/>
          <w:highlight w:val="none"/>
        </w:rPr>
        <w:t>1.采购人信息</w:t>
      </w:r>
      <w:bookmarkEnd w:id="48"/>
      <w:bookmarkEnd w:id="49"/>
      <w:bookmarkEnd w:id="50"/>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olor w:val="auto"/>
          <w:highlight w:val="none"/>
        </w:rPr>
        <w:t>国家税务总局玉林市经济开发区税务局</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r>
        <w:rPr>
          <w:rFonts w:ascii="宋体" w:hAnsi="宋体"/>
          <w:color w:val="auto"/>
          <w:szCs w:val="21"/>
          <w:highlight w:val="none"/>
        </w:rPr>
        <w:t>玉林市胜利东路</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联系方式：刘冬坚 </w:t>
      </w:r>
      <w:r>
        <w:rPr>
          <w:rFonts w:hint="eastAsia" w:ascii="宋体" w:hAnsi="宋体"/>
          <w:color w:val="auto"/>
          <w:highlight w:val="none"/>
        </w:rPr>
        <w:t>0775-2303276</w:t>
      </w:r>
      <w:r>
        <w:rPr>
          <w:rFonts w:hint="eastAsia" w:ascii="宋体" w:hAnsi="宋体" w:cs="宋体"/>
          <w:color w:val="auto"/>
          <w:szCs w:val="21"/>
          <w:highlight w:val="none"/>
        </w:rPr>
        <w:t xml:space="preserve">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称：广西科联招标中心有限公司</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址：玉林市人民东路40-1号 新都香格里拉花园10幢101房</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联系方式：吕敏   电话： 0775-2687688</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项目联系人：吕敏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电话：0775-2687688</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保证金退付联系电话： 0775-2690577  （财务）</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    真：0775-2697298</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邮    编：537000</w:t>
      </w:r>
    </w:p>
    <w:p>
      <w:pPr>
        <w:pStyle w:val="2"/>
        <w:ind w:firstLine="420" w:firstLineChars="200"/>
        <w:rPr>
          <w:rFonts w:ascii="宋体" w:hAnsi="宋体" w:cs="宋体"/>
          <w:color w:val="auto"/>
          <w:szCs w:val="21"/>
          <w:highlight w:val="none"/>
        </w:rPr>
      </w:pPr>
      <w:r>
        <w:rPr>
          <w:rFonts w:hint="eastAsia" w:ascii="宋体" w:hAnsi="宋体" w:cs="宋体"/>
          <w:color w:val="auto"/>
          <w:szCs w:val="21"/>
          <w:highlight w:val="none"/>
        </w:rPr>
        <w:t>地    址：玉林市人民东路40-1号 新都香格里拉花园10幢101房</w:t>
      </w:r>
      <w:bookmarkEnd w:id="51"/>
      <w:bookmarkEnd w:id="52"/>
      <w:bookmarkEnd w:id="53"/>
      <w:bookmarkEnd w:id="54"/>
      <w:bookmarkEnd w:id="55"/>
      <w:bookmarkEnd w:id="56"/>
    </w:p>
    <w:p>
      <w:pPr>
        <w:pStyle w:val="3"/>
        <w:rPr>
          <w:color w:val="auto"/>
          <w:highlight w:val="none"/>
        </w:rPr>
      </w:pPr>
    </w:p>
    <w:p>
      <w:pPr>
        <w:snapToGrid w:val="0"/>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                                           采购代理机构：广西科联招标中心有限公司</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2022年5月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pPr>
        <w:spacing w:line="40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57" w:name="_Toc31183"/>
      <w:bookmarkStart w:id="58" w:name="_Toc32189"/>
      <w:bookmarkStart w:id="59" w:name="_Toc25119"/>
      <w:r>
        <w:rPr>
          <w:rFonts w:hint="eastAsia" w:ascii="宋体" w:hAnsi="宋体" w:cs="宋体"/>
          <w:b/>
          <w:color w:val="auto"/>
          <w:sz w:val="28"/>
          <w:szCs w:val="28"/>
          <w:highlight w:val="none"/>
        </w:rPr>
        <w:t>第二章 磋商须知</w:t>
      </w:r>
      <w:bookmarkEnd w:id="57"/>
      <w:bookmarkEnd w:id="58"/>
      <w:bookmarkEnd w:id="59"/>
    </w:p>
    <w:p>
      <w:pPr>
        <w:keepNext/>
        <w:keepLines/>
        <w:spacing w:before="340" w:after="330" w:line="578" w:lineRule="auto"/>
        <w:jc w:val="center"/>
        <w:outlineLvl w:val="0"/>
        <w:rPr>
          <w:rFonts w:ascii="宋体" w:hAnsi="宋体" w:cs="宋体"/>
          <w:b/>
          <w:color w:val="auto"/>
          <w:kern w:val="44"/>
          <w:sz w:val="28"/>
          <w:szCs w:val="28"/>
          <w:highlight w:val="none"/>
        </w:rPr>
      </w:pPr>
      <w:bookmarkStart w:id="60" w:name="_Toc12448"/>
      <w:bookmarkStart w:id="61" w:name="_Toc1828"/>
      <w:bookmarkStart w:id="62" w:name="_Toc2147"/>
      <w:bookmarkStart w:id="63" w:name="_Toc46761420"/>
      <w:bookmarkStart w:id="64" w:name="_Toc18991"/>
      <w:bookmarkStart w:id="65" w:name="_Toc3570431"/>
      <w:r>
        <w:rPr>
          <w:rFonts w:hint="eastAsia" w:ascii="宋体" w:hAnsi="宋体" w:cs="宋体"/>
          <w:b/>
          <w:color w:val="auto"/>
          <w:kern w:val="44"/>
          <w:sz w:val="28"/>
          <w:szCs w:val="28"/>
          <w:highlight w:val="none"/>
        </w:rPr>
        <w:t>磋商须知前附表</w:t>
      </w:r>
      <w:bookmarkEnd w:id="60"/>
      <w:bookmarkEnd w:id="61"/>
      <w:bookmarkEnd w:id="62"/>
      <w:bookmarkEnd w:id="63"/>
      <w:bookmarkEnd w:id="64"/>
    </w:p>
    <w:tbl>
      <w:tblPr>
        <w:tblStyle w:val="4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35"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6057" w:type="dxa"/>
            <w:gridSpan w:val="2"/>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采购项目</w:t>
            </w:r>
          </w:p>
        </w:tc>
        <w:tc>
          <w:tcPr>
            <w:tcW w:w="6057" w:type="dxa"/>
            <w:gridSpan w:val="2"/>
            <w:vAlign w:val="center"/>
          </w:tcPr>
          <w:p>
            <w:pPr>
              <w:spacing w:line="380" w:lineRule="exact"/>
              <w:jc w:val="left"/>
              <w:rPr>
                <w:rFonts w:ascii="宋体" w:hAnsi="宋体" w:cs="宋体"/>
                <w:color w:val="auto"/>
                <w:szCs w:val="21"/>
                <w:highlight w:val="none"/>
              </w:rPr>
            </w:pPr>
            <w:r>
              <w:rPr>
                <w:rFonts w:hint="eastAsia" w:ascii="宋体" w:hAnsi="宋体" w:cs="宋体"/>
                <w:color w:val="auto"/>
                <w:kern w:val="0"/>
                <w:szCs w:val="21"/>
                <w:highlight w:val="none"/>
              </w:rPr>
              <w:t>项目名称：国家税务总局玉林市经济开发区税务局办税服务厅非执法类辅助性服务</w:t>
            </w:r>
            <w:r>
              <w:rPr>
                <w:rFonts w:hint="eastAsia" w:ascii="宋体" w:hAnsi="宋体" w:cs="宋体"/>
                <w:color w:val="auto"/>
                <w:szCs w:val="21"/>
                <w:highlight w:val="none"/>
              </w:rPr>
              <w:t xml:space="preserve"> </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项目编号：</w:t>
            </w:r>
            <w:r>
              <w:rPr>
                <w:rFonts w:hint="eastAsia" w:ascii="宋体" w:hAnsi="宋体" w:cs="宋体"/>
                <w:color w:val="auto"/>
                <w:szCs w:val="21"/>
                <w:highlight w:val="none"/>
              </w:rPr>
              <w:t>KLYLCS202224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highlight w:val="none"/>
              </w:rPr>
            </w:pP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olor w:val="auto"/>
                <w:kern w:val="10"/>
                <w:szCs w:val="21"/>
                <w:highlight w:val="none"/>
              </w:rPr>
              <w:t>人民币肆拾叁万元整（￥430000.00）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highlight w:val="none"/>
              </w:rPr>
            </w:pPr>
          </w:p>
        </w:tc>
        <w:tc>
          <w:tcPr>
            <w:tcW w:w="1735" w:type="dxa"/>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本项目设定的最高限价</w:t>
            </w:r>
          </w:p>
        </w:tc>
        <w:tc>
          <w:tcPr>
            <w:tcW w:w="6057" w:type="dxa"/>
            <w:gridSpan w:val="2"/>
          </w:tcPr>
          <w:p>
            <w:pPr>
              <w:spacing w:after="60"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zh-TW"/>
              </w:rPr>
              <w:t>□无</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有，</w:t>
            </w:r>
            <w:r>
              <w:rPr>
                <w:rFonts w:hint="eastAsia" w:ascii="宋体" w:hAnsi="宋体"/>
                <w:color w:val="auto"/>
                <w:kern w:val="10"/>
                <w:szCs w:val="21"/>
                <w:highlight w:val="none"/>
              </w:rPr>
              <w:t>人民币肆拾叁万元整（￥430000.00）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highlight w:val="none"/>
              </w:rPr>
            </w:pPr>
          </w:p>
        </w:tc>
        <w:tc>
          <w:tcPr>
            <w:tcW w:w="1735" w:type="dxa"/>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核心产品</w:t>
            </w:r>
          </w:p>
        </w:tc>
        <w:tc>
          <w:tcPr>
            <w:tcW w:w="6057" w:type="dxa"/>
            <w:gridSpan w:val="2"/>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highlight w:val="none"/>
              </w:rPr>
            </w:pP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公告媒体</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广西壮族自治区税务局网玉林频道（</w:t>
            </w:r>
            <w:r>
              <w:rPr>
                <w:rFonts w:ascii="宋体" w:hAnsi="宋体" w:cs="宋体"/>
                <w:color w:val="auto"/>
                <w:szCs w:val="21"/>
                <w:highlight w:val="none"/>
              </w:rPr>
              <w:t>http://guangxi.chinatax.gov.cn/yulin/</w:t>
            </w:r>
            <w:r>
              <w:rPr>
                <w:rFonts w:hint="eastAsia" w:ascii="宋体" w:hAnsi="宋体" w:cs="宋体"/>
                <w:color w:val="auto"/>
                <w:szCs w:val="21"/>
                <w:highlight w:val="none"/>
              </w:rPr>
              <w:t>）、广西科联招标中心有限公司网站（www.gxkl.com）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6057" w:type="dxa"/>
            <w:gridSpan w:val="2"/>
            <w:vAlign w:val="center"/>
          </w:tcPr>
          <w:p>
            <w:pPr>
              <w:spacing w:line="350" w:lineRule="exact"/>
              <w:jc w:val="left"/>
              <w:rPr>
                <w:rFonts w:ascii="宋体" w:hAnsi="宋体" w:cs="宋体"/>
                <w:color w:val="auto"/>
                <w:szCs w:val="21"/>
                <w:highlight w:val="none"/>
              </w:rPr>
            </w:pPr>
            <w:r>
              <w:rPr>
                <w:rFonts w:hint="eastAsia" w:ascii="宋体" w:hAnsi="宋体" w:cs="宋体"/>
                <w:color w:val="auto"/>
                <w:szCs w:val="21"/>
                <w:highlight w:val="none"/>
              </w:rPr>
              <w:t>名称：国家税务总局玉林市经济开发区税务局</w:t>
            </w:r>
          </w:p>
          <w:p>
            <w:pPr>
              <w:spacing w:line="350" w:lineRule="exact"/>
              <w:jc w:val="left"/>
              <w:rPr>
                <w:rFonts w:ascii="宋体" w:hAnsi="宋体" w:cs="宋体"/>
                <w:color w:val="auto"/>
                <w:szCs w:val="21"/>
                <w:highlight w:val="none"/>
              </w:rPr>
            </w:pPr>
            <w:r>
              <w:rPr>
                <w:rFonts w:hint="eastAsia" w:ascii="宋体" w:hAnsi="宋体" w:cs="宋体"/>
                <w:color w:val="auto"/>
                <w:szCs w:val="21"/>
                <w:highlight w:val="none"/>
              </w:rPr>
              <w:t>地址：</w:t>
            </w:r>
            <w:r>
              <w:rPr>
                <w:rFonts w:ascii="宋体" w:hAnsi="宋体"/>
                <w:color w:val="auto"/>
                <w:szCs w:val="21"/>
                <w:highlight w:val="none"/>
              </w:rPr>
              <w:t>玉林市胜利东路</w:t>
            </w:r>
          </w:p>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联系人：</w:t>
            </w:r>
            <w:r>
              <w:rPr>
                <w:rFonts w:hint="eastAsia" w:ascii="宋体" w:hAnsi="宋体"/>
                <w:color w:val="auto"/>
                <w:highlight w:val="none"/>
              </w:rPr>
              <w:t>刘冬坚  电话:0775-2303276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p>
        </w:tc>
        <w:tc>
          <w:tcPr>
            <w:tcW w:w="6057" w:type="dxa"/>
            <w:gridSpan w:val="2"/>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名称：广西科联招标中心有限公司</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地址：玉林市人民东路40-1号 新都香格里拉花园10幢101房</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项目联系人：吕敏    电话：0775-2687688</w:t>
            </w:r>
          </w:p>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保证金退付联系电话： 0775-2690577  （财务）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供应商资格条件</w:t>
            </w:r>
            <w:r>
              <w:rPr>
                <w:rFonts w:hint="eastAsia"/>
                <w:color w:val="auto"/>
                <w:highlight w:val="none"/>
              </w:rPr>
              <w:t>（必须同时具备）</w:t>
            </w:r>
          </w:p>
        </w:tc>
        <w:tc>
          <w:tcPr>
            <w:tcW w:w="6057" w:type="dxa"/>
            <w:gridSpan w:val="2"/>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80" w:lineRule="exact"/>
              <w:ind w:firstLine="420" w:firstLineChars="200"/>
              <w:rPr>
                <w:color w:val="auto"/>
                <w:highlight w:val="none"/>
              </w:rPr>
            </w:pPr>
            <w:r>
              <w:rPr>
                <w:rFonts w:hint="eastAsia" w:ascii="宋体" w:hAnsi="宋体" w:cs="宋体"/>
                <w:color w:val="auto"/>
                <w:szCs w:val="21"/>
                <w:highlight w:val="none"/>
              </w:rPr>
              <w:t>1.供应商参加本采购活动应当具备下列条件</w:t>
            </w:r>
            <w:r>
              <w:rPr>
                <w:rFonts w:hint="eastAsia"/>
                <w:color w:val="auto"/>
                <w:highlight w:val="none"/>
              </w:rPr>
              <w:t>：</w:t>
            </w:r>
          </w:p>
          <w:p>
            <w:pPr>
              <w:spacing w:line="3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（一）具有独立承担民事责任的能力；</w:t>
            </w:r>
          </w:p>
          <w:p>
            <w:pPr>
              <w:spacing w:line="3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（二）具有良好的商业信誉和健全的财务会计制度；</w:t>
            </w:r>
          </w:p>
          <w:p>
            <w:pPr>
              <w:spacing w:line="3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（三）具有履行合同所必需的设备和专业技术能力；</w:t>
            </w:r>
          </w:p>
          <w:p>
            <w:pPr>
              <w:spacing w:line="3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（四）有依法缴纳税收和社会保障资金的良好记录；</w:t>
            </w:r>
          </w:p>
          <w:p>
            <w:pPr>
              <w:spacing w:line="3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（五）参加采购活动前三年内，在经营活动中没有重大违法记录；</w:t>
            </w:r>
          </w:p>
          <w:p>
            <w:pPr>
              <w:spacing w:line="3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（六）法律、行政法规规定的其他条件。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Cs w:val="21"/>
                <w:highlight w:val="none"/>
              </w:rPr>
              <w:t>。</w:t>
            </w:r>
            <w:r>
              <w:rPr>
                <w:rFonts w:hint="eastAsia"/>
                <w:color w:val="auto"/>
                <w:highlight w:val="none"/>
              </w:rPr>
              <w:t>本项目采购标的对应的中小企业划分标准所属行业为</w:t>
            </w:r>
            <w:r>
              <w:rPr>
                <w:rFonts w:ascii="宋体" w:hAnsi="宋体" w:cs="宋体"/>
                <w:color w:val="auto"/>
                <w:highlight w:val="none"/>
              </w:rPr>
              <w:t>其他未列明行业</w:t>
            </w:r>
            <w:r>
              <w:rPr>
                <w:rFonts w:hint="eastAsia"/>
                <w:color w:val="auto"/>
                <w:highlight w:val="none"/>
              </w:rPr>
              <w:t>。</w:t>
            </w:r>
          </w:p>
          <w:p>
            <w:pPr>
              <w:pStyle w:val="2"/>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pStyle w:val="2"/>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4.本项目由符合国家有关法律法规规定、同时满足本项目资质要求、在中国境内注册的合格供应商参加磋商。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5.不存在不良信用记录（在“信用中国”网站(www.creditchina.gov.cn)、中国政府采购网(www.ccgp.gov.cn)等渠道查询</w:t>
            </w:r>
            <w:r>
              <w:rPr>
                <w:rFonts w:ascii="宋体" w:hAnsi="宋体" w:cs="宋体"/>
                <w:color w:val="auto"/>
                <w:kern w:val="0"/>
                <w:szCs w:val="21"/>
                <w:highlight w:val="none"/>
              </w:rPr>
              <w:t>对列入失信被执行人、重大税收违法案件当事人名单、政府采购严重违法失信行为记录名单</w:t>
            </w:r>
            <w:r>
              <w:rPr>
                <w:rFonts w:hint="eastAsia" w:ascii="宋体" w:hAnsi="宋体" w:cs="宋体"/>
                <w:color w:val="auto"/>
                <w:kern w:val="0"/>
                <w:szCs w:val="21"/>
                <w:highlight w:val="none"/>
              </w:rPr>
              <w:t>的供应商</w:t>
            </w:r>
            <w:r>
              <w:rPr>
                <w:rFonts w:ascii="宋体" w:hAnsi="宋体" w:cs="宋体"/>
                <w:color w:val="auto"/>
                <w:kern w:val="0"/>
                <w:szCs w:val="21"/>
                <w:highlight w:val="none"/>
              </w:rPr>
              <w:t>，应当拒绝其参与</w:t>
            </w:r>
            <w:r>
              <w:rPr>
                <w:rFonts w:hint="eastAsia" w:ascii="宋体" w:hAnsi="宋体" w:cs="宋体"/>
                <w:color w:val="auto"/>
                <w:kern w:val="0"/>
                <w:szCs w:val="21"/>
                <w:highlight w:val="none"/>
              </w:rPr>
              <w:t>本次</w:t>
            </w:r>
            <w:r>
              <w:rPr>
                <w:rFonts w:ascii="宋体" w:hAnsi="宋体" w:cs="宋体"/>
                <w:color w:val="auto"/>
                <w:kern w:val="0"/>
                <w:szCs w:val="21"/>
                <w:highlight w:val="none"/>
              </w:rPr>
              <w:t>采购活动</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6.单位负责人为同一人或者存在直接控股、管理关系的不同供应商，不得参加同一合同项下的采购活动。</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项目现场勘察</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不组织</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□组织：____________________</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1.时间：____________________</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2.地点：____________________</w:t>
            </w:r>
          </w:p>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样品</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不要求提供</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□要求提供 </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样品制作的标准和要求：</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样品检测报告：（□否；□是，检测机构的要求、检测内容详见第六章 项目采购需求）</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联合体</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不接受</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spacing w:line="380" w:lineRule="exact"/>
              <w:jc w:val="center"/>
              <w:rPr>
                <w:rFonts w:ascii="宋体" w:hAnsi="宋体" w:cs="宋体"/>
                <w:color w:val="auto"/>
                <w:kern w:val="0"/>
                <w:szCs w:val="21"/>
                <w:highlight w:val="none"/>
              </w:rPr>
            </w:pPr>
          </w:p>
        </w:tc>
        <w:tc>
          <w:tcPr>
            <w:tcW w:w="1735" w:type="dxa"/>
          </w:tcPr>
          <w:p>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lang w:val="zh-TW"/>
              </w:rPr>
              <w:t>分包</w:t>
            </w:r>
          </w:p>
        </w:tc>
        <w:tc>
          <w:tcPr>
            <w:tcW w:w="6057" w:type="dxa"/>
            <w:gridSpan w:val="2"/>
          </w:tcPr>
          <w:p>
            <w:pPr>
              <w:spacing w:line="380" w:lineRule="exact"/>
              <w:ind w:left="80"/>
              <w:jc w:val="left"/>
              <w:rPr>
                <w:color w:val="auto"/>
                <w:highlight w:val="none"/>
              </w:rPr>
            </w:pPr>
            <w:r>
              <w:rPr>
                <w:rFonts w:hint="eastAsia"/>
                <w:color w:val="auto"/>
                <w:highlight w:val="none"/>
              </w:rPr>
              <w:t xml:space="preserve">☑ </w:t>
            </w:r>
            <w:r>
              <w:rPr>
                <w:rFonts w:hint="eastAsia"/>
                <w:color w:val="auto"/>
                <w:highlight w:val="none"/>
                <w:lang w:val="zh-TW"/>
              </w:rPr>
              <w:t>不接受</w:t>
            </w:r>
          </w:p>
          <w:p>
            <w:pPr>
              <w:spacing w:line="380" w:lineRule="exact"/>
              <w:ind w:left="80"/>
              <w:jc w:val="left"/>
              <w:rPr>
                <w:color w:val="auto"/>
                <w:highlight w:val="none"/>
                <w:lang w:val="zh-TW"/>
              </w:rPr>
            </w:pPr>
            <w:r>
              <w:rPr>
                <w:rFonts w:hint="eastAsia"/>
                <w:color w:val="auto"/>
                <w:highlight w:val="none"/>
              </w:rPr>
              <w:t>□</w:t>
            </w:r>
            <w:r>
              <w:rPr>
                <w:rFonts w:hint="eastAsia"/>
                <w:color w:val="auto"/>
                <w:highlight w:val="none"/>
                <w:lang w:val="zh-TW"/>
              </w:rPr>
              <w:t>接受：分包要求详见第六章项目采购需求</w:t>
            </w:r>
          </w:p>
          <w:p>
            <w:pPr>
              <w:pStyle w:val="3"/>
              <w:rPr>
                <w:color w:val="auto"/>
                <w:highlight w:val="none"/>
              </w:rPr>
            </w:pPr>
            <w:bookmarkStart w:id="66" w:name="_Toc19453"/>
            <w:bookmarkStart w:id="67" w:name="_Toc17448"/>
            <w:bookmarkStart w:id="68" w:name="_Toc15285"/>
            <w:r>
              <w:rPr>
                <w:rFonts w:hint="eastAsia" w:ascii="宋体" w:hAnsi="宋体" w:eastAsia="宋体" w:cs="宋体"/>
                <w:b w:val="0"/>
                <w:bCs/>
                <w:color w:val="auto"/>
                <w:szCs w:val="21"/>
                <w:highlight w:val="none"/>
                <w:u w:val="single"/>
              </w:rPr>
              <w:t>注：享受扶持政策获得采购合同的，小微企业不得将合同分包给大中型企业，中型企业不得将合同分包给大型企业。</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735" w:type="dxa"/>
            <w:vAlign w:val="center"/>
          </w:tcPr>
          <w:p>
            <w:pPr>
              <w:pStyle w:val="20"/>
              <w:spacing w:line="380" w:lineRule="exact"/>
              <w:jc w:val="left"/>
              <w:rPr>
                <w:rFonts w:hAnsi="宋体" w:cs="宋体"/>
                <w:color w:val="auto"/>
                <w:sz w:val="21"/>
                <w:szCs w:val="21"/>
                <w:highlight w:val="none"/>
                <w:lang w:val="zh-TW"/>
              </w:rPr>
            </w:pPr>
            <w:r>
              <w:rPr>
                <w:rFonts w:hint="eastAsia" w:hAnsi="宋体" w:cs="宋体"/>
                <w:color w:val="auto"/>
                <w:sz w:val="21"/>
                <w:szCs w:val="21"/>
                <w:highlight w:val="none"/>
                <w:lang w:val="zh-TW"/>
              </w:rPr>
              <w:t>支持中小企业发展</w:t>
            </w:r>
          </w:p>
        </w:tc>
        <w:tc>
          <w:tcPr>
            <w:tcW w:w="6057" w:type="dxa"/>
            <w:gridSpan w:val="2"/>
            <w:vAlign w:val="center"/>
          </w:tcPr>
          <w:p>
            <w:pPr>
              <w:pStyle w:val="20"/>
              <w:spacing w:line="380" w:lineRule="exact"/>
              <w:jc w:val="left"/>
              <w:rPr>
                <w:rFonts w:hAnsi="宋体" w:cs="宋体"/>
                <w:color w:val="auto"/>
                <w:sz w:val="21"/>
                <w:szCs w:val="21"/>
                <w:highlight w:val="none"/>
                <w:lang w:val="zh-TW"/>
              </w:rPr>
            </w:pPr>
            <w:r>
              <w:rPr>
                <w:rFonts w:hint="eastAsia" w:hAnsi="宋体" w:cs="宋体"/>
                <w:color w:val="auto"/>
                <w:sz w:val="21"/>
                <w:szCs w:val="21"/>
                <w:highlight w:val="none"/>
                <w:lang w:val="zh-TW"/>
              </w:rPr>
              <w:t>☑ 专门面向中小企业采购项目</w:t>
            </w:r>
          </w:p>
          <w:p>
            <w:pPr>
              <w:pStyle w:val="20"/>
              <w:spacing w:line="330" w:lineRule="exact"/>
              <w:jc w:val="left"/>
              <w:rPr>
                <w:rFonts w:hAnsi="宋体" w:cs="宋体"/>
                <w:color w:val="auto"/>
                <w:kern w:val="2"/>
                <w:sz w:val="21"/>
                <w:szCs w:val="21"/>
                <w:highlight w:val="none"/>
              </w:rPr>
            </w:pPr>
            <w:r>
              <w:rPr>
                <w:rFonts w:hint="eastAsia" w:hAnsi="宋体" w:cs="宋体"/>
                <w:color w:val="auto"/>
                <w:kern w:val="2"/>
                <w:sz w:val="21"/>
                <w:szCs w:val="21"/>
                <w:highlight w:val="none"/>
              </w:rPr>
              <w:t>本项目为专门面对中小企业项目，小微企业、监狱企业、残疾人福利性单位不再执行价格评审优惠的扶持政策。</w:t>
            </w:r>
          </w:p>
          <w:p>
            <w:pPr>
              <w:pStyle w:val="20"/>
              <w:spacing w:line="380" w:lineRule="exact"/>
              <w:jc w:val="left"/>
              <w:rPr>
                <w:rFonts w:hAnsi="宋体" w:cs="宋体"/>
                <w:color w:val="auto"/>
                <w:sz w:val="21"/>
                <w:szCs w:val="21"/>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其他规定</w:t>
            </w:r>
          </w:p>
        </w:tc>
        <w:tc>
          <w:tcPr>
            <w:tcW w:w="6057" w:type="dxa"/>
            <w:gridSpan w:val="2"/>
            <w:vAlign w:val="center"/>
          </w:tcPr>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供应商须提供的其他资料</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highlight w:val="none"/>
              </w:rPr>
              <w:t>供应商应根据采购文件和项目采购需求提供相关资料。</w:t>
            </w:r>
            <w:r>
              <w:rPr>
                <w:rFonts w:hint="eastAsia" w:ascii="宋体" w:hAnsi="宋体" w:cs="宋体"/>
                <w:color w:val="auto"/>
                <w:highlight w:val="none"/>
                <w:u w:val="single"/>
              </w:rPr>
              <w:t>除采购文件要求必要的原件核对外，对于供应商能够在线提供的材料，供应商可不提供纸质材料。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澄清或者修改时间</w:t>
            </w:r>
          </w:p>
        </w:tc>
        <w:tc>
          <w:tcPr>
            <w:tcW w:w="6057" w:type="dxa"/>
            <w:gridSpan w:val="2"/>
            <w:vAlign w:val="center"/>
          </w:tcPr>
          <w:p>
            <w:pPr>
              <w:spacing w:line="380" w:lineRule="exact"/>
              <w:jc w:val="left"/>
              <w:rPr>
                <w:rFonts w:ascii="宋体" w:hAnsi="宋体" w:cs="宋体"/>
                <w:color w:val="auto"/>
                <w:highlight w:val="none"/>
              </w:rPr>
            </w:pPr>
            <w:r>
              <w:rPr>
                <w:rFonts w:hint="eastAsia" w:ascii="宋体" w:hAnsi="宋体" w:cs="宋体"/>
                <w:color w:val="auto"/>
                <w:highlight w:val="none"/>
              </w:rPr>
              <w:t>澄清或者修改的内容可能影响响应文件编制的，采购人或者采购代理机构磋商文件要求的提交首次响应文件截止时间至少2个工作日前，在磋商公告发布媒介上发布；不足2个工作日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递交磋商响应文件的截止时间和地点</w:t>
            </w:r>
          </w:p>
        </w:tc>
        <w:tc>
          <w:tcPr>
            <w:tcW w:w="6057" w:type="dxa"/>
            <w:gridSpan w:val="2"/>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点30分</w:t>
            </w:r>
            <w:r>
              <w:rPr>
                <w:rFonts w:hint="eastAsia" w:ascii="宋体" w:hAnsi="宋体" w:cs="宋体"/>
                <w:color w:val="auto"/>
                <w:szCs w:val="21"/>
                <w:highlight w:val="none"/>
              </w:rPr>
              <w:t>(北京时间)</w:t>
            </w:r>
          </w:p>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地点：广西科联招标中心有限公司玉林分公司开标室（玉林市人民东路40-1号 新都香格里拉花园10幢101房）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磋商响应文件开启时间和地点</w:t>
            </w:r>
          </w:p>
        </w:tc>
        <w:tc>
          <w:tcPr>
            <w:tcW w:w="6057" w:type="dxa"/>
            <w:gridSpan w:val="2"/>
            <w:vAlign w:val="center"/>
          </w:tcPr>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点30分</w:t>
            </w:r>
            <w:r>
              <w:rPr>
                <w:rFonts w:hint="eastAsia" w:ascii="宋体" w:hAnsi="宋体" w:cs="宋体"/>
                <w:color w:val="auto"/>
                <w:szCs w:val="21"/>
                <w:highlight w:val="none"/>
              </w:rPr>
              <w:t>(北京时间)后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地点：广西科联招标中心有限公司玉林分公司评标室（玉林市人民东路40-1号 新都香格里拉花园10幢101房）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磋商保证金</w:t>
            </w:r>
          </w:p>
        </w:tc>
        <w:tc>
          <w:tcPr>
            <w:tcW w:w="6057" w:type="dxa"/>
            <w:gridSpan w:val="2"/>
            <w:vAlign w:val="center"/>
          </w:tcPr>
          <w:p>
            <w:pPr>
              <w:autoSpaceDE/>
              <w:autoSpaceDN/>
              <w:snapToGrid/>
              <w:spacing w:line="380" w:lineRule="exact"/>
              <w:jc w:val="left"/>
              <w:textAlignment w:val="auto"/>
              <w:rPr>
                <w:rFonts w:ascii="宋体" w:hAnsi="宋体" w:cs="宋体"/>
                <w:color w:val="auto"/>
                <w:szCs w:val="21"/>
                <w:highlight w:val="none"/>
              </w:rPr>
            </w:pPr>
            <w:r>
              <w:rPr>
                <w:rFonts w:hint="eastAsia" w:ascii="宋体" w:hAnsi="宋体" w:cs="宋体"/>
                <w:color w:val="auto"/>
                <w:kern w:val="0"/>
                <w:szCs w:val="21"/>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磋商响应有效期</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自</w:t>
            </w:r>
            <w:r>
              <w:rPr>
                <w:rFonts w:hint="eastAsia"/>
                <w:color w:val="auto"/>
                <w:highlight w:val="none"/>
              </w:rPr>
              <w:t>首次</w:t>
            </w:r>
            <w:r>
              <w:rPr>
                <w:rFonts w:hint="eastAsia" w:ascii="宋体" w:hAnsi="宋体" w:cs="宋体"/>
                <w:color w:val="auto"/>
                <w:kern w:val="0"/>
                <w:szCs w:val="21"/>
                <w:highlight w:val="none"/>
              </w:rPr>
              <w:t>响应文件提交截止时间</w:t>
            </w:r>
            <w:r>
              <w:rPr>
                <w:rFonts w:hint="eastAsia"/>
                <w:color w:val="auto"/>
                <w:highlight w:val="none"/>
              </w:rPr>
              <w:t>之日</w:t>
            </w:r>
            <w:r>
              <w:rPr>
                <w:rFonts w:hint="eastAsia" w:ascii="宋体" w:hAnsi="宋体" w:cs="宋体"/>
                <w:color w:val="auto"/>
                <w:kern w:val="0"/>
                <w:szCs w:val="21"/>
                <w:highlight w:val="none"/>
              </w:rPr>
              <w:t>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响应文件的</w:t>
            </w:r>
            <w:r>
              <w:rPr>
                <w:rFonts w:hint="eastAsia" w:ascii="宋体" w:hAnsi="宋体" w:cs="宋体"/>
                <w:color w:val="auto"/>
                <w:szCs w:val="21"/>
                <w:highlight w:val="none"/>
              </w:rPr>
              <w:t>组成和装订要求</w:t>
            </w:r>
          </w:p>
        </w:tc>
        <w:tc>
          <w:tcPr>
            <w:tcW w:w="6057" w:type="dxa"/>
            <w:gridSpan w:val="2"/>
            <w:vAlign w:val="center"/>
          </w:tcPr>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响应文件组成和装订要求：</w:t>
            </w:r>
          </w:p>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★（1）响应文件的封面注明：响应文件（“正本”或“副本”）、供应商名称、供应商地址、项目名称、项目编号；</w:t>
            </w:r>
          </w:p>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★（2）响应文件数量：</w:t>
            </w:r>
            <w:r>
              <w:rPr>
                <w:rFonts w:hint="eastAsia" w:ascii="宋体" w:hAnsi="宋体" w:cs="宋体"/>
                <w:b/>
                <w:color w:val="auto"/>
                <w:szCs w:val="21"/>
                <w:highlight w:val="none"/>
                <w:u w:val="single"/>
              </w:rPr>
              <w:t>正本 1 份，副本 4 份，电子文件1份(</w:t>
            </w:r>
            <w:r>
              <w:rPr>
                <w:rFonts w:hint="eastAsia" w:ascii="宋体" w:hAnsi="宋体" w:cs="宋体"/>
                <w:color w:val="auto"/>
                <w:kern w:val="0"/>
                <w:szCs w:val="21"/>
                <w:highlight w:val="none"/>
              </w:rPr>
              <w:t xml:space="preserve">☑ </w:t>
            </w:r>
            <w:r>
              <w:rPr>
                <w:rFonts w:hint="eastAsia" w:ascii="宋体" w:hAnsi="宋体" w:cs="宋体"/>
                <w:b/>
                <w:color w:val="auto"/>
                <w:szCs w:val="21"/>
                <w:highlight w:val="none"/>
                <w:u w:val="single"/>
              </w:rPr>
              <w:t>扫描件</w:t>
            </w:r>
            <w:r>
              <w:rPr>
                <w:rFonts w:hint="eastAsia" w:ascii="宋体" w:hAnsi="宋体" w:cs="宋体"/>
                <w:b/>
                <w:color w:val="auto"/>
                <w:szCs w:val="21"/>
                <w:highlight w:val="none"/>
              </w:rPr>
              <w:t>，(</w:t>
            </w:r>
            <w:r>
              <w:rPr>
                <w:rFonts w:hint="eastAsia" w:ascii="宋体" w:hAnsi="宋体" w:cs="宋体"/>
                <w:color w:val="auto"/>
                <w:kern w:val="0"/>
                <w:szCs w:val="21"/>
                <w:highlight w:val="none"/>
              </w:rPr>
              <w:t>☑</w:t>
            </w:r>
            <w:r>
              <w:rPr>
                <w:rFonts w:hint="eastAsia" w:ascii="宋体" w:hAnsi="宋体" w:cs="宋体"/>
                <w:b/>
                <w:color w:val="auto"/>
                <w:szCs w:val="21"/>
                <w:highlight w:val="none"/>
              </w:rPr>
              <w:t>Word，可多选)。</w:t>
            </w:r>
          </w:p>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★（3）装订要求：所有响应文件必须密封封装在响应（磋商）文件袋或纸箱中（如体积过大可分为几个包装）。</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）请供应商提前准备《最终报价承诺书》，无需装订，磋商时如有要求再另行单独密封递交至磋商小组（格式详见第五章《响应文件组成》）。</w:t>
            </w:r>
          </w:p>
          <w:p>
            <w:pPr>
              <w:spacing w:line="380" w:lineRule="exac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）供应商递交首次响应文件时，请同时单独递交供应商信息、响应文件签收回执，无需密封包装（格式详见第五章《响应文件组成》）。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响应文件封套上应载明的信息</w:t>
            </w:r>
          </w:p>
        </w:tc>
        <w:tc>
          <w:tcPr>
            <w:tcW w:w="6057" w:type="dxa"/>
            <w:gridSpan w:val="2"/>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___________________(项目名称)响应文件</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项目编号：____________________</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在______年____月____日____时____分之前不得启封</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供应商名称：____________________</w:t>
            </w:r>
          </w:p>
          <w:p>
            <w:pPr>
              <w:spacing w:line="380" w:lineRule="exact"/>
              <w:jc w:val="left"/>
              <w:rPr>
                <w:rFonts w:ascii="宋体" w:hAnsi="宋体" w:cs="宋体"/>
                <w:color w:val="auto"/>
                <w:kern w:val="0"/>
                <w:szCs w:val="21"/>
                <w:highlight w:val="none"/>
              </w:rPr>
            </w:pPr>
            <w:r>
              <w:rPr>
                <w:rFonts w:hint="eastAsia" w:ascii="宋体" w:hAnsi="宋体" w:cs="宋体"/>
                <w:color w:val="auto"/>
                <w:highlight w:val="none"/>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735" w:type="dxa"/>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信用查询</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采购人或采购代理机构通过“信用中国”网站(www. creditchina. gov.cn)、中国政府采购网(www.ccgp.gov.cn)查询相关主体信用记录。本次查询的信用记录打印的网页版将留存在评审报告中。</w:t>
            </w:r>
            <w:r>
              <w:rPr>
                <w:rFonts w:hint="eastAsia" w:ascii="宋体" w:hAnsi="宋体" w:cs="宋体"/>
                <w:b/>
                <w:color w:val="auto"/>
                <w:kern w:val="0"/>
                <w:szCs w:val="21"/>
                <w:highlight w:val="none"/>
              </w:rPr>
              <w:t>本项目信用记录查询截止时点为</w:t>
            </w:r>
            <w:r>
              <w:rPr>
                <w:rFonts w:hint="eastAsia" w:ascii="宋体" w:hAnsi="宋体" w:cs="宋体"/>
                <w:b/>
                <w:color w:val="auto"/>
                <w:kern w:val="0"/>
                <w:szCs w:val="21"/>
                <w:highlight w:val="none"/>
                <w:u w:val="single"/>
              </w:rPr>
              <w:t>响应文件开启当日。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735" w:type="dxa"/>
            <w:vAlign w:val="center"/>
          </w:tcPr>
          <w:p>
            <w:pPr>
              <w:pStyle w:val="20"/>
              <w:spacing w:line="380" w:lineRule="exact"/>
              <w:jc w:val="left"/>
              <w:rPr>
                <w:rFonts w:hAnsi="宋体" w:cs="宋体"/>
                <w:color w:val="auto"/>
                <w:highlight w:val="none"/>
              </w:rPr>
            </w:pPr>
            <w:r>
              <w:rPr>
                <w:rFonts w:hint="eastAsia" w:hAnsi="宋体" w:cs="宋体"/>
                <w:color w:val="auto"/>
                <w:sz w:val="21"/>
                <w:szCs w:val="21"/>
                <w:highlight w:val="none"/>
              </w:rPr>
              <w:t>评定成交的标准</w:t>
            </w:r>
          </w:p>
        </w:tc>
        <w:tc>
          <w:tcPr>
            <w:tcW w:w="6057" w:type="dxa"/>
            <w:gridSpan w:val="2"/>
            <w:vAlign w:val="center"/>
          </w:tcPr>
          <w:p>
            <w:pPr>
              <w:pStyle w:val="20"/>
              <w:spacing w:line="350" w:lineRule="exact"/>
              <w:jc w:val="left"/>
              <w:rPr>
                <w:rFonts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hAnsi="宋体" w:cs="宋体"/>
                <w:color w:val="auto"/>
                <w:sz w:val="21"/>
                <w:szCs w:val="21"/>
                <w:highlight w:val="none"/>
              </w:rPr>
              <w:t xml:space="preserve"> 1.采购人在评</w:t>
            </w:r>
            <w:r>
              <w:rPr>
                <w:rFonts w:hint="eastAsia"/>
                <w:color w:val="auto"/>
                <w:highlight w:val="none"/>
              </w:rPr>
              <w:t>审</w:t>
            </w:r>
            <w:r>
              <w:rPr>
                <w:rFonts w:hint="eastAsia" w:hAnsi="宋体" w:cs="宋体"/>
                <w:color w:val="auto"/>
                <w:sz w:val="21"/>
                <w:szCs w:val="21"/>
                <w:highlight w:val="none"/>
              </w:rPr>
              <w:t>报告确定的成交候选人名单中按顺序确定成交供应商。</w:t>
            </w:r>
          </w:p>
          <w:p>
            <w:pPr>
              <w:pStyle w:val="20"/>
              <w:spacing w:line="350" w:lineRule="exact"/>
              <w:jc w:val="left"/>
              <w:rPr>
                <w:rFonts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hAnsi="宋体" w:cs="宋体"/>
                <w:color w:val="auto"/>
                <w:sz w:val="21"/>
                <w:szCs w:val="21"/>
                <w:highlight w:val="none"/>
              </w:rPr>
              <w:t xml:space="preserve"> 2.成交候选人并列的，按照以下方式确定成交供应商。</w:t>
            </w:r>
          </w:p>
          <w:p>
            <w:pPr>
              <w:pStyle w:val="20"/>
              <w:spacing w:line="350" w:lineRule="exact"/>
              <w:jc w:val="left"/>
              <w:rPr>
                <w:rFonts w:hAnsi="宋体" w:cs="宋体"/>
                <w:color w:val="auto"/>
                <w:sz w:val="21"/>
                <w:szCs w:val="21"/>
                <w:highlight w:val="none"/>
              </w:rPr>
            </w:pPr>
            <w:r>
              <w:rPr>
                <w:rFonts w:hint="eastAsia" w:hAnsi="宋体" w:cs="宋体"/>
                <w:color w:val="auto"/>
                <w:sz w:val="21"/>
                <w:szCs w:val="21"/>
                <w:highlight w:val="none"/>
              </w:rPr>
              <w:t>□ ①最低评标价法：</w:t>
            </w:r>
          </w:p>
          <w:p>
            <w:pPr>
              <w:spacing w:line="350" w:lineRule="exact"/>
              <w:rPr>
                <w:rFonts w:ascii="宋体" w:hAnsi="宋体" w:cs="宋体"/>
                <w:color w:val="auto"/>
                <w:szCs w:val="21"/>
                <w:highlight w:val="none"/>
              </w:rPr>
            </w:pPr>
            <w:r>
              <w:rPr>
                <w:rFonts w:hint="eastAsia" w:ascii="宋体" w:hAnsi="宋体" w:cs="宋体"/>
                <w:color w:val="auto"/>
                <w:szCs w:val="21"/>
                <w:highlight w:val="none"/>
              </w:rPr>
              <w:t>□ 随机抽取</w:t>
            </w:r>
          </w:p>
          <w:p>
            <w:pPr>
              <w:pStyle w:val="20"/>
              <w:spacing w:line="350" w:lineRule="exact"/>
              <w:jc w:val="left"/>
              <w:rPr>
                <w:rFonts w:hAnsi="宋体" w:cs="宋体"/>
                <w:color w:val="auto"/>
                <w:sz w:val="21"/>
                <w:szCs w:val="21"/>
                <w:highlight w:val="none"/>
              </w:rPr>
            </w:pPr>
            <w:r>
              <w:rPr>
                <w:rFonts w:hint="eastAsia" w:hAnsi="宋体" w:cs="宋体"/>
                <w:color w:val="auto"/>
                <w:sz w:val="21"/>
                <w:szCs w:val="21"/>
                <w:highlight w:val="none"/>
              </w:rPr>
              <w:t>□其他____________________</w:t>
            </w:r>
          </w:p>
          <w:p>
            <w:pPr>
              <w:pStyle w:val="20"/>
              <w:spacing w:line="350" w:lineRule="exact"/>
              <w:jc w:val="left"/>
              <w:rPr>
                <w:rFonts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hAnsi="宋体" w:cs="宋体"/>
                <w:color w:val="auto"/>
                <w:sz w:val="21"/>
                <w:szCs w:val="21"/>
                <w:highlight w:val="none"/>
              </w:rPr>
              <w:t xml:space="preserve"> ②综合评分法：</w:t>
            </w:r>
          </w:p>
          <w:p>
            <w:pPr>
              <w:pStyle w:val="20"/>
              <w:spacing w:line="350" w:lineRule="exact"/>
              <w:jc w:val="left"/>
              <w:rPr>
                <w:rFonts w:hAnsi="宋体" w:cs="宋体"/>
                <w:color w:val="auto"/>
                <w:sz w:val="21"/>
                <w:szCs w:val="21"/>
                <w:highlight w:val="none"/>
              </w:rPr>
            </w:pPr>
            <w:r>
              <w:rPr>
                <w:rFonts w:hint="eastAsia" w:hAnsi="宋体" w:cs="宋体"/>
                <w:color w:val="auto"/>
                <w:sz w:val="21"/>
                <w:szCs w:val="21"/>
                <w:highlight w:val="none"/>
              </w:rPr>
              <w:t>□ 随机抽取</w:t>
            </w:r>
          </w:p>
          <w:p>
            <w:pPr>
              <w:pStyle w:val="20"/>
              <w:spacing w:line="380" w:lineRule="exact"/>
              <w:jc w:val="left"/>
              <w:rPr>
                <w:rFonts w:hAnsi="宋体" w:cs="宋体"/>
                <w:color w:val="auto"/>
                <w:highlight w:val="none"/>
              </w:rPr>
            </w:pPr>
            <w:r>
              <w:rPr>
                <w:rFonts w:hint="eastAsia" w:hAnsi="宋体" w:eastAsia="MS Mincho" w:cs="MS Mincho"/>
                <w:color w:val="auto"/>
                <w:sz w:val="21"/>
                <w:szCs w:val="21"/>
                <w:highlight w:val="none"/>
              </w:rPr>
              <w:t>☑</w:t>
            </w:r>
            <w:r>
              <w:rPr>
                <w:rFonts w:hint="eastAsia" w:hAnsi="宋体" w:cs="宋体"/>
                <w:color w:val="auto"/>
                <w:sz w:val="21"/>
                <w:szCs w:val="21"/>
                <w:highlight w:val="none"/>
              </w:rPr>
              <w:t>其他，</w:t>
            </w:r>
            <w:r>
              <w:rPr>
                <w:rFonts w:hint="eastAsia"/>
                <w:color w:val="auto"/>
                <w:highlight w:val="none"/>
              </w:rPr>
              <w:t>评审</w:t>
            </w:r>
            <w:r>
              <w:rPr>
                <w:rFonts w:hint="eastAsia" w:hAnsi="宋体" w:cs="宋体"/>
                <w:color w:val="auto"/>
                <w:sz w:val="21"/>
                <w:szCs w:val="21"/>
                <w:highlight w:val="none"/>
                <w:u w:val="single"/>
              </w:rPr>
              <w:t>得分相同时，以最后报价由低到高顺序排列；得分相同且最后报价相同的，按</w:t>
            </w:r>
            <w:r>
              <w:rPr>
                <w:rFonts w:hint="eastAsia" w:hAnsi="宋体" w:cs="宋体"/>
                <w:bCs/>
                <w:color w:val="auto"/>
                <w:sz w:val="21"/>
                <w:szCs w:val="21"/>
                <w:highlight w:val="none"/>
                <w:u w:val="single"/>
              </w:rPr>
              <w:t>项目</w:t>
            </w:r>
            <w:r>
              <w:rPr>
                <w:rFonts w:hint="eastAsia" w:hAnsi="宋体" w:cs="宋体"/>
                <w:bCs/>
                <w:color w:val="auto"/>
                <w:sz w:val="21"/>
                <w:szCs w:val="21"/>
                <w:highlight w:val="none"/>
                <w:u w:val="single"/>
                <w:lang w:eastAsia="zh-CN"/>
              </w:rPr>
              <w:t>服务管理</w:t>
            </w:r>
            <w:r>
              <w:rPr>
                <w:rFonts w:hint="eastAsia" w:hAnsi="宋体" w:cs="宋体"/>
                <w:bCs/>
                <w:color w:val="auto"/>
                <w:sz w:val="21"/>
                <w:szCs w:val="21"/>
                <w:highlight w:val="none"/>
                <w:u w:val="single"/>
              </w:rPr>
              <w:t>、项目理解程度及服务需求响应</w:t>
            </w:r>
            <w:r>
              <w:rPr>
                <w:rFonts w:hint="eastAsia" w:hAnsi="宋体" w:cs="宋体"/>
                <w:bCs/>
                <w:color w:val="auto"/>
                <w:sz w:val="21"/>
                <w:szCs w:val="21"/>
                <w:highlight w:val="none"/>
                <w:u w:val="single"/>
                <w:lang w:eastAsia="zh-CN"/>
              </w:rPr>
              <w:t>、服务承诺分、企业业绩分</w:t>
            </w:r>
            <w:r>
              <w:rPr>
                <w:rFonts w:hint="eastAsia" w:hAnsi="宋体"/>
                <w:bCs/>
                <w:color w:val="auto"/>
                <w:sz w:val="21"/>
                <w:szCs w:val="21"/>
                <w:highlight w:val="none"/>
                <w:u w:val="single"/>
              </w:rPr>
              <w:t>由高到低顺序</w:t>
            </w:r>
            <w:r>
              <w:rPr>
                <w:rFonts w:hint="eastAsia" w:hAnsi="宋体" w:cs="宋体"/>
                <w:color w:val="auto"/>
                <w:sz w:val="21"/>
                <w:szCs w:val="21"/>
                <w:highlight w:val="none"/>
                <w:u w:val="single"/>
              </w:rPr>
              <w:t>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745"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提供服务的时间、地点、方式、项目服务期限</w:t>
            </w:r>
          </w:p>
        </w:tc>
        <w:tc>
          <w:tcPr>
            <w:tcW w:w="6047" w:type="dxa"/>
            <w:vAlign w:val="center"/>
          </w:tcPr>
          <w:p>
            <w:pPr>
              <w:spacing w:line="350" w:lineRule="exact"/>
              <w:rPr>
                <w:rFonts w:ascii="宋体" w:hAnsi="宋体" w:cs="宋体"/>
                <w:color w:val="auto"/>
                <w:szCs w:val="21"/>
                <w:highlight w:val="none"/>
              </w:rPr>
            </w:pPr>
            <w:r>
              <w:rPr>
                <w:rFonts w:hint="eastAsia" w:ascii="宋体" w:hAnsi="宋体" w:cs="宋体"/>
                <w:color w:val="auto"/>
                <w:szCs w:val="21"/>
                <w:highlight w:val="none"/>
              </w:rPr>
              <w:t>提供服务的时间：</w:t>
            </w:r>
            <w:r>
              <w:rPr>
                <w:rFonts w:hint="eastAsia" w:ascii="宋体" w:hAnsi="宋体" w:cs="宋体"/>
                <w:bCs/>
                <w:color w:val="auto"/>
                <w:kern w:val="0"/>
                <w:szCs w:val="21"/>
                <w:highlight w:val="none"/>
              </w:rPr>
              <w:t>合同签订之日起至服务期届满之日止</w:t>
            </w:r>
          </w:p>
          <w:p>
            <w:pPr>
              <w:spacing w:line="350" w:lineRule="exact"/>
              <w:rPr>
                <w:rFonts w:ascii="宋体" w:hAnsi="宋体" w:cs="宋体"/>
                <w:color w:val="auto"/>
                <w:szCs w:val="21"/>
                <w:highlight w:val="none"/>
              </w:rPr>
            </w:pPr>
            <w:r>
              <w:rPr>
                <w:rFonts w:hint="eastAsia" w:ascii="宋体" w:hAnsi="宋体" w:cs="宋体"/>
                <w:color w:val="auto"/>
                <w:szCs w:val="21"/>
                <w:highlight w:val="none"/>
              </w:rPr>
              <w:t>提供服务的地点：详见项目采购需求</w:t>
            </w:r>
          </w:p>
          <w:p>
            <w:pPr>
              <w:spacing w:line="350" w:lineRule="exact"/>
              <w:rPr>
                <w:rFonts w:ascii="宋体" w:hAnsi="宋体" w:cs="宋体"/>
                <w:color w:val="auto"/>
                <w:szCs w:val="21"/>
                <w:highlight w:val="none"/>
              </w:rPr>
            </w:pPr>
            <w:r>
              <w:rPr>
                <w:rFonts w:hint="eastAsia" w:ascii="宋体" w:hAnsi="宋体" w:cs="宋体"/>
                <w:color w:val="auto"/>
                <w:szCs w:val="21"/>
                <w:highlight w:val="none"/>
              </w:rPr>
              <w:t>提供服务的方式：详见项目采购需求</w:t>
            </w:r>
          </w:p>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项目服务期限：</w:t>
            </w:r>
            <w:r>
              <w:rPr>
                <w:rFonts w:hint="eastAsia" w:ascii="宋体" w:hAnsi="宋体"/>
                <w:color w:val="auto"/>
                <w:kern w:val="10"/>
                <w:szCs w:val="21"/>
                <w:highlight w:val="none"/>
              </w:rPr>
              <w:t>7个月</w:t>
            </w:r>
            <w:r>
              <w:rPr>
                <w:rFonts w:ascii="宋体" w:hAnsi="宋体"/>
                <w:color w:val="auto"/>
                <w:kern w:val="10"/>
                <w:szCs w:val="21"/>
                <w:highlight w:val="none"/>
              </w:rPr>
              <w:t>（具体日期以采购人书面通知为准）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745"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采购资金的支付方式和时间</w:t>
            </w:r>
          </w:p>
        </w:tc>
        <w:tc>
          <w:tcPr>
            <w:tcW w:w="6047" w:type="dxa"/>
            <w:vAlign w:val="center"/>
          </w:tcPr>
          <w:p>
            <w:pPr>
              <w:spacing w:line="380" w:lineRule="exact"/>
              <w:rPr>
                <w:rFonts w:ascii="宋体" w:hAnsi="宋体" w:cs="宋体"/>
                <w:bCs/>
                <w:color w:val="auto"/>
                <w:szCs w:val="21"/>
                <w:highlight w:val="none"/>
              </w:rPr>
            </w:pPr>
            <w:r>
              <w:rPr>
                <w:rFonts w:hint="eastAsia"/>
                <w:color w:val="auto"/>
                <w:highlight w:val="none"/>
              </w:rPr>
              <w:t xml:space="preserve"> 服务费以采购最终成交价为准，支付方式按完成工作任务的次月10日前拨付上月服务费，拨付金额数为中标成交价分7个月平均数。成交</w:t>
            </w:r>
            <w:r>
              <w:rPr>
                <w:rFonts w:hint="eastAsia"/>
                <w:color w:val="auto"/>
                <w:highlight w:val="none"/>
                <w:lang w:eastAsia="zh-CN"/>
              </w:rPr>
              <w:t>供应商</w:t>
            </w:r>
            <w:r>
              <w:rPr>
                <w:rFonts w:hint="eastAsia"/>
                <w:color w:val="auto"/>
                <w:highlight w:val="none"/>
              </w:rPr>
              <w:t>需在次月5日前提供上月的服务费合法发票给采购人。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745"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6047" w:type="dxa"/>
            <w:vAlign w:val="center"/>
          </w:tcPr>
          <w:p>
            <w:pPr>
              <w:spacing w:line="380" w:lineRule="exact"/>
              <w:jc w:val="left"/>
              <w:rPr>
                <w:rFonts w:ascii="宋体" w:hAnsi="宋体" w:cs="宋体"/>
                <w:color w:val="auto"/>
                <w:kern w:val="0"/>
                <w:szCs w:val="21"/>
                <w:highlight w:val="none"/>
              </w:rPr>
            </w:pPr>
            <w:r>
              <w:rPr>
                <w:rFonts w:hint="eastAsia" w:ascii="宋体" w:hAnsi="宋体"/>
                <w:color w:val="auto"/>
                <w:szCs w:val="21"/>
                <w:highlight w:val="none"/>
              </w:rPr>
              <w:sym w:font="Wingdings" w:char="F0FE"/>
            </w:r>
            <w:r>
              <w:rPr>
                <w:rFonts w:hint="eastAsia" w:ascii="宋体" w:hAnsi="宋体" w:cs="宋体"/>
                <w:color w:val="auto"/>
                <w:kern w:val="0"/>
                <w:szCs w:val="21"/>
                <w:highlight w:val="none"/>
              </w:rPr>
              <w:t>不要求提供</w:t>
            </w:r>
          </w:p>
          <w:p>
            <w:pPr>
              <w:pStyle w:val="20"/>
              <w:spacing w:line="380" w:lineRule="exact"/>
              <w:jc w:val="left"/>
              <w:rPr>
                <w:rFonts w:hAnsi="宋体" w:cs="宋体"/>
                <w:color w:val="auto"/>
                <w:sz w:val="21"/>
                <w:szCs w:val="21"/>
                <w:highlight w:val="none"/>
              </w:rPr>
            </w:pPr>
            <w:r>
              <w:rPr>
                <w:rFonts w:hint="eastAsia" w:hAnsi="宋体" w:cs="宋体"/>
                <w:color w:val="auto"/>
                <w:sz w:val="21"/>
                <w:szCs w:val="21"/>
                <w:highlight w:val="none"/>
              </w:rPr>
              <w:t>□要求提供，履约保证金的数额不得超过合同金额的10%，本采购项目履约保证金为合同金额的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%（取整到元），</w:t>
            </w:r>
            <w:r>
              <w:rPr>
                <w:rFonts w:hint="eastAsia" w:hAnsi="宋体" w:cs="宋体"/>
                <w:bCs/>
                <w:color w:val="auto"/>
                <w:kern w:val="2"/>
                <w:sz w:val="21"/>
                <w:szCs w:val="21"/>
                <w:highlight w:val="none"/>
              </w:rPr>
              <w:t>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项目验收合格的，采购人在收到成交供应商提出申请的30日内无息返还履约保证金；采购人如逾期退还履约保证金，每逾期一天，可按应退款项的银行同期存款利息计算违约金；项目验收不合格的，履约保证金不予退还。</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收款人户名：</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开户银行：</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银行账号：</w:t>
            </w:r>
          </w:p>
          <w:p>
            <w:pPr>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745"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w:t>
            </w:r>
            <w:r>
              <w:rPr>
                <w:rFonts w:hint="eastAsia" w:ascii="宋体" w:hAnsi="宋体" w:cs="宋体"/>
                <w:color w:val="auto"/>
                <w:szCs w:val="21"/>
                <w:highlight w:val="none"/>
              </w:rPr>
              <w:t>服务</w:t>
            </w:r>
            <w:r>
              <w:rPr>
                <w:rFonts w:hint="eastAsia" w:ascii="宋体" w:hAnsi="宋体" w:cs="宋体"/>
                <w:color w:val="auto"/>
                <w:kern w:val="0"/>
                <w:szCs w:val="21"/>
                <w:highlight w:val="none"/>
              </w:rPr>
              <w:t>费</w:t>
            </w:r>
          </w:p>
        </w:tc>
        <w:tc>
          <w:tcPr>
            <w:tcW w:w="6047" w:type="dxa"/>
            <w:vAlign w:val="center"/>
          </w:tcPr>
          <w:p>
            <w:pPr>
              <w:spacing w:line="380" w:lineRule="exact"/>
              <w:rPr>
                <w:color w:val="auto"/>
                <w:highlight w:val="none"/>
              </w:rPr>
            </w:pPr>
            <w:r>
              <w:rPr>
                <w:rFonts w:hint="eastAsia"/>
                <w:color w:val="auto"/>
                <w:highlight w:val="none"/>
              </w:rPr>
              <w:t>（1）采购代理服务费收费标准：</w:t>
            </w:r>
          </w:p>
          <w:p>
            <w:pPr>
              <w:spacing w:line="380" w:lineRule="exact"/>
              <w:rPr>
                <w:color w:val="auto"/>
                <w:highlight w:val="none"/>
              </w:rPr>
            </w:pPr>
            <w:r>
              <w:rPr>
                <w:rFonts w:hint="eastAsia"/>
                <w:color w:val="auto"/>
                <w:highlight w:val="none"/>
              </w:rPr>
              <w:t>按国家发展计划委员会计价格〔2002〕1980号《招标代理服务费管理暂行办法》收费标准及发改价格〔2011〕534号文的规定的基准价下浮20%收取，向成交供应商收取</w:t>
            </w:r>
            <w:r>
              <w:rPr>
                <w:rFonts w:hint="eastAsia"/>
                <w:color w:val="auto"/>
                <w:highlight w:val="none"/>
                <w:lang w:eastAsia="zh-CN"/>
              </w:rPr>
              <w:t>采购</w:t>
            </w:r>
            <w:r>
              <w:rPr>
                <w:rFonts w:hint="eastAsia"/>
                <w:color w:val="auto"/>
                <w:highlight w:val="none"/>
              </w:rPr>
              <w:t>代理服务费用（以下费率未下浮20%）。</w:t>
            </w:r>
          </w:p>
          <w:tbl>
            <w:tblPr>
              <w:tblStyle w:val="43"/>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spacing w:line="380" w:lineRule="exact"/>
                    <w:ind w:left="1365" w:hanging="1365" w:hangingChars="650"/>
                    <w:rPr>
                      <w:color w:val="auto"/>
                      <w:highlight w:val="none"/>
                    </w:rPr>
                  </w:pPr>
                  <w:r>
                    <w:rPr>
                      <w:rFonts w:hint="eastAsia"/>
                      <w:color w:val="auto"/>
                      <w:highlight w:val="none"/>
                    </w:rPr>
                    <w:t xml:space="preserve">            费率</w:t>
                  </w:r>
                </w:p>
                <w:p>
                  <w:pPr>
                    <w:spacing w:line="380" w:lineRule="exact"/>
                    <w:rPr>
                      <w:color w:val="auto"/>
                      <w:highlight w:val="none"/>
                    </w:rPr>
                  </w:pPr>
                  <w:r>
                    <w:rPr>
                      <w:rFonts w:hint="eastAsia"/>
                      <w:color w:val="auto"/>
                      <w:highlight w:val="none"/>
                    </w:rPr>
                    <w:t>成交金额</w:t>
                  </w:r>
                </w:p>
              </w:tc>
              <w:tc>
                <w:tcPr>
                  <w:tcW w:w="915" w:type="dxa"/>
                  <w:vAlign w:val="center"/>
                </w:tcPr>
                <w:p>
                  <w:pPr>
                    <w:spacing w:line="380" w:lineRule="exact"/>
                    <w:ind w:firstLine="105" w:firstLineChars="50"/>
                    <w:jc w:val="center"/>
                    <w:rPr>
                      <w:color w:val="auto"/>
                      <w:highlight w:val="none"/>
                    </w:rPr>
                  </w:pPr>
                  <w:r>
                    <w:rPr>
                      <w:rFonts w:hint="eastAsia"/>
                      <w:color w:val="auto"/>
                      <w:highlight w:val="none"/>
                    </w:rPr>
                    <w:t>货物采购</w:t>
                  </w:r>
                </w:p>
              </w:tc>
              <w:tc>
                <w:tcPr>
                  <w:tcW w:w="975" w:type="dxa"/>
                  <w:vAlign w:val="center"/>
                </w:tcPr>
                <w:p>
                  <w:pPr>
                    <w:spacing w:line="380" w:lineRule="exact"/>
                    <w:jc w:val="center"/>
                    <w:rPr>
                      <w:color w:val="auto"/>
                      <w:highlight w:val="none"/>
                    </w:rPr>
                  </w:pPr>
                  <w:r>
                    <w:rPr>
                      <w:rFonts w:hint="eastAsia"/>
                      <w:color w:val="auto"/>
                      <w:highlight w:val="none"/>
                    </w:rPr>
                    <w:t>服务采购</w:t>
                  </w:r>
                </w:p>
              </w:tc>
              <w:tc>
                <w:tcPr>
                  <w:tcW w:w="878" w:type="dxa"/>
                  <w:vAlign w:val="center"/>
                </w:tcPr>
                <w:p>
                  <w:pPr>
                    <w:spacing w:line="380" w:lineRule="exact"/>
                    <w:jc w:val="center"/>
                    <w:rPr>
                      <w:color w:val="auto"/>
                      <w:highlight w:val="none"/>
                    </w:rPr>
                  </w:pPr>
                  <w:r>
                    <w:rPr>
                      <w:rFonts w:hint="eastAsia"/>
                      <w:color w:val="auto"/>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color w:val="auto"/>
                      <w:highlight w:val="none"/>
                    </w:rPr>
                  </w:pPr>
                  <w:r>
                    <w:rPr>
                      <w:rFonts w:hint="eastAsia"/>
                      <w:color w:val="auto"/>
                      <w:highlight w:val="none"/>
                    </w:rPr>
                    <w:t>100万元以下</w:t>
                  </w:r>
                </w:p>
              </w:tc>
              <w:tc>
                <w:tcPr>
                  <w:tcW w:w="915" w:type="dxa"/>
                  <w:vAlign w:val="center"/>
                </w:tcPr>
                <w:p>
                  <w:pPr>
                    <w:spacing w:line="380" w:lineRule="exact"/>
                    <w:jc w:val="center"/>
                    <w:rPr>
                      <w:color w:val="auto"/>
                      <w:highlight w:val="none"/>
                    </w:rPr>
                  </w:pPr>
                  <w:r>
                    <w:rPr>
                      <w:rFonts w:hint="eastAsia"/>
                      <w:color w:val="auto"/>
                      <w:highlight w:val="none"/>
                    </w:rPr>
                    <w:t>1.5%</w:t>
                  </w:r>
                </w:p>
              </w:tc>
              <w:tc>
                <w:tcPr>
                  <w:tcW w:w="975" w:type="dxa"/>
                  <w:vAlign w:val="center"/>
                </w:tcPr>
                <w:p>
                  <w:pPr>
                    <w:spacing w:line="380" w:lineRule="exact"/>
                    <w:jc w:val="center"/>
                    <w:rPr>
                      <w:color w:val="auto"/>
                      <w:highlight w:val="none"/>
                    </w:rPr>
                  </w:pPr>
                  <w:r>
                    <w:rPr>
                      <w:rFonts w:hint="eastAsia"/>
                      <w:color w:val="auto"/>
                      <w:highlight w:val="none"/>
                    </w:rPr>
                    <w:t>1.5%</w:t>
                  </w:r>
                </w:p>
              </w:tc>
              <w:tc>
                <w:tcPr>
                  <w:tcW w:w="878" w:type="dxa"/>
                  <w:vAlign w:val="center"/>
                </w:tcPr>
                <w:p>
                  <w:pPr>
                    <w:spacing w:line="380" w:lineRule="exact"/>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color w:val="auto"/>
                      <w:highlight w:val="none"/>
                    </w:rPr>
                  </w:pPr>
                  <w:r>
                    <w:rPr>
                      <w:rFonts w:hint="eastAsia"/>
                      <w:color w:val="auto"/>
                      <w:highlight w:val="none"/>
                    </w:rPr>
                    <w:t>100～500万元</w:t>
                  </w:r>
                </w:p>
              </w:tc>
              <w:tc>
                <w:tcPr>
                  <w:tcW w:w="915" w:type="dxa"/>
                  <w:vAlign w:val="center"/>
                </w:tcPr>
                <w:p>
                  <w:pPr>
                    <w:spacing w:line="380" w:lineRule="exact"/>
                    <w:jc w:val="center"/>
                    <w:rPr>
                      <w:color w:val="auto"/>
                      <w:highlight w:val="none"/>
                    </w:rPr>
                  </w:pPr>
                  <w:r>
                    <w:rPr>
                      <w:rFonts w:hint="eastAsia"/>
                      <w:color w:val="auto"/>
                      <w:highlight w:val="none"/>
                    </w:rPr>
                    <w:t>1.1%</w:t>
                  </w:r>
                </w:p>
              </w:tc>
              <w:tc>
                <w:tcPr>
                  <w:tcW w:w="975" w:type="dxa"/>
                  <w:vAlign w:val="center"/>
                </w:tcPr>
                <w:p>
                  <w:pPr>
                    <w:spacing w:line="380" w:lineRule="exact"/>
                    <w:jc w:val="center"/>
                    <w:rPr>
                      <w:color w:val="auto"/>
                      <w:highlight w:val="none"/>
                    </w:rPr>
                  </w:pPr>
                  <w:r>
                    <w:rPr>
                      <w:rFonts w:hint="eastAsia"/>
                      <w:color w:val="auto"/>
                      <w:highlight w:val="none"/>
                    </w:rPr>
                    <w:t>0.8%</w:t>
                  </w:r>
                </w:p>
              </w:tc>
              <w:tc>
                <w:tcPr>
                  <w:tcW w:w="878" w:type="dxa"/>
                  <w:vAlign w:val="center"/>
                </w:tcPr>
                <w:p>
                  <w:pPr>
                    <w:spacing w:line="380" w:lineRule="exact"/>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color w:val="auto"/>
                      <w:highlight w:val="none"/>
                    </w:rPr>
                  </w:pPr>
                  <w:r>
                    <w:rPr>
                      <w:rFonts w:hint="eastAsia"/>
                      <w:color w:val="auto"/>
                      <w:highlight w:val="none"/>
                    </w:rPr>
                    <w:t>500～1000万元</w:t>
                  </w:r>
                </w:p>
              </w:tc>
              <w:tc>
                <w:tcPr>
                  <w:tcW w:w="915" w:type="dxa"/>
                  <w:vAlign w:val="center"/>
                </w:tcPr>
                <w:p>
                  <w:pPr>
                    <w:spacing w:line="380" w:lineRule="exact"/>
                    <w:jc w:val="center"/>
                    <w:rPr>
                      <w:color w:val="auto"/>
                      <w:highlight w:val="none"/>
                    </w:rPr>
                  </w:pPr>
                  <w:r>
                    <w:rPr>
                      <w:rFonts w:hint="eastAsia"/>
                      <w:color w:val="auto"/>
                      <w:highlight w:val="none"/>
                    </w:rPr>
                    <w:t>0.8%</w:t>
                  </w:r>
                </w:p>
              </w:tc>
              <w:tc>
                <w:tcPr>
                  <w:tcW w:w="975" w:type="dxa"/>
                  <w:vAlign w:val="center"/>
                </w:tcPr>
                <w:p>
                  <w:pPr>
                    <w:spacing w:line="380" w:lineRule="exact"/>
                    <w:jc w:val="center"/>
                    <w:rPr>
                      <w:color w:val="auto"/>
                      <w:highlight w:val="none"/>
                    </w:rPr>
                  </w:pPr>
                  <w:r>
                    <w:rPr>
                      <w:rFonts w:hint="eastAsia"/>
                      <w:color w:val="auto"/>
                      <w:highlight w:val="none"/>
                    </w:rPr>
                    <w:t>0.45%</w:t>
                  </w:r>
                </w:p>
              </w:tc>
              <w:tc>
                <w:tcPr>
                  <w:tcW w:w="878" w:type="dxa"/>
                  <w:vAlign w:val="center"/>
                </w:tcPr>
                <w:p>
                  <w:pPr>
                    <w:spacing w:line="380" w:lineRule="exact"/>
                    <w:jc w:val="center"/>
                    <w:rPr>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color w:val="auto"/>
                      <w:highlight w:val="none"/>
                    </w:rPr>
                  </w:pPr>
                  <w:r>
                    <w:rPr>
                      <w:rFonts w:hint="eastAsia"/>
                      <w:color w:val="auto"/>
                      <w:highlight w:val="none"/>
                    </w:rPr>
                    <w:t>1000～5000万元</w:t>
                  </w:r>
                </w:p>
              </w:tc>
              <w:tc>
                <w:tcPr>
                  <w:tcW w:w="915" w:type="dxa"/>
                  <w:vAlign w:val="center"/>
                </w:tcPr>
                <w:p>
                  <w:pPr>
                    <w:spacing w:line="380" w:lineRule="exact"/>
                    <w:jc w:val="center"/>
                    <w:rPr>
                      <w:color w:val="auto"/>
                      <w:highlight w:val="none"/>
                    </w:rPr>
                  </w:pPr>
                  <w:r>
                    <w:rPr>
                      <w:rFonts w:hint="eastAsia"/>
                      <w:color w:val="auto"/>
                      <w:highlight w:val="none"/>
                    </w:rPr>
                    <w:t>0.5%</w:t>
                  </w:r>
                </w:p>
              </w:tc>
              <w:tc>
                <w:tcPr>
                  <w:tcW w:w="975" w:type="dxa"/>
                  <w:vAlign w:val="center"/>
                </w:tcPr>
                <w:p>
                  <w:pPr>
                    <w:spacing w:line="380" w:lineRule="exact"/>
                    <w:jc w:val="center"/>
                    <w:rPr>
                      <w:color w:val="auto"/>
                      <w:highlight w:val="none"/>
                    </w:rPr>
                  </w:pPr>
                  <w:r>
                    <w:rPr>
                      <w:rFonts w:hint="eastAsia"/>
                      <w:color w:val="auto"/>
                      <w:highlight w:val="none"/>
                    </w:rPr>
                    <w:t>0.25%</w:t>
                  </w:r>
                </w:p>
              </w:tc>
              <w:tc>
                <w:tcPr>
                  <w:tcW w:w="878" w:type="dxa"/>
                  <w:vAlign w:val="center"/>
                </w:tcPr>
                <w:p>
                  <w:pPr>
                    <w:spacing w:line="380" w:lineRule="exact"/>
                    <w:jc w:val="center"/>
                    <w:rPr>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color w:val="auto"/>
                      <w:highlight w:val="none"/>
                    </w:rPr>
                  </w:pPr>
                  <w:r>
                    <w:rPr>
                      <w:rFonts w:hint="eastAsia"/>
                      <w:color w:val="auto"/>
                      <w:highlight w:val="none"/>
                    </w:rPr>
                    <w:t>5000万元～1亿元</w:t>
                  </w:r>
                </w:p>
              </w:tc>
              <w:tc>
                <w:tcPr>
                  <w:tcW w:w="915" w:type="dxa"/>
                  <w:vAlign w:val="center"/>
                </w:tcPr>
                <w:p>
                  <w:pPr>
                    <w:spacing w:line="380" w:lineRule="exact"/>
                    <w:jc w:val="center"/>
                    <w:rPr>
                      <w:color w:val="auto"/>
                      <w:highlight w:val="none"/>
                    </w:rPr>
                  </w:pPr>
                  <w:r>
                    <w:rPr>
                      <w:rFonts w:hint="eastAsia"/>
                      <w:color w:val="auto"/>
                      <w:highlight w:val="none"/>
                    </w:rPr>
                    <w:t>0.25%</w:t>
                  </w:r>
                </w:p>
              </w:tc>
              <w:tc>
                <w:tcPr>
                  <w:tcW w:w="975" w:type="dxa"/>
                  <w:vAlign w:val="center"/>
                </w:tcPr>
                <w:p>
                  <w:pPr>
                    <w:spacing w:line="380" w:lineRule="exact"/>
                    <w:jc w:val="center"/>
                    <w:rPr>
                      <w:color w:val="auto"/>
                      <w:highlight w:val="none"/>
                    </w:rPr>
                  </w:pPr>
                  <w:r>
                    <w:rPr>
                      <w:rFonts w:hint="eastAsia"/>
                      <w:color w:val="auto"/>
                      <w:highlight w:val="none"/>
                    </w:rPr>
                    <w:t>0.1%</w:t>
                  </w:r>
                </w:p>
              </w:tc>
              <w:tc>
                <w:tcPr>
                  <w:tcW w:w="878" w:type="dxa"/>
                  <w:vAlign w:val="center"/>
                </w:tcPr>
                <w:p>
                  <w:pPr>
                    <w:spacing w:line="380" w:lineRule="exact"/>
                    <w:jc w:val="center"/>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color w:val="auto"/>
                      <w:highlight w:val="none"/>
                    </w:rPr>
                  </w:pPr>
                  <w:r>
                    <w:rPr>
                      <w:rFonts w:hint="eastAsia"/>
                      <w:color w:val="auto"/>
                      <w:highlight w:val="none"/>
                    </w:rPr>
                    <w:t>1～5亿元</w:t>
                  </w:r>
                </w:p>
              </w:tc>
              <w:tc>
                <w:tcPr>
                  <w:tcW w:w="915" w:type="dxa"/>
                  <w:vAlign w:val="center"/>
                </w:tcPr>
                <w:p>
                  <w:pPr>
                    <w:spacing w:line="380" w:lineRule="exact"/>
                    <w:jc w:val="center"/>
                    <w:rPr>
                      <w:color w:val="auto"/>
                      <w:highlight w:val="none"/>
                    </w:rPr>
                  </w:pPr>
                  <w:r>
                    <w:rPr>
                      <w:rFonts w:hint="eastAsia"/>
                      <w:color w:val="auto"/>
                      <w:highlight w:val="none"/>
                    </w:rPr>
                    <w:t>0.05%</w:t>
                  </w:r>
                </w:p>
              </w:tc>
              <w:tc>
                <w:tcPr>
                  <w:tcW w:w="975" w:type="dxa"/>
                  <w:vAlign w:val="center"/>
                </w:tcPr>
                <w:p>
                  <w:pPr>
                    <w:spacing w:line="380" w:lineRule="exact"/>
                    <w:jc w:val="center"/>
                    <w:rPr>
                      <w:color w:val="auto"/>
                      <w:highlight w:val="none"/>
                    </w:rPr>
                  </w:pPr>
                  <w:r>
                    <w:rPr>
                      <w:rFonts w:hint="eastAsia"/>
                      <w:color w:val="auto"/>
                      <w:highlight w:val="none"/>
                    </w:rPr>
                    <w:t>0.05%</w:t>
                  </w:r>
                </w:p>
              </w:tc>
              <w:tc>
                <w:tcPr>
                  <w:tcW w:w="878" w:type="dxa"/>
                  <w:vAlign w:val="center"/>
                </w:tcPr>
                <w:p>
                  <w:pPr>
                    <w:spacing w:line="380" w:lineRule="exact"/>
                    <w:jc w:val="center"/>
                    <w:rPr>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spacing w:line="380" w:lineRule="exact"/>
                    <w:jc w:val="center"/>
                    <w:rPr>
                      <w:color w:val="auto"/>
                      <w:highlight w:val="none"/>
                    </w:rPr>
                  </w:pPr>
                  <w:r>
                    <w:rPr>
                      <w:rFonts w:hint="eastAsia"/>
                      <w:color w:val="auto"/>
                      <w:highlight w:val="none"/>
                    </w:rPr>
                    <w:t>5～10亿元</w:t>
                  </w:r>
                </w:p>
              </w:tc>
              <w:tc>
                <w:tcPr>
                  <w:tcW w:w="915" w:type="dxa"/>
                  <w:vAlign w:val="center"/>
                </w:tcPr>
                <w:p>
                  <w:pPr>
                    <w:spacing w:line="380" w:lineRule="exact"/>
                    <w:jc w:val="center"/>
                    <w:rPr>
                      <w:color w:val="auto"/>
                      <w:highlight w:val="none"/>
                    </w:rPr>
                  </w:pPr>
                  <w:r>
                    <w:rPr>
                      <w:rFonts w:hint="eastAsia"/>
                      <w:color w:val="auto"/>
                      <w:highlight w:val="none"/>
                    </w:rPr>
                    <w:t>0.035%</w:t>
                  </w:r>
                </w:p>
              </w:tc>
              <w:tc>
                <w:tcPr>
                  <w:tcW w:w="975" w:type="dxa"/>
                  <w:vAlign w:val="center"/>
                </w:tcPr>
                <w:p>
                  <w:pPr>
                    <w:spacing w:line="380" w:lineRule="exact"/>
                    <w:jc w:val="center"/>
                    <w:rPr>
                      <w:color w:val="auto"/>
                      <w:highlight w:val="none"/>
                    </w:rPr>
                  </w:pPr>
                  <w:r>
                    <w:rPr>
                      <w:rFonts w:hint="eastAsia"/>
                      <w:color w:val="auto"/>
                      <w:highlight w:val="none"/>
                    </w:rPr>
                    <w:t>0.035%</w:t>
                  </w:r>
                </w:p>
              </w:tc>
              <w:tc>
                <w:tcPr>
                  <w:tcW w:w="878" w:type="dxa"/>
                  <w:vAlign w:val="center"/>
                </w:tcPr>
                <w:p>
                  <w:pPr>
                    <w:spacing w:line="380" w:lineRule="exact"/>
                    <w:jc w:val="center"/>
                    <w:rPr>
                      <w:color w:val="auto"/>
                      <w:highlight w:val="none"/>
                    </w:rPr>
                  </w:pPr>
                  <w:r>
                    <w:rPr>
                      <w:rFonts w:hint="eastAsia"/>
                      <w:color w:val="auto"/>
                      <w:highlight w:val="none"/>
                    </w:rPr>
                    <w:t>0.035%</w:t>
                  </w:r>
                </w:p>
              </w:tc>
            </w:tr>
          </w:tbl>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p>
          <w:p>
            <w:pPr>
              <w:spacing w:line="380" w:lineRule="exact"/>
              <w:rPr>
                <w:color w:val="auto"/>
                <w:highlight w:val="none"/>
              </w:rPr>
            </w:pPr>
            <w:r>
              <w:rPr>
                <w:rFonts w:hint="eastAsia"/>
                <w:color w:val="auto"/>
                <w:highlight w:val="none"/>
              </w:rPr>
              <w:t>注：采购代理费收费按差额定率累进法计算。例如：某工程招标代理业务成交金额为6000万元，计算采购代理费收费额如下：</w:t>
            </w:r>
          </w:p>
          <w:p>
            <w:pPr>
              <w:spacing w:line="380" w:lineRule="exact"/>
              <w:rPr>
                <w:color w:val="auto"/>
                <w:highlight w:val="none"/>
              </w:rPr>
            </w:pPr>
            <w:r>
              <w:rPr>
                <w:rFonts w:hint="eastAsia"/>
                <w:color w:val="auto"/>
                <w:highlight w:val="none"/>
              </w:rPr>
              <w:t>100万元×1.0%=1万元</w:t>
            </w:r>
          </w:p>
          <w:p>
            <w:pPr>
              <w:spacing w:line="380" w:lineRule="exact"/>
              <w:rPr>
                <w:color w:val="auto"/>
                <w:highlight w:val="none"/>
              </w:rPr>
            </w:pPr>
            <w:r>
              <w:rPr>
                <w:rFonts w:hint="eastAsia"/>
                <w:color w:val="auto"/>
                <w:highlight w:val="none"/>
              </w:rPr>
              <w:t>（500-100）万元×0.7%=2.8万元</w:t>
            </w:r>
          </w:p>
          <w:p>
            <w:pPr>
              <w:spacing w:line="380" w:lineRule="exact"/>
              <w:rPr>
                <w:color w:val="auto"/>
                <w:highlight w:val="none"/>
              </w:rPr>
            </w:pPr>
            <w:r>
              <w:rPr>
                <w:rFonts w:hint="eastAsia"/>
                <w:color w:val="auto"/>
                <w:highlight w:val="none"/>
              </w:rPr>
              <w:t>（1000-500）万元×0.55%=2.75万元</w:t>
            </w:r>
          </w:p>
          <w:p>
            <w:pPr>
              <w:spacing w:line="380" w:lineRule="exact"/>
              <w:rPr>
                <w:color w:val="auto"/>
                <w:highlight w:val="none"/>
              </w:rPr>
            </w:pPr>
            <w:r>
              <w:rPr>
                <w:rFonts w:hint="eastAsia"/>
                <w:color w:val="auto"/>
                <w:highlight w:val="none"/>
              </w:rPr>
              <w:t>（5000-1000）万元×0.35%=14万元</w:t>
            </w:r>
          </w:p>
          <w:p>
            <w:pPr>
              <w:spacing w:line="380" w:lineRule="exact"/>
              <w:rPr>
                <w:color w:val="auto"/>
                <w:highlight w:val="none"/>
              </w:rPr>
            </w:pPr>
            <w:r>
              <w:rPr>
                <w:rFonts w:hint="eastAsia"/>
                <w:color w:val="auto"/>
                <w:highlight w:val="none"/>
              </w:rPr>
              <w:t>（6000-5000）万元×0.2%=2万元</w:t>
            </w:r>
          </w:p>
          <w:p>
            <w:pPr>
              <w:spacing w:line="380" w:lineRule="exact"/>
              <w:rPr>
                <w:color w:val="auto"/>
                <w:highlight w:val="none"/>
              </w:rPr>
            </w:pPr>
            <w:r>
              <w:rPr>
                <w:rFonts w:hint="eastAsia"/>
                <w:color w:val="auto"/>
                <w:highlight w:val="none"/>
              </w:rPr>
              <w:t>合计收费=1+2.8+2.75+14+2=22.55（万元）</w:t>
            </w:r>
          </w:p>
          <w:p>
            <w:pPr>
              <w:spacing w:line="380" w:lineRule="exact"/>
              <w:rPr>
                <w:color w:val="auto"/>
                <w:highlight w:val="none"/>
              </w:rPr>
            </w:pPr>
            <w:r>
              <w:rPr>
                <w:rFonts w:hint="eastAsia"/>
                <w:color w:val="auto"/>
                <w:highlight w:val="none"/>
              </w:rPr>
              <w:t>（2）采购代理费汇到如下指定账户：</w:t>
            </w:r>
          </w:p>
          <w:p>
            <w:pPr>
              <w:pStyle w:val="20"/>
              <w:snapToGrid w:val="0"/>
              <w:spacing w:line="380" w:lineRule="exact"/>
              <w:rPr>
                <w:rFonts w:hint="eastAsia" w:hAnsi="宋体" w:cs="宋体"/>
                <w:sz w:val="21"/>
                <w:lang w:val="en-US" w:eastAsia="zh-CN"/>
              </w:rPr>
            </w:pPr>
            <w:r>
              <w:rPr>
                <w:rFonts w:hint="eastAsia" w:hAnsi="宋体" w:cs="宋体"/>
                <w:sz w:val="21"/>
                <w:lang w:val="en-US" w:eastAsia="zh-CN"/>
              </w:rPr>
              <w:t>开户名称：广西科联招标中心有限公司玉林分公司</w:t>
            </w:r>
          </w:p>
          <w:p>
            <w:pPr>
              <w:pStyle w:val="20"/>
              <w:snapToGrid w:val="0"/>
              <w:spacing w:line="380" w:lineRule="exact"/>
              <w:rPr>
                <w:rFonts w:hint="eastAsia" w:hAnsi="宋体" w:cs="宋体"/>
                <w:sz w:val="21"/>
                <w:lang w:val="en-US" w:eastAsia="zh-CN"/>
              </w:rPr>
            </w:pPr>
            <w:r>
              <w:rPr>
                <w:rFonts w:hint="eastAsia" w:hAnsi="宋体" w:cs="宋体"/>
                <w:sz w:val="21"/>
                <w:lang w:val="en-US" w:eastAsia="zh-CN"/>
              </w:rPr>
              <w:t>开户银行：中国建设银行玉林金都支行</w:t>
            </w:r>
          </w:p>
          <w:p>
            <w:pPr>
              <w:spacing w:line="380" w:lineRule="exact"/>
              <w:jc w:val="left"/>
              <w:rPr>
                <w:rFonts w:ascii="宋体" w:hAnsi="宋体" w:cs="宋体"/>
                <w:b/>
                <w:color w:val="auto"/>
                <w:kern w:val="0"/>
                <w:szCs w:val="21"/>
                <w:highlight w:val="none"/>
              </w:rPr>
            </w:pPr>
            <w:r>
              <w:rPr>
                <w:rFonts w:hint="eastAsia" w:hAnsi="宋体" w:cs="宋体"/>
                <w:sz w:val="21"/>
                <w:lang w:val="en-US" w:eastAsia="zh-CN"/>
              </w:rPr>
              <w:t>银行账号：45050166044200000882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745"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其他规定</w:t>
            </w:r>
          </w:p>
        </w:tc>
        <w:tc>
          <w:tcPr>
            <w:tcW w:w="6047"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2、本磋商文件中描述供应商的“签字”是指供应商的法定代表人（负责人）或被授权人亲自在磋商文件规定签署处亲笔写上个人的名字的行为，私章、签字章、印鉴、影印等其它形式均不能代替亲笔签字。</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3、成交供应商享受中小企业扶持政策的，采购人、采购代理机构应当随成交结果公开成交供应商的《中小企业声明函》。</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4、成交供应商为残疾人福利性单位的，采购人或者其委托的采购代理机构应当随成交结果同时公告其《残疾人福利性单位声明函》，接受社会监督。</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5、递交质疑函的联系事项：</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广西科联招标中心有限公司（采购代理机构）</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联系电话：0775-2687688   </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地址：玉林市人民东路40-1号 新都香格里拉花园10幢101房</w:t>
            </w:r>
          </w:p>
        </w:tc>
      </w:tr>
    </w:tbl>
    <w:p>
      <w:pPr>
        <w:ind w:firstLine="420" w:firstLineChars="200"/>
        <w:rPr>
          <w:rFonts w:ascii="宋体" w:hAnsi="宋体" w:cs="宋体"/>
          <w:color w:val="auto"/>
          <w:kern w:val="0"/>
          <w:szCs w:val="21"/>
          <w:highlight w:val="none"/>
        </w:rPr>
      </w:pPr>
    </w:p>
    <w:p>
      <w:pPr>
        <w:keepNext/>
        <w:keepLines/>
        <w:spacing w:before="240" w:after="64" w:line="360" w:lineRule="auto"/>
        <w:jc w:val="center"/>
        <w:outlineLvl w:val="5"/>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br w:type="page"/>
      </w:r>
      <w:r>
        <w:rPr>
          <w:rFonts w:hint="eastAsia" w:ascii="宋体" w:hAnsi="宋体" w:cs="宋体"/>
          <w:b/>
          <w:bCs/>
          <w:color w:val="auto"/>
          <w:kern w:val="0"/>
          <w:sz w:val="28"/>
          <w:szCs w:val="21"/>
          <w:highlight w:val="none"/>
        </w:rPr>
        <w:t>磋商须知正文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一、总则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1.定义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　“采购人”是指依法进行采购的国家机关、事业单位、团体组织。本次采购的采购人名称、地址、电话、联系人见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　“采购代理机构”是指接受采购人委托，代理采购项目的集中采购机构和其他采购代理机构。本次采购的采购代理机构名称、地址、电话、联系人见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　“供应商”是指响应磋商文件要求</w:t>
      </w:r>
      <w:r>
        <w:rPr>
          <w:rFonts w:hint="eastAsia"/>
          <w:color w:val="auto"/>
          <w:highlight w:val="none"/>
        </w:rPr>
        <w:t>并且符合</w:t>
      </w:r>
      <w:r>
        <w:rPr>
          <w:rFonts w:hint="eastAsia" w:ascii="宋体" w:hAnsi="宋体" w:cs="宋体"/>
          <w:color w:val="auto"/>
          <w:kern w:val="0"/>
          <w:szCs w:val="21"/>
          <w:highlight w:val="none"/>
        </w:rPr>
        <w:t>磋商文件</w:t>
      </w:r>
      <w:r>
        <w:rPr>
          <w:rFonts w:hint="eastAsia"/>
          <w:color w:val="auto"/>
          <w:highlight w:val="none"/>
        </w:rPr>
        <w:t>规定资格条件</w:t>
      </w:r>
      <w:r>
        <w:rPr>
          <w:rFonts w:hint="eastAsia" w:ascii="宋体" w:hAnsi="宋体" w:cs="宋体"/>
          <w:color w:val="auto"/>
          <w:kern w:val="0"/>
          <w:szCs w:val="21"/>
          <w:highlight w:val="none"/>
        </w:rPr>
        <w:t>和参加磋商采购的法人、其他组织或者自然人。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　“磋商小组”由3人以上单数的磋商成员组建</w:t>
      </w:r>
      <w:r>
        <w:rPr>
          <w:rFonts w:hint="eastAsia" w:cs="MingLiU_HKSCS"/>
          <w:color w:val="auto"/>
          <w:highlight w:val="none"/>
        </w:rPr>
        <w:t>，是</w:t>
      </w:r>
      <w:r>
        <w:rPr>
          <w:rFonts w:hint="eastAsia"/>
          <w:color w:val="auto"/>
          <w:highlight w:val="none"/>
        </w:rPr>
        <w:t>依法履行评审采购活动职责的评审成员。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　“货物”是指各种形态和种类的物品，包括原材料、燃料、设备、产品等。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　“服务”是指除货物和工程以外的其他采购对象。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2.采购项目预算及最高限价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　本项目采购资金的预算金额见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pStyle w:val="2"/>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2.2  </w:t>
      </w:r>
      <w:r>
        <w:rPr>
          <w:rFonts w:hint="eastAsia"/>
          <w:color w:val="auto"/>
          <w:highlight w:val="none"/>
        </w:rPr>
        <w:t>本项目最高限价要求见</w:t>
      </w:r>
      <w:r>
        <w:rPr>
          <w:rFonts w:hint="eastAsia" w:ascii="宋体" w:hAnsi="宋体" w:cs="宋体"/>
          <w:b/>
          <w:bCs/>
          <w:color w:val="auto"/>
          <w:kern w:val="0"/>
          <w:szCs w:val="21"/>
          <w:highlight w:val="none"/>
        </w:rPr>
        <w:t>磋商须知前附表</w:t>
      </w:r>
      <w:r>
        <w:rPr>
          <w:rFonts w:hint="eastAsia"/>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★3.供应商的资格要求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供应商应当符合</w:t>
      </w:r>
      <w:r>
        <w:rPr>
          <w:rFonts w:hint="eastAsia" w:ascii="宋体" w:hAnsi="宋体" w:cs="宋体"/>
          <w:b/>
          <w:bCs/>
          <w:color w:val="auto"/>
          <w:szCs w:val="21"/>
          <w:highlight w:val="none"/>
        </w:rPr>
        <w:t>磋商须知前附表</w:t>
      </w:r>
      <w:r>
        <w:rPr>
          <w:rFonts w:hint="eastAsia" w:ascii="宋体" w:hAnsi="宋体" w:cs="宋体"/>
          <w:color w:val="auto"/>
          <w:szCs w:val="21"/>
          <w:highlight w:val="none"/>
        </w:rPr>
        <w:t>中规定的下列资格条件要求：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　</w:t>
      </w:r>
      <w:r>
        <w:rPr>
          <w:rFonts w:hint="eastAsia"/>
          <w:color w:val="auto"/>
          <w:highlight w:val="none"/>
        </w:rPr>
        <w:t>供应商参加本采购活动应当具备下列条件</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(5)参加采购活动前三年内在经营活动中没有重大违法记录；</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(6)</w:t>
      </w:r>
      <w:r>
        <w:rPr>
          <w:rFonts w:hint="eastAsia" w:ascii="宋体" w:hAnsi="宋体" w:cs="宋体"/>
          <w:bCs/>
          <w:color w:val="auto"/>
          <w:szCs w:val="21"/>
          <w:highlight w:val="none"/>
        </w:rPr>
        <w:t>法律、行政法规规定的其他条件。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　其他特定资格条件。(详见</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供应商存在下列情形之一的不得参加磋商：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4.参与磋商的费用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　供应商应自行承担所有参与磋商的相关费用，不论磋商的结果如何，采购人或采购代理机构均无义务和责任承担这些费用。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5.授权委托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供应商代表不是供应商法定代表人（负责人）的，应当持有法定代表人（负责人）身份证复印件和授权授权书，同时提供供应商代表的身份证原件及复印件。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6.联合体磋商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　本项目是否接受联合体形式参与及相关要求见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6.2　如果本项目接受联合体磋商的，应遵守以下规定：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(1)联合体各方必须签订联合体协议书，明确联合体牵头人和各方权利、义务及分工、合同工作量比例；</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(2)联合体各方均应当符合</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规定的供应商基本资格条件；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(3)除另有规定外，联合体各方中至少有一方应当符合</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规定的供应商特定资格条件；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(4)联合体中有同类资质的供应商按照联合体分工承担相同工作的，应当按照资质等级较低的供应商确定资质等级；</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(5)联合体各方不得再单独或与其他供应商组成新的联合体参加同一项目的采购活动。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7.项目现场勘察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　本项目是否组织现场勘察见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　供应商应按</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中规定的时间及地点，对采购项目现场和周围环境的现场考察。供应商未在指定时间进行勘察的，采购人不再另行组织。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7.3　勘察现场的费用由供应商自己承担，勘察期间所发生的人身伤害及财产损失由供应商自己负责。</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7.4　采购人不对供应商据此而做出的推论、理解和结论负责。一旦成交，供应商不得以任何借口提出额外补偿或延长合同期限的要求。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其他法律法规强制性规定或其他规定。本项目的详细要求见</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二、磋商文件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10.磋商文件的构成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10.1　磋商文件各章节的内容如下：</w:t>
      </w:r>
    </w:p>
    <w:p>
      <w:pPr>
        <w:spacing w:line="360" w:lineRule="auto"/>
        <w:ind w:firstLine="718" w:firstLineChars="342"/>
        <w:rPr>
          <w:rFonts w:ascii="宋体" w:hAnsi="宋体" w:cs="宋体"/>
          <w:color w:val="auto"/>
          <w:kern w:val="0"/>
          <w:szCs w:val="21"/>
          <w:highlight w:val="none"/>
        </w:rPr>
      </w:pPr>
      <w:r>
        <w:rPr>
          <w:rFonts w:hint="eastAsia" w:ascii="宋体" w:hAnsi="宋体" w:cs="宋体"/>
          <w:color w:val="auto"/>
          <w:kern w:val="0"/>
          <w:szCs w:val="21"/>
          <w:highlight w:val="none"/>
        </w:rPr>
        <w:t>第一部分　商务部分</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第一章　磋商邀请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第二章　磋商须知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第三章　评审方法及标准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第四章　拟签订的合同文本</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第五章　响应文件组成</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第二部分　技术部分</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第六章　项目采购需求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10.2　供应商应仔细阅读磋商文件的全部内容，按照磋商文件要求编制响应文件。任何对磋商文件的忽略或误解，不能作为响应文件存在缺陷或瑕疵的理由，其风险由供应商承担。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10.3　磋商小组根据与供应商磋商情况可能实质性变动的内容，包括采购需求中的技术、服务要求以及合同文本，对磋商文件作出的实质性变动是磋商文件的有效组成部分。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11.磋商文件的澄清或者修改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　在磋商须知前附表规定的提交首次响应文件截止之日前，采购人、采购代理机构可以对已发出的磋商文件进行必要的澄清或者修改。</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11.2　澄清或者修改的内容可能影响响应文件编制的，采购人、采购代理机构应当在磋商须知前附表规定的提交首次响应文件截止之日2个工作日前，以书面形式通知所有接收磋商文件的供应商，不足2个工作日的，顺延供应商提交首次响应文件截止时间。</w:t>
      </w:r>
      <w:r>
        <w:rPr>
          <w:rFonts w:hint="eastAsia" w:ascii="宋体" w:hAnsi="宋体" w:cs="宋体"/>
          <w:b/>
          <w:color w:val="auto"/>
          <w:kern w:val="0"/>
          <w:szCs w:val="21"/>
          <w:highlight w:val="none"/>
        </w:rPr>
        <w:t>【此项目为目录外标准下项目】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　澄清或者修改内容为磋商文件的组成部分，对所有领取了磋商文件的供应商均具有约束力。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12.偏离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highlight w:val="none"/>
        </w:rPr>
        <w:t>本条所称偏离为响应文件对磋商文件的偏离，即完全响应磋商文件要求的为“无偏离”、不满足或不响应磋商文件要求的为“负偏离”、优于磋商文件要求的为“正偏离”。</w:t>
      </w:r>
    </w:p>
    <w:p>
      <w:pPr>
        <w:pStyle w:val="20"/>
        <w:spacing w:line="440" w:lineRule="exact"/>
        <w:ind w:firstLine="420" w:firstLineChars="200"/>
        <w:rPr>
          <w:rFonts w:ascii="Times New Roman"/>
          <w:color w:val="auto"/>
          <w:sz w:val="21"/>
          <w:szCs w:val="21"/>
          <w:highlight w:val="none"/>
        </w:rPr>
      </w:pPr>
      <w:r>
        <w:rPr>
          <w:rFonts w:hint="eastAsia" w:ascii="Times New Roman"/>
          <w:color w:val="auto"/>
          <w:sz w:val="21"/>
          <w:szCs w:val="21"/>
          <w:highlight w:val="none"/>
        </w:rPr>
        <w:t>★12.2 除法律、法规和规章规定外，磋商文件中用“拒绝”“不接受”“无效”“不得”“必须”“应当”（仅限标注“★”）等文字规定或其他标注“★”符号的条款为实质性要求条款(即重要条款)，对其中任何一条不满足或不响应，在评审时将其视为无效响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三、响应文件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13.一般要求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13.1　供应商应仔细阅读磋商文件的所有内容，按磋商文件的要求编制响应文件，并保证所提供的全部资料的真实性，以使其响应文件对磋商文件做出实质性的响应。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spacing w:line="360" w:lineRule="auto"/>
        <w:ind w:firstLine="420" w:firstLineChars="200"/>
        <w:rPr>
          <w:rFonts w:ascii="宋体" w:hAnsi="宋体" w:cs="宋体"/>
          <w:color w:val="auto"/>
          <w:kern w:val="0"/>
          <w:szCs w:val="21"/>
          <w:highlight w:val="none"/>
        </w:rPr>
      </w:pPr>
      <w:r>
        <w:rPr>
          <w:rFonts w:hint="eastAsia"/>
          <w:color w:val="auto"/>
          <w:highlight w:val="none"/>
        </w:rPr>
        <w:t>★</w:t>
      </w:r>
      <w:r>
        <w:rPr>
          <w:rFonts w:hint="eastAsia" w:ascii="宋体" w:hAnsi="宋体" w:cs="宋体"/>
          <w:color w:val="auto"/>
          <w:kern w:val="0"/>
          <w:szCs w:val="21"/>
          <w:highlight w:val="none"/>
        </w:rPr>
        <w:t>13.3　除技术要求另有规定外，本文件所要求使用的计量单位均采用国家法定的度、量、衡标准单位计量。未列明时亦默认为我国法定计量单位。</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13.4　供应商应按磋商文件中提供的响应文件格式填写。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13.5　磋商响应文件应采用书面形式，磋商文件中要求提供电子版的，必须按要求提供。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14.响应文件的组成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14.1　响应文件应包括但不限于下列内容：</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14.1.1　</w:t>
      </w:r>
      <w:r>
        <w:rPr>
          <w:rFonts w:hint="eastAsia" w:ascii="宋体" w:hAnsi="宋体" w:cs="宋体"/>
          <w:color w:val="auto"/>
          <w:highlight w:val="none"/>
        </w:rPr>
        <w:t>价格及</w:t>
      </w:r>
      <w:r>
        <w:rPr>
          <w:rFonts w:hint="eastAsia" w:ascii="宋体" w:hAnsi="宋体" w:cs="宋体"/>
          <w:color w:val="auto"/>
          <w:kern w:val="0"/>
          <w:szCs w:val="21"/>
          <w:highlight w:val="none"/>
        </w:rPr>
        <w:t>商务部分</w:t>
      </w:r>
      <w:r>
        <w:rPr>
          <w:rFonts w:hint="eastAsia" w:ascii="宋体" w:hAnsi="宋体" w:cs="宋体"/>
          <w:b/>
          <w:color w:val="auto"/>
          <w:kern w:val="0"/>
          <w:szCs w:val="21"/>
          <w:highlight w:val="none"/>
        </w:rPr>
        <w:t>{要求必须按照以下格式要求（如有格式要求的）提供以下带“★”的证明文件或材料}：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★(1)磋商响应声明（格式见第五章）</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★(2)报价一览表及分项价格表（格式见第五章）</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★(3)商务条款偏离表（供应商</w:t>
      </w:r>
      <w:r>
        <w:rPr>
          <w:rFonts w:hint="eastAsia" w:ascii="宋体" w:hAnsi="宋体" w:cs="宋体"/>
          <w:color w:val="auto"/>
          <w:highlight w:val="none"/>
        </w:rPr>
        <w:t>填报该表时，应按项目采购需求中的商务条款要求，结合自身参加磋商情况对商务条款逐条响应，未逐条响应的视为响应无效。格式见第五章</w:t>
      </w:r>
      <w:r>
        <w:rPr>
          <w:rFonts w:hint="eastAsia" w:ascii="宋体" w:hAnsi="宋体" w:cs="宋体"/>
          <w:color w:val="auto"/>
          <w:kern w:val="0"/>
          <w:szCs w:val="21"/>
          <w:highlight w:val="none"/>
        </w:rPr>
        <w:t>）</w:t>
      </w:r>
    </w:p>
    <w:p>
      <w:pPr>
        <w:spacing w:line="360" w:lineRule="auto"/>
        <w:ind w:firstLine="525" w:firstLineChars="250"/>
        <w:rPr>
          <w:rFonts w:ascii="宋体" w:hAnsi="宋体" w:cs="宋体"/>
          <w:b/>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)供应商符合资格条件的证明文件</w:t>
      </w:r>
      <w:r>
        <w:rPr>
          <w:rFonts w:hint="eastAsia" w:ascii="宋体" w:hAnsi="宋体" w:cs="宋体"/>
          <w:b/>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 MERGEFORMAT </w:instrText>
      </w:r>
      <w:r>
        <w:rPr>
          <w:rFonts w:hint="eastAsia" w:ascii="宋体" w:hAnsi="宋体" w:cs="宋体"/>
          <w:color w:val="auto"/>
          <w:kern w:val="0"/>
          <w:szCs w:val="21"/>
          <w:highlight w:val="none"/>
        </w:rPr>
        <w:fldChar w:fldCharType="separate"/>
      </w:r>
      <w:r>
        <w:rPr>
          <w:color w:val="auto"/>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供应商基本情况表（格式见第五章）</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GB3 \* MERGEFORMAT </w:instrText>
      </w:r>
      <w:r>
        <w:rPr>
          <w:rFonts w:hint="eastAsia" w:ascii="宋体" w:hAnsi="宋体" w:cs="宋体"/>
          <w:color w:val="auto"/>
          <w:kern w:val="0"/>
          <w:szCs w:val="21"/>
          <w:highlight w:val="none"/>
        </w:rPr>
        <w:fldChar w:fldCharType="separate"/>
      </w:r>
      <w:r>
        <w:rPr>
          <w:color w:val="auto"/>
          <w:highlight w:val="none"/>
        </w:rPr>
        <w:t>②</w:t>
      </w:r>
      <w:r>
        <w:rPr>
          <w:rFonts w:hint="eastAsia" w:ascii="宋体" w:hAnsi="宋体" w:cs="宋体"/>
          <w:color w:val="auto"/>
          <w:kern w:val="0"/>
          <w:szCs w:val="21"/>
          <w:highlight w:val="none"/>
        </w:rPr>
        <w:fldChar w:fldCharType="end"/>
      </w:r>
      <w:r>
        <w:rPr>
          <w:rFonts w:hint="eastAsia"/>
          <w:color w:val="auto"/>
          <w:highlight w:val="none"/>
        </w:rPr>
        <w:t>有效的新版“营业执照”或《事业单位法人证书》或其他依法成立组织的证明文件</w:t>
      </w:r>
      <w:r>
        <w:rPr>
          <w:rFonts w:hint="eastAsia" w:ascii="宋体" w:hAnsi="宋体" w:cs="宋体"/>
          <w:color w:val="auto"/>
          <w:highlight w:val="none"/>
        </w:rPr>
        <w:t>（必须具有，如能够在线查询的材料，请提供国家有关部门规定查询的网址链接</w:t>
      </w:r>
      <w:r>
        <w:rPr>
          <w:rFonts w:hint="eastAsia"/>
          <w:color w:val="auto"/>
          <w:highlight w:val="none"/>
        </w:rPr>
        <w:t>，</w:t>
      </w:r>
      <w:r>
        <w:rPr>
          <w:rFonts w:hint="eastAsia"/>
          <w:b/>
          <w:color w:val="auto"/>
          <w:highlight w:val="none"/>
        </w:rPr>
        <w:t>原件备查</w:t>
      </w:r>
      <w:r>
        <w:rPr>
          <w:rFonts w:hint="eastAsia" w:ascii="宋体" w:hAnsi="宋体" w:cs="宋体"/>
          <w:color w:val="auto"/>
          <w:highlight w:val="none"/>
        </w:rPr>
        <w:t>）</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GB3 \* MERGEFORMAT </w:instrText>
      </w:r>
      <w:r>
        <w:rPr>
          <w:rFonts w:hint="eastAsia" w:ascii="宋体" w:hAnsi="宋体" w:cs="宋体"/>
          <w:color w:val="auto"/>
          <w:kern w:val="0"/>
          <w:szCs w:val="21"/>
          <w:highlight w:val="none"/>
        </w:rPr>
        <w:fldChar w:fldCharType="separate"/>
      </w:r>
      <w:r>
        <w:rPr>
          <w:color w:val="auto"/>
          <w:highlight w:val="none"/>
        </w:rPr>
        <w:t>③</w:t>
      </w:r>
      <w:r>
        <w:rPr>
          <w:rFonts w:hint="eastAsia" w:ascii="宋体" w:hAnsi="宋体" w:cs="宋体"/>
          <w:color w:val="auto"/>
          <w:kern w:val="0"/>
          <w:szCs w:val="21"/>
          <w:highlight w:val="none"/>
        </w:rPr>
        <w:fldChar w:fldCharType="end"/>
      </w:r>
      <w:r>
        <w:rPr>
          <w:rFonts w:hint="eastAsia"/>
          <w:color w:val="auto"/>
          <w:highlight w:val="none"/>
        </w:rPr>
        <w:t>有效的税务登记证（必须具有，如能够在线查询的材料，请提供国家有关部门规定</w:t>
      </w:r>
      <w:r>
        <w:rPr>
          <w:rFonts w:hint="eastAsia" w:hAnsi="Calibri"/>
          <w:color w:val="auto"/>
          <w:highlight w:val="none"/>
        </w:rPr>
        <w:t>查询的网址链接</w:t>
      </w:r>
      <w:r>
        <w:rPr>
          <w:rFonts w:hint="eastAsia"/>
          <w:color w:val="auto"/>
          <w:highlight w:val="none"/>
        </w:rPr>
        <w:t>，</w:t>
      </w:r>
      <w:r>
        <w:rPr>
          <w:rFonts w:hint="eastAsia"/>
          <w:b/>
          <w:color w:val="auto"/>
          <w:highlight w:val="none"/>
        </w:rPr>
        <w:t>原件备查</w:t>
      </w:r>
      <w:r>
        <w:rPr>
          <w:rFonts w:hint="eastAsia"/>
          <w:color w:val="auto"/>
          <w:highlight w:val="none"/>
        </w:rPr>
        <w:t>）；（若已经取得“三证合一”的可不提供）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4 \* GB3 \* MERGEFORMAT </w:instrText>
      </w:r>
      <w:r>
        <w:rPr>
          <w:rFonts w:hint="eastAsia" w:ascii="宋体" w:hAnsi="宋体" w:cs="宋体"/>
          <w:color w:val="auto"/>
          <w:kern w:val="0"/>
          <w:szCs w:val="21"/>
          <w:highlight w:val="none"/>
        </w:rPr>
        <w:fldChar w:fldCharType="separate"/>
      </w:r>
      <w:r>
        <w:rPr>
          <w:color w:val="auto"/>
          <w:highlight w:val="none"/>
        </w:rPr>
        <w:t>④</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法定代表人（负责人）完整有效的身份证复印件（第二代身份证必须提供正反面复印件）。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5 \* GB3 \* MERGEFORMAT </w:instrText>
      </w:r>
      <w:r>
        <w:rPr>
          <w:rFonts w:hint="eastAsia" w:ascii="宋体" w:hAnsi="宋体" w:cs="宋体"/>
          <w:color w:val="auto"/>
          <w:kern w:val="0"/>
          <w:szCs w:val="21"/>
          <w:highlight w:val="none"/>
        </w:rPr>
        <w:fldChar w:fldCharType="separate"/>
      </w:r>
      <w:r>
        <w:rPr>
          <w:color w:val="auto"/>
          <w:highlight w:val="none"/>
        </w:rPr>
        <w:t>⑤</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法定代表人（负责人）授权委托书(格式见第五章) 和委托代理人完整有效的身份证复印件（委托代理时必须提供。第二代身份证必须提供正反面复印件）。</w:t>
      </w:r>
    </w:p>
    <w:p>
      <w:pPr>
        <w:pStyle w:val="20"/>
        <w:spacing w:line="440" w:lineRule="exact"/>
        <w:ind w:firstLine="420" w:firstLineChars="200"/>
        <w:rPr>
          <w:rFonts w:ascii="Times New Roman"/>
          <w:color w:val="auto"/>
          <w:sz w:val="21"/>
          <w:szCs w:val="21"/>
          <w:highlight w:val="none"/>
        </w:rPr>
      </w:pPr>
      <w:r>
        <w:rPr>
          <w:rFonts w:hint="eastAsia" w:hAnsi="宋体" w:cs="宋体"/>
          <w:color w:val="auto"/>
          <w:sz w:val="21"/>
          <w:szCs w:val="22"/>
          <w:highlight w:val="none"/>
        </w:rPr>
        <w:t>★</w:t>
      </w:r>
      <w:r>
        <w:rPr>
          <w:rFonts w:hint="eastAsia" w:hAnsi="宋体" w:cs="宋体"/>
          <w:color w:val="auto"/>
          <w:sz w:val="21"/>
          <w:szCs w:val="22"/>
          <w:highlight w:val="none"/>
        </w:rPr>
        <w:fldChar w:fldCharType="begin"/>
      </w:r>
      <w:r>
        <w:rPr>
          <w:rFonts w:hint="eastAsia" w:hAnsi="宋体" w:cs="宋体"/>
          <w:color w:val="auto"/>
          <w:sz w:val="21"/>
          <w:szCs w:val="22"/>
          <w:highlight w:val="none"/>
        </w:rPr>
        <w:instrText xml:space="preserve"> = 6 \* GB3 \* MERGEFORMAT </w:instrText>
      </w:r>
      <w:r>
        <w:rPr>
          <w:rFonts w:hint="eastAsia" w:hAnsi="宋体" w:cs="宋体"/>
          <w:color w:val="auto"/>
          <w:sz w:val="21"/>
          <w:szCs w:val="22"/>
          <w:highlight w:val="none"/>
        </w:rPr>
        <w:fldChar w:fldCharType="separate"/>
      </w:r>
      <w:r>
        <w:rPr>
          <w:color w:val="auto"/>
          <w:sz w:val="21"/>
          <w:szCs w:val="21"/>
          <w:highlight w:val="none"/>
        </w:rPr>
        <w:t>⑥</w:t>
      </w:r>
      <w:r>
        <w:rPr>
          <w:rFonts w:hint="eastAsia" w:hAnsi="宋体" w:cs="宋体"/>
          <w:color w:val="auto"/>
          <w:sz w:val="21"/>
          <w:szCs w:val="22"/>
          <w:highlight w:val="none"/>
        </w:rPr>
        <w:fldChar w:fldCharType="end"/>
      </w:r>
      <w:r>
        <w:rPr>
          <w:rFonts w:hint="eastAsia" w:ascii="Times New Roman"/>
          <w:color w:val="auto"/>
          <w:sz w:val="21"/>
          <w:szCs w:val="21"/>
          <w:highlight w:val="none"/>
        </w:rPr>
        <w:t>供应商参加本项目磋商时上一年度（2021年）的年度财务报告复印件（如供应商为参加本项目磋商当年新成立公司的，应提供于公司成立之日后的财务报表），</w:t>
      </w:r>
      <w:r>
        <w:rPr>
          <w:rFonts w:hint="eastAsia" w:ascii="Times New Roman"/>
          <w:b/>
          <w:color w:val="auto"/>
          <w:sz w:val="21"/>
          <w:szCs w:val="21"/>
          <w:highlight w:val="none"/>
        </w:rPr>
        <w:t>原件备查</w:t>
      </w:r>
      <w:r>
        <w:rPr>
          <w:rFonts w:hint="eastAsia" w:ascii="Times New Roman"/>
          <w:color w:val="auto"/>
          <w:sz w:val="21"/>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7 \* GB3 \* MERGEFORMAT </w:instrText>
      </w:r>
      <w:r>
        <w:rPr>
          <w:rFonts w:hint="eastAsia" w:ascii="宋体" w:hAnsi="宋体" w:cs="宋体"/>
          <w:color w:val="auto"/>
          <w:kern w:val="0"/>
          <w:szCs w:val="21"/>
          <w:highlight w:val="none"/>
        </w:rPr>
        <w:fldChar w:fldCharType="separate"/>
      </w:r>
      <w:r>
        <w:rPr>
          <w:color w:val="auto"/>
          <w:highlight w:val="none"/>
        </w:rPr>
        <w:t>⑦</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响应文件递交截止时间前半年内供应商连续三个月的依法纳税的依法缴纳税费或依法免缴税费的证明（复印件，原件备查）；供应商无纳税记录或为新成立公司，应提供由供应商所在地主管税务部门出具的依法纳税或依法免税证明（复印件</w:t>
      </w:r>
      <w:r>
        <w:rPr>
          <w:rFonts w:hint="eastAsia"/>
          <w:color w:val="auto"/>
          <w:highlight w:val="none"/>
        </w:rPr>
        <w:t>，</w:t>
      </w:r>
      <w:r>
        <w:rPr>
          <w:rFonts w:hint="eastAsia"/>
          <w:b/>
          <w:color w:val="auto"/>
          <w:highlight w:val="none"/>
        </w:rPr>
        <w:t>原件备查</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8 \* GB3 \* MERGEFORMAT </w:instrText>
      </w:r>
      <w:r>
        <w:rPr>
          <w:rFonts w:hint="eastAsia" w:ascii="宋体" w:hAnsi="宋体" w:cs="宋体"/>
          <w:color w:val="auto"/>
          <w:kern w:val="0"/>
          <w:szCs w:val="21"/>
          <w:highlight w:val="none"/>
        </w:rPr>
        <w:fldChar w:fldCharType="separate"/>
      </w:r>
      <w:r>
        <w:rPr>
          <w:color w:val="auto"/>
          <w:highlight w:val="none"/>
        </w:rPr>
        <w:t>⑧</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响应文件递交截止时间前半年内供应商连续三个月的依法缴纳社保费的缴费凭证（复印件</w:t>
      </w:r>
      <w:r>
        <w:rPr>
          <w:rFonts w:hint="eastAsia"/>
          <w:color w:val="auto"/>
          <w:highlight w:val="none"/>
        </w:rPr>
        <w:t>，</w:t>
      </w:r>
      <w:r>
        <w:rPr>
          <w:rFonts w:hint="eastAsia"/>
          <w:b/>
          <w:color w:val="auto"/>
          <w:highlight w:val="none"/>
        </w:rPr>
        <w:t>原件备查</w:t>
      </w:r>
      <w:r>
        <w:rPr>
          <w:rFonts w:hint="eastAsia" w:ascii="宋体" w:hAnsi="宋体" w:cs="宋体"/>
          <w:color w:val="auto"/>
          <w:kern w:val="0"/>
          <w:szCs w:val="21"/>
          <w:highlight w:val="none"/>
        </w:rPr>
        <w:t>）；供应商无缴费记录或为新成立公司，应提供由供应商所在地社保部门出具的依法缴纳或依法免缴社保费证明（复印件</w:t>
      </w:r>
      <w:r>
        <w:rPr>
          <w:rFonts w:hint="eastAsia"/>
          <w:color w:val="auto"/>
          <w:highlight w:val="none"/>
        </w:rPr>
        <w:t>，</w:t>
      </w:r>
      <w:r>
        <w:rPr>
          <w:rFonts w:hint="eastAsia"/>
          <w:b/>
          <w:color w:val="auto"/>
          <w:highlight w:val="none"/>
        </w:rPr>
        <w:t>原件备查</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9 \* GB3 \* MERGEFORMAT </w:instrText>
      </w:r>
      <w:r>
        <w:rPr>
          <w:rFonts w:hint="eastAsia" w:ascii="宋体" w:hAnsi="宋体" w:cs="宋体"/>
          <w:color w:val="auto"/>
          <w:kern w:val="0"/>
          <w:szCs w:val="21"/>
          <w:highlight w:val="none"/>
        </w:rPr>
        <w:fldChar w:fldCharType="separate"/>
      </w:r>
      <w:r>
        <w:rPr>
          <w:color w:val="auto"/>
          <w:highlight w:val="none"/>
        </w:rPr>
        <w:t>⑨</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参加本采购活动前三年内在经营活动中没有重大违法记录的书面声明（格式见第五章）。</w:t>
      </w:r>
    </w:p>
    <w:p>
      <w:pPr>
        <w:spacing w:line="360" w:lineRule="auto"/>
        <w:ind w:firstLine="630" w:firstLineChars="300"/>
        <w:rPr>
          <w:color w:val="auto"/>
          <w:highlight w:val="none"/>
        </w:rPr>
      </w:pPr>
      <w:r>
        <w:rPr>
          <w:rFonts w:hint="eastAsia"/>
          <w:color w:val="auto"/>
          <w:highlight w:val="none"/>
        </w:rPr>
        <w:fldChar w:fldCharType="begin"/>
      </w:r>
      <w:r>
        <w:rPr>
          <w:rFonts w:hint="eastAsia"/>
          <w:color w:val="auto"/>
          <w:highlight w:val="none"/>
        </w:rPr>
        <w:instrText xml:space="preserve"> = 10 \* GB3 \* MERGEFORMAT </w:instrText>
      </w:r>
      <w:r>
        <w:rPr>
          <w:rFonts w:hint="eastAsia"/>
          <w:color w:val="auto"/>
          <w:highlight w:val="none"/>
        </w:rPr>
        <w:fldChar w:fldCharType="separate"/>
      </w:r>
      <w:r>
        <w:rPr>
          <w:color w:val="auto"/>
          <w:highlight w:val="none"/>
        </w:rPr>
        <w:t>⑩</w:t>
      </w:r>
      <w:r>
        <w:rPr>
          <w:rFonts w:hint="eastAsia"/>
          <w:color w:val="auto"/>
          <w:highlight w:val="none"/>
        </w:rPr>
        <w:fldChar w:fldCharType="end"/>
      </w:r>
      <w:r>
        <w:rPr>
          <w:rFonts w:hint="eastAsia"/>
          <w:color w:val="auto"/>
          <w:highlight w:val="none"/>
        </w:rPr>
        <w:t>联合体协议（联合体磋商时必须提供，</w:t>
      </w:r>
      <w:r>
        <w:rPr>
          <w:rFonts w:hint="eastAsia" w:ascii="宋体" w:hAnsi="宋体" w:cs="宋体"/>
          <w:color w:val="auto"/>
          <w:kern w:val="0"/>
          <w:szCs w:val="21"/>
          <w:highlight w:val="none"/>
        </w:rPr>
        <w:t>格式见第五章</w:t>
      </w:r>
      <w:r>
        <w:rPr>
          <w:rFonts w:hint="eastAsia"/>
          <w:color w:val="auto"/>
          <w:highlight w:val="none"/>
        </w:rPr>
        <w:t>）</w:t>
      </w:r>
    </w:p>
    <w:p>
      <w:pPr>
        <w:spacing w:line="360" w:lineRule="auto"/>
        <w:ind w:firstLine="630" w:firstLineChars="300"/>
        <w:rPr>
          <w:rFonts w:ascii="宋体" w:hAnsi="宋体" w:cs="宋体"/>
          <w:color w:val="auto"/>
          <w:kern w:val="0"/>
          <w:szCs w:val="21"/>
          <w:highlight w:val="none"/>
          <w:u w:val="single"/>
        </w:rPr>
      </w:pPr>
      <w:r>
        <w:rPr>
          <w:rFonts w:hint="eastAsia" w:ascii="宋体" w:hAnsi="宋体" w:cs="宋体"/>
          <w:color w:val="auto"/>
          <w:kern w:val="0"/>
          <w:szCs w:val="21"/>
          <w:highlight w:val="none"/>
        </w:rPr>
        <w:t>⑪</w:t>
      </w:r>
      <w:r>
        <w:rPr>
          <w:rFonts w:hint="eastAsia"/>
          <w:color w:val="auto"/>
          <w:highlight w:val="none"/>
        </w:rPr>
        <w:t>特定资格条件</w:t>
      </w:r>
      <w:r>
        <w:rPr>
          <w:rFonts w:hint="eastAsia" w:ascii="宋体" w:hAnsi="宋体" w:cs="宋体"/>
          <w:color w:val="auto"/>
          <w:kern w:val="0"/>
          <w:szCs w:val="21"/>
          <w:highlight w:val="none"/>
        </w:rPr>
        <w:t>：无。</w:t>
      </w:r>
    </w:p>
    <w:p>
      <w:pPr>
        <w:numPr>
          <w:ilvl w:val="255"/>
          <w:numId w:val="0"/>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）符合相关扶持政策的证明材料</w:t>
      </w:r>
    </w:p>
    <w:p>
      <w:pPr>
        <w:pStyle w:val="2"/>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（7）磋商须知前附表要求供应商须提供的其他资料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（8）供应商认为需提供的其他资料</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14.1.2　技术部分</w:t>
      </w:r>
      <w:r>
        <w:rPr>
          <w:rFonts w:hint="eastAsia" w:ascii="宋体" w:hAnsi="宋体" w:cs="宋体"/>
          <w:b/>
          <w:color w:val="auto"/>
          <w:kern w:val="0"/>
          <w:szCs w:val="21"/>
          <w:highlight w:val="none"/>
        </w:rPr>
        <w:t>{要求必须按照以下格式要求（如有格式要求的）提供以下带“★”的证明文件或材料}：</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(1服务方案（格式自拟）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★(2)技术条款偏离表（供应商</w:t>
      </w:r>
      <w:r>
        <w:rPr>
          <w:rFonts w:hint="eastAsia"/>
          <w:color w:val="auto"/>
          <w:highlight w:val="none"/>
        </w:rPr>
        <w:t>填报该表时，应按项目采购需求中的技术服务需求及要求，结合自身磋商情况对技术条款逐条响应，未逐条响应的视为磋商无效。</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w:t>
      </w:r>
      <w:r>
        <w:rPr>
          <w:rFonts w:hint="eastAsia" w:hAnsi="宋体" w:cs="宋体"/>
          <w:color w:val="auto"/>
          <w:highlight w:val="none"/>
        </w:rPr>
        <w:t>服务承诺</w:t>
      </w:r>
      <w:r>
        <w:rPr>
          <w:rFonts w:hint="eastAsia"/>
          <w:color w:val="auto"/>
          <w:highlight w:val="none"/>
        </w:rPr>
        <w:t>（应包含</w:t>
      </w:r>
      <w:r>
        <w:rPr>
          <w:rFonts w:hint="eastAsia" w:ascii="宋体" w:hAnsi="宋体" w:cs="宋体"/>
          <w:color w:val="auto"/>
          <w:kern w:val="0"/>
          <w:szCs w:val="21"/>
          <w:highlight w:val="none"/>
        </w:rPr>
        <w:t>售后服务承诺）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(4)用于本项目人员简历表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(5)磋商标的物符合磋商文件要求的相关证明文件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(6)其他资料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14.2　</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规定供应商在首次响应文件递交时提供样品的，供应商有以下情形之一的，在评审时将其视为无效响应文件。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(1)未在</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规定的提交时间、地点提交的；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(2)供应商提供的样品与响应文件中型号、规格不一致的。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14.3　在磋商过程中，供应商根据磋商小组书面形式要求提供的澄清文件是响应文件的有效组成部分。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14.4　在磋商过程中，供应商根据磋商小组书面形式要求提交的最后报价(或者重新提交的响应文件和最后报价)是响应文件的有效组成部分。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14.5　磋商文件规定可能发生实质性变动的，供应商应当在《商务条款偏离表》和《技术条款偏离表》中的对应内容处注明。</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14.6　供应商无论成交与否，其响应文件不予退还。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15.磋商报价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　供应商应按磋商文件规定的供货及服务要求、责任范围和合同条件，以人民币进行报价。磋商</w:t>
      </w:r>
      <w:r>
        <w:rPr>
          <w:rFonts w:hint="eastAsia" w:ascii="宋体" w:hAnsi="宋体" w:cs="宋体"/>
          <w:color w:val="auto"/>
          <w:szCs w:val="21"/>
          <w:highlight w:val="none"/>
        </w:rPr>
        <w:t>报价应为完税价。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15.3供应商</w:t>
      </w:r>
      <w:r>
        <w:rPr>
          <w:rFonts w:hint="eastAsia" w:ascii="宋体" w:hAnsi="宋体" w:cs="宋体"/>
          <w:color w:val="auto"/>
          <w:szCs w:val="21"/>
          <w:highlight w:val="none"/>
        </w:rPr>
        <w:t>对每种货物及服务只允许有一个报价，不接受可变动性报价、赠送及“零”报价，否则，在评审时将其视为无效磋商</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　项目有特殊要求的见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16.磋商保证金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　本项目是否交纳磋商保证金要求见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　磋商须知前附表规定交纳磋商保证金的，供应商应以</w:t>
      </w:r>
      <w:r>
        <w:rPr>
          <w:rFonts w:hint="eastAsia"/>
          <w:color w:val="auto"/>
          <w:highlight w:val="none"/>
        </w:rPr>
        <w:t>银行转账、支票、汇票、本票或者金融、担保机构出具的保函等非现金形式</w:t>
      </w:r>
      <w:r>
        <w:rPr>
          <w:rFonts w:hint="eastAsia" w:ascii="宋体" w:hAnsi="宋体" w:cs="宋体"/>
          <w:color w:val="auto"/>
          <w:kern w:val="0"/>
          <w:szCs w:val="21"/>
          <w:highlight w:val="none"/>
        </w:rPr>
        <w:t>，</w:t>
      </w:r>
      <w:r>
        <w:rPr>
          <w:rFonts w:hint="eastAsia"/>
          <w:color w:val="auto"/>
          <w:highlight w:val="none"/>
        </w:rPr>
        <w:t>禁止采用现钞方式，</w:t>
      </w:r>
      <w:r>
        <w:rPr>
          <w:rFonts w:hint="eastAsia" w:ascii="宋体" w:hAnsi="宋体" w:cs="宋体"/>
          <w:color w:val="auto"/>
          <w:kern w:val="0"/>
          <w:szCs w:val="21"/>
          <w:highlight w:val="none"/>
        </w:rPr>
        <w:t>在本章</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规定的提交首次响应文件截止时间前提交</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规定的磋商保证金</w:t>
      </w:r>
      <w:r>
        <w:rPr>
          <w:color w:val="auto"/>
          <w:highlight w:val="none"/>
        </w:rPr>
        <w:t>(</w:t>
      </w:r>
      <w:r>
        <w:rPr>
          <w:rFonts w:hint="eastAsia"/>
          <w:color w:val="auto"/>
          <w:highlight w:val="none"/>
        </w:rPr>
        <w:t>数额采用四舍五入</w:t>
      </w:r>
      <w:r>
        <w:rPr>
          <w:rFonts w:hint="eastAsia" w:cs="MingLiU_HKSCS"/>
          <w:color w:val="auto"/>
          <w:highlight w:val="none"/>
        </w:rPr>
        <w:t>，</w:t>
      </w:r>
      <w:r>
        <w:rPr>
          <w:rFonts w:hint="eastAsia"/>
          <w:color w:val="auto"/>
          <w:highlight w:val="none"/>
        </w:rPr>
        <w:t>计算至元</w:t>
      </w:r>
      <w:r>
        <w:rPr>
          <w:color w:val="auto"/>
          <w:highlight w:val="none"/>
        </w:rPr>
        <w:t>)</w:t>
      </w:r>
      <w:r>
        <w:rPr>
          <w:rFonts w:hint="eastAsia" w:ascii="宋体" w:hAnsi="宋体" w:cs="宋体"/>
          <w:color w:val="auto"/>
          <w:kern w:val="0"/>
          <w:szCs w:val="21"/>
          <w:highlight w:val="none"/>
        </w:rPr>
        <w:t>。磋商保证金有效期应当与本章</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规定的磋商响应有效期一致。供应商未按磋商文件要求提交磋商保证金的，采购人或采购代理机构应当拒绝接收供应商的响应文件</w:t>
      </w:r>
      <w:r>
        <w:rPr>
          <w:rFonts w:hint="eastAsia"/>
          <w:color w:val="auto"/>
          <w:highlight w:val="none"/>
        </w:rPr>
        <w:t>或磋商小组在评审时将其视为无效磋商</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16.3　供应商为联合体的，可以由联合体中的一方或者共同交纳磋商保证金。</w:t>
      </w:r>
      <w:r>
        <w:rPr>
          <w:rFonts w:hint="eastAsia"/>
          <w:color w:val="auto"/>
          <w:highlight w:val="none"/>
        </w:rPr>
        <w:t>以一方名义提交</w:t>
      </w:r>
      <w:r>
        <w:rPr>
          <w:rFonts w:hint="eastAsia" w:ascii="宋体" w:hAnsi="宋体" w:cs="宋体"/>
          <w:color w:val="auto"/>
          <w:kern w:val="0"/>
          <w:szCs w:val="21"/>
          <w:highlight w:val="none"/>
        </w:rPr>
        <w:t>磋商保证金的，对联合体各方均具有约束力。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16.4　未成交供应商的磋商保证金，在成交通知书发出后5个工作日内退还，但因供应商自身原因导致无法及时退还的除外。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16.5成交供应商的磋商保证金，将在采购合同签订后5个工作日内退还，但因供应商自身原因导致无法及时退还的除外。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16.6　供应商有下列情形之一的，磋商保证金不予退还：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(1)供应商在提交响应文件截止时间后撤回响应文件的；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(2)供应商在响应文件中提供虚假材料的；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(3)除因不可抗力或磋商文件认可的情形以外，成交供应商不与采购人签订合同的；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(4)供应商与采购人、其他供应商或者采购代理机构恶意串通的；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(5)磋商文件规定的其他情形。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17.磋商响应有效期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　磋商响应有效期见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，在此期间响应文件对供应商具有法律约束力</w:t>
      </w:r>
      <w:r>
        <w:rPr>
          <w:rFonts w:hint="eastAsia" w:cs="MingLiU_HKSCS"/>
          <w:color w:val="auto"/>
          <w:highlight w:val="none"/>
        </w:rPr>
        <w:t>，</w:t>
      </w:r>
      <w:r>
        <w:rPr>
          <w:rFonts w:hint="eastAsia"/>
          <w:color w:val="auto"/>
          <w:highlight w:val="none"/>
        </w:rPr>
        <w:t>以保证采购人有足够的时间完成评审、确定成交供应商以及签订合同</w:t>
      </w:r>
      <w:r>
        <w:rPr>
          <w:rFonts w:hint="eastAsia" w:ascii="宋体" w:hAnsi="宋体" w:cs="宋体"/>
          <w:color w:val="auto"/>
          <w:kern w:val="0"/>
          <w:szCs w:val="21"/>
          <w:highlight w:val="none"/>
        </w:rPr>
        <w:t>。响应文件有效期从</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规定的提交首次响应文件截止时间之日起计算。磋商响应有效期不足的，在评审时将其视为无效响应。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特殊情况需延长磋商响应有效期的，采购人或采购代理机构可于磋商响应有效期届满之前，要求供应商同意延长有效期，采购人或采购代理机构的要求与供应商的答复均应为书面形式。供应商拒绝延长的，其响应在原磋商响应有效期届满后将不再有效，但有权收回其磋商保证金；供应商同意延长的，应相应延长其磋商保证金的有效期，但不允许修改或撤回响应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18.响应文件的签署及规定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18.1　供应商应根据</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规定提交响应文件。纸质文件的正本和副本应装订成册。正本和副本的封面上应标记“正本”或“副本”的字样，当正本和副本</w:t>
      </w:r>
      <w:r>
        <w:rPr>
          <w:rFonts w:hint="eastAsia"/>
          <w:color w:val="auto"/>
          <w:highlight w:val="none"/>
        </w:rPr>
        <w:t>、电子版不一致时</w:t>
      </w:r>
      <w:r>
        <w:rPr>
          <w:rFonts w:hint="eastAsia" w:ascii="宋体" w:hAnsi="宋体" w:cs="宋体"/>
          <w:color w:val="auto"/>
          <w:kern w:val="0"/>
          <w:szCs w:val="21"/>
          <w:highlight w:val="none"/>
        </w:rPr>
        <w:t>，以正本为准。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18.2　响应文件应用不褪色的材料打印或书写，并按磋商文件要求在签字盖章处盖公章和由法定代表人（负责人）或其授权代表签字。响应文件中的任何</w:t>
      </w:r>
      <w:r>
        <w:rPr>
          <w:rFonts w:hint="eastAsia"/>
          <w:color w:val="auto"/>
          <w:highlight w:val="none"/>
        </w:rPr>
        <w:t>行间插字、涂改和增删</w:t>
      </w:r>
      <w:r>
        <w:rPr>
          <w:rFonts w:hint="eastAsia" w:ascii="宋体" w:hAnsi="宋体" w:cs="宋体"/>
          <w:color w:val="auto"/>
          <w:kern w:val="0"/>
          <w:szCs w:val="21"/>
          <w:highlight w:val="none"/>
        </w:rPr>
        <w:t>，应加盖单位公章或由法定代表人（负责人）或其授权代表签字确认。否则，在评审时将其视为无效响应。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18.3　在磋商过程中，供应商按磋商文件规定和磋商小组要求重新提交的响应文件和最后报价，应打印或用不褪色墨水书写，并由法定代表人（负责人）或其授权代表签字。否则，在评审时将其视为无效响应。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19.响应文件的密封和标记</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19.1　响应文件的密封、标记详见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19.2　响应文件封套或外包装上应载明的内容见磋商须知前附表。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　响应文件如果未按上述规定密封和标记，采购人或采购代理机构应当拒绝接收。</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19.4  采购人或采购代理机构不得因装订、纸张、文件排序等非实质性的格式、形式问题限制和影响供应商响应。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20.响应文件的递交</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　响应文件应在</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规定的响应文件递交截止时间之前密封送到</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指定的地点。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采购人或者采购代理机构收到响应文件后，应当如实记载响应文件的送达时间和密封情况，签收保存，并向供应商出具签收回执。任何单位和个人不得在响应文件开启时间前开启响应文件。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20.2　</w:t>
      </w:r>
      <w:r>
        <w:rPr>
          <w:rFonts w:hint="eastAsia"/>
          <w:color w:val="auto"/>
          <w:highlight w:val="none"/>
        </w:rPr>
        <w:t>逾期送达或者未按照磋商文件要求密封的</w:t>
      </w:r>
      <w:r>
        <w:rPr>
          <w:rFonts w:hint="eastAsia" w:ascii="宋体" w:hAnsi="宋体" w:cs="宋体"/>
          <w:color w:val="auto"/>
          <w:kern w:val="0"/>
          <w:szCs w:val="21"/>
          <w:highlight w:val="none"/>
        </w:rPr>
        <w:t>响应文件，</w:t>
      </w:r>
      <w:r>
        <w:rPr>
          <w:rFonts w:hint="eastAsia"/>
          <w:color w:val="auto"/>
          <w:highlight w:val="none"/>
        </w:rPr>
        <w:t>采购人、采购代理机构应当拒收</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21.响应文件的补充、修改或者撤回</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　在</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规定的提交首次响应文件截止时间前，供应商可以书面形式修改、补充或撤回已递交的响应文件，但应以书面形式通知采购人或采购代理机构。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　修改、补充的内容为响应文件的组成部分。修改、补充的响应文件应按本章第18、19、20项规定编制、签署、密封、标记和递交，并标明“修改、补充”字样。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供应商按本章21.1款撤回响应文件的，采购人或采购代理机构自收到供应商书面撤回通知之日起5个工作日内，退还已收取的磋商保证金，但因供应商自身原因导致无法及时退还的除外。</w:t>
      </w:r>
    </w:p>
    <w:p>
      <w:pPr>
        <w:pStyle w:val="2"/>
        <w:ind w:firstLine="420" w:firstLineChars="200"/>
        <w:rPr>
          <w:color w:val="auto"/>
          <w:highlight w:val="none"/>
        </w:rPr>
      </w:pPr>
      <w:r>
        <w:rPr>
          <w:rFonts w:hint="eastAsia"/>
          <w:color w:val="auto"/>
          <w:highlight w:val="none"/>
        </w:rPr>
        <w:t>21.4　供应商在磋商有效期内不得修改、撤销其响应文件。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四、磋商与评审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22.磋商小组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　磋商与评审由依法组建的磋商小组负责，磋商小组由采购人代表和评审专家组成。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23.初步审查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　磋商小组应当对供应商提交的首次响应文件进行初步审查，包括响应文件的有效性、完整性、符合性。除可变动的技术、服务要求以及合同文本外，首次提交的响应文件有下列情况之一，其响应文件无效，磋商小组应当告知有关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)未按照磋商文件规定要求密封、签署、盖章的；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)响应有效期不足的；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)供应商不满足磋商文件供应商资格条件或未按照磋商文件规定提供资格证明材料的；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)响应文件不满足磋商文件实质性条款的。响应文件是否实质性响应磋商文件，由磋商小组依据磋商文件规定、供应商响应文件及磋商情况认定；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)供应商存在失信记录的：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供应商资格条件第1项条款的情况。</w:t>
      </w:r>
      <w:r>
        <w:rPr>
          <w:rFonts w:hint="eastAsia" w:hAnsi="宋体"/>
          <w:color w:val="auto"/>
          <w:highlight w:val="none"/>
        </w:rPr>
        <w:t>两个以上的自然人、法人或者其他组织组成一个联合体，以一个供应商的身份共同参加采购活动的，应当对所有联合体成员进行信</w:t>
      </w:r>
      <w:r>
        <w:rPr>
          <w:rFonts w:hint="eastAsia"/>
          <w:color w:val="auto"/>
          <w:highlight w:val="none"/>
        </w:rPr>
        <w:t>用记录查询，联合体成员存在不良信用记录的，视同联合体存在不良信用记录。</w:t>
      </w:r>
      <w:r>
        <w:rPr>
          <w:rFonts w:hint="eastAsia" w:ascii="宋体" w:hAnsi="宋体" w:cs="宋体"/>
          <w:color w:val="auto"/>
          <w:kern w:val="0"/>
          <w:szCs w:val="21"/>
          <w:highlight w:val="none"/>
        </w:rPr>
        <w:t>失信情况查询方法详见</w:t>
      </w:r>
      <w:r>
        <w:rPr>
          <w:rFonts w:hint="eastAsia" w:ascii="宋体" w:hAnsi="宋体" w:cs="宋体"/>
          <w:b/>
          <w:bCs/>
          <w:color w:val="auto"/>
          <w:kern w:val="0"/>
          <w:szCs w:val="21"/>
          <w:highlight w:val="none"/>
        </w:rPr>
        <w:t>磋商须知前附表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)其他不符合法律、规章、规范性文件和磋商文件规定的。</w:t>
      </w:r>
    </w:p>
    <w:p>
      <w:pPr>
        <w:pStyle w:val="20"/>
        <w:spacing w:line="440" w:lineRule="exact"/>
        <w:ind w:firstLine="400" w:firstLineChars="200"/>
        <w:rPr>
          <w:rFonts w:ascii="Times New Roman" w:eastAsia="MingLiU_HKSCS"/>
          <w:color w:val="auto"/>
          <w:highlight w:val="none"/>
        </w:rPr>
      </w:pPr>
      <w:r>
        <w:rPr>
          <w:rFonts w:hint="eastAsia" w:ascii="Times New Roman"/>
          <w:color w:val="auto"/>
          <w:highlight w:val="none"/>
        </w:rPr>
        <w:t>23.2　已经进行资格预审的，可以不再对供应商资格进行审查，资格预审合格的供应商在评审阶段资格发生变化的，应当通知采购人和采购代理机构。</w:t>
      </w:r>
    </w:p>
    <w:p>
      <w:pPr>
        <w:pStyle w:val="20"/>
        <w:spacing w:line="440" w:lineRule="exact"/>
        <w:ind w:firstLine="400" w:firstLineChars="200"/>
        <w:rPr>
          <w:rFonts w:ascii="Times New Roman"/>
          <w:color w:val="auto"/>
          <w:highlight w:val="none"/>
        </w:rPr>
      </w:pPr>
      <w:r>
        <w:rPr>
          <w:rFonts w:ascii="Times New Roman"/>
          <w:color w:val="auto"/>
          <w:highlight w:val="none"/>
        </w:rPr>
        <w:t>2</w:t>
      </w:r>
      <w:r>
        <w:rPr>
          <w:rFonts w:hint="eastAsia" w:ascii="Times New Roman"/>
          <w:color w:val="auto"/>
          <w:highlight w:val="none"/>
        </w:rPr>
        <w:t>4.核价原则</w:t>
      </w:r>
    </w:p>
    <w:p>
      <w:pPr>
        <w:pStyle w:val="20"/>
        <w:spacing w:line="440" w:lineRule="exact"/>
        <w:ind w:firstLine="400" w:firstLineChars="200"/>
        <w:rPr>
          <w:rFonts w:ascii="Times New Roman" w:eastAsia="MingLiU_HKSCS"/>
          <w:color w:val="auto"/>
          <w:highlight w:val="none"/>
        </w:rPr>
      </w:pPr>
      <w:r>
        <w:rPr>
          <w:rFonts w:hint="eastAsia" w:ascii="Times New Roman"/>
          <w:color w:val="auto"/>
          <w:highlight w:val="none"/>
        </w:rPr>
        <w:t>首次递交的报价出现前后不一致的，除磋商文件另有规定外</w:t>
      </w:r>
      <w:r>
        <w:rPr>
          <w:rFonts w:hint="eastAsia" w:ascii="Times New Roman" w:cs="MingLiU_HKSCS"/>
          <w:color w:val="auto"/>
          <w:highlight w:val="none"/>
        </w:rPr>
        <w:t>，</w:t>
      </w:r>
      <w:r>
        <w:rPr>
          <w:rFonts w:hint="eastAsia" w:ascii="Times New Roman"/>
          <w:color w:val="auto"/>
          <w:highlight w:val="none"/>
        </w:rPr>
        <w:t>按照下列规定修正：</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(1)</w:t>
      </w:r>
      <w:r>
        <w:rPr>
          <w:rFonts w:hint="eastAsia" w:ascii="Times New Roman"/>
          <w:color w:val="auto"/>
          <w:highlight w:val="none"/>
        </w:rPr>
        <w:t>磋商文件中报价表内容与磋商文件中相应内容不一致的</w:t>
      </w:r>
      <w:r>
        <w:rPr>
          <w:rFonts w:hint="eastAsia" w:ascii="Times New Roman" w:eastAsia="MingLiU_HKSCS" w:cs="MingLiU_HKSCS"/>
          <w:color w:val="auto"/>
          <w:highlight w:val="none"/>
        </w:rPr>
        <w:t>，</w:t>
      </w:r>
      <w:r>
        <w:rPr>
          <w:rFonts w:hint="eastAsia" w:ascii="Times New Roman"/>
          <w:color w:val="auto"/>
          <w:highlight w:val="none"/>
        </w:rPr>
        <w:t>以报价表为准；</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(2)</w:t>
      </w:r>
      <w:r>
        <w:rPr>
          <w:rFonts w:hint="eastAsia" w:ascii="Times New Roman"/>
          <w:color w:val="auto"/>
          <w:highlight w:val="none"/>
        </w:rPr>
        <w:t>大写金额和小写金额不一致的</w:t>
      </w:r>
      <w:r>
        <w:rPr>
          <w:rFonts w:hint="eastAsia" w:ascii="Times New Roman" w:cs="MingLiU_HKSCS"/>
          <w:color w:val="auto"/>
          <w:highlight w:val="none"/>
        </w:rPr>
        <w:t>，</w:t>
      </w:r>
      <w:r>
        <w:rPr>
          <w:rFonts w:hint="eastAsia" w:ascii="Times New Roman"/>
          <w:color w:val="auto"/>
          <w:highlight w:val="none"/>
        </w:rPr>
        <w:t>以大写金额为准；</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(3)</w:t>
      </w:r>
      <w:r>
        <w:rPr>
          <w:rFonts w:hint="eastAsia" w:ascii="Times New Roman"/>
          <w:color w:val="auto"/>
          <w:highlight w:val="none"/>
        </w:rPr>
        <w:t>单价金额小数点或者百分比有明显错位的</w:t>
      </w:r>
      <w:r>
        <w:rPr>
          <w:rFonts w:hint="eastAsia" w:ascii="Times New Roman" w:cs="MingLiU_HKSCS"/>
          <w:color w:val="auto"/>
          <w:highlight w:val="none"/>
        </w:rPr>
        <w:t>，</w:t>
      </w:r>
      <w:r>
        <w:rPr>
          <w:rFonts w:hint="eastAsia" w:ascii="Times New Roman"/>
          <w:color w:val="auto"/>
          <w:highlight w:val="none"/>
        </w:rPr>
        <w:t>以报价表的总价为准</w:t>
      </w:r>
      <w:r>
        <w:rPr>
          <w:rFonts w:hint="eastAsia" w:ascii="Times New Roman" w:cs="MingLiU_HKSCS"/>
          <w:color w:val="auto"/>
          <w:highlight w:val="none"/>
        </w:rPr>
        <w:t>，</w:t>
      </w:r>
      <w:r>
        <w:rPr>
          <w:rFonts w:hint="eastAsia" w:ascii="Times New Roman"/>
          <w:color w:val="auto"/>
          <w:highlight w:val="none"/>
        </w:rPr>
        <w:t>并修改单价；</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(4)</w:t>
      </w:r>
      <w:r>
        <w:rPr>
          <w:rFonts w:hint="eastAsia" w:ascii="Times New Roman"/>
          <w:color w:val="auto"/>
          <w:highlight w:val="none"/>
        </w:rPr>
        <w:t>总价金额与按单价汇总金额不一致的</w:t>
      </w:r>
      <w:r>
        <w:rPr>
          <w:rFonts w:hint="eastAsia" w:ascii="Times New Roman" w:cs="MingLiU_HKSCS"/>
          <w:color w:val="auto"/>
          <w:highlight w:val="none"/>
        </w:rPr>
        <w:t>，</w:t>
      </w:r>
      <w:r>
        <w:rPr>
          <w:rFonts w:hint="eastAsia" w:ascii="Times New Roman"/>
          <w:color w:val="auto"/>
          <w:highlight w:val="none"/>
        </w:rPr>
        <w:t>以单价金额计算结果为准。</w:t>
      </w:r>
    </w:p>
    <w:p>
      <w:pPr>
        <w:pStyle w:val="20"/>
        <w:spacing w:line="440" w:lineRule="exact"/>
        <w:ind w:firstLine="400" w:firstLineChars="200"/>
        <w:rPr>
          <w:rFonts w:ascii="Times New Roman" w:eastAsia="MingLiU_HKSCS"/>
          <w:color w:val="auto"/>
          <w:highlight w:val="none"/>
        </w:rPr>
      </w:pPr>
      <w:r>
        <w:rPr>
          <w:rFonts w:hint="eastAsia" w:hAnsi="宋体"/>
          <w:color w:val="auto"/>
          <w:highlight w:val="none"/>
        </w:rPr>
        <w:t>★</w:t>
      </w:r>
      <w:r>
        <w:rPr>
          <w:rFonts w:hint="eastAsia" w:ascii="Times New Roman"/>
          <w:color w:val="auto"/>
          <w:highlight w:val="none"/>
        </w:rPr>
        <w:t>同时出现两种以上不一致的</w:t>
      </w:r>
      <w:r>
        <w:rPr>
          <w:rFonts w:hint="eastAsia" w:ascii="Times New Roman" w:cs="MingLiU_HKSCS"/>
          <w:color w:val="auto"/>
          <w:highlight w:val="none"/>
        </w:rPr>
        <w:t>，</w:t>
      </w:r>
      <w:r>
        <w:rPr>
          <w:rFonts w:hint="eastAsia" w:ascii="Times New Roman"/>
          <w:color w:val="auto"/>
          <w:highlight w:val="none"/>
        </w:rPr>
        <w:t>按照前款规定的顺序修正。修正后的报价按照上述规定经供应商确认后产生约束力</w:t>
      </w:r>
      <w:r>
        <w:rPr>
          <w:rFonts w:hint="eastAsia" w:ascii="Times New Roman" w:cs="MingLiU_HKSCS"/>
          <w:color w:val="auto"/>
          <w:highlight w:val="none"/>
        </w:rPr>
        <w:t>，</w:t>
      </w:r>
      <w:r>
        <w:rPr>
          <w:rFonts w:hint="eastAsia" w:ascii="Times New Roman"/>
          <w:color w:val="auto"/>
          <w:highlight w:val="none"/>
        </w:rPr>
        <w:t>供应商不确认的</w:t>
      </w:r>
      <w:r>
        <w:rPr>
          <w:rFonts w:hint="eastAsia" w:ascii="Times New Roman" w:cs="MingLiU_HKSCS"/>
          <w:color w:val="auto"/>
          <w:highlight w:val="none"/>
        </w:rPr>
        <w:t>，</w:t>
      </w:r>
      <w:r>
        <w:rPr>
          <w:rFonts w:hint="eastAsia" w:ascii="Times New Roman"/>
          <w:color w:val="auto"/>
          <w:highlight w:val="none"/>
        </w:rPr>
        <w:t>其磋商无效。</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25.响应文件澄清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负责人）或其授权代表签字，供应商的澄清、说明或者更正不得超出磋商文件的范围或者改变响应文件的实质性内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26.磋商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　初审结束后，磋商小组所有成员集中与单一供应商分别进行磋商，并给予所有参加磋商的供应商平等的磋商机会。供应商应派其法定代表人（负责人）或授权代表参加磋商。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26.2　在磋商过程中，磋商小组可以根据磋商文件和磋商情况实质性变动采购需求中的技术、服务要求以及合同文本，但不得变动磋商文件中的其他内容。实质性变动的内容，须经采购人代表确认。</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　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26.4　供应商应当按照磋商文件的变动情况和磋商小组的要求重新提交响应文件，并由其法定代表人（负责人）或授权代表签字或者加盖公章。由授权代表签字的，应当附法定代表人（负责人）授权书。供应商为自然人的，应当由本人签字并附身份证明。</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26.5　磋商小组应当根据实际情况与供应商进行磋商，并确定磋商的轮次。</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26.6　已提交响应文件的供应商，在提交最后报价之前，可以根据磋商情况退出磋商。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26.7　磋商结束后，供应商按照磋商小组要求重新提交的响应文件，不满足磋商文件及变动后的技术、服务要求以及合同文本的实质性要求的，将视为无效响应文件。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27.最后报价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　磋商结束后，磋商小组应当要求所有实质性响应的供应商在规定时间内提交最后报价，提交最后报价的供应商原则上不得少于3家，经评审小组同意也可为2家（根据《国家税务总局广西壮族自治区税务局办公室关于修订印发《国家税务总局广西壮族自治区税务局系统目录外标准下项目采购管理暂行办法》的通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　磋商文件不能详细列明采购标的技术、服务要求，需经磋商由供应商提供最终设计方案或解决方案的，磋商结束后，磋商小组应当按照少数服从多数的原则投票推荐原则上3家以上供应商的设计方案或者解决方案，经评审小组同意也可为2家（根据《国家税务总局广西壮族自治区税务局办公室关于修订印发《国家税务总局广西壮族自治区税务局系统目录外标准下项目采购管理暂行办法》的通知》），并要求其在规定时间内提交最后报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27.3　最后报价是供应商响应文件的有效组成部分。如磋商小组没有对磋商文件作实质性变动或增加新的需求，最后报价不得高于首轮报价。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28.最后报价评审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28.1　最后报价计算错误修正的原则</w:t>
      </w:r>
    </w:p>
    <w:p>
      <w:pPr>
        <w:pStyle w:val="20"/>
        <w:spacing w:line="440" w:lineRule="exact"/>
        <w:ind w:firstLine="400" w:firstLineChars="200"/>
        <w:rPr>
          <w:rFonts w:ascii="Times New Roman" w:eastAsia="MingLiU_HKSCS"/>
          <w:color w:val="auto"/>
          <w:highlight w:val="none"/>
        </w:rPr>
      </w:pPr>
      <w:r>
        <w:rPr>
          <w:rFonts w:hint="eastAsia" w:ascii="Times New Roman"/>
          <w:color w:val="auto"/>
          <w:highlight w:val="none"/>
        </w:rPr>
        <w:t>最后递交的报价出现前后不一致的，除磋商文件另有规定外</w:t>
      </w:r>
      <w:r>
        <w:rPr>
          <w:rFonts w:hint="eastAsia" w:ascii="Times New Roman" w:cs="MingLiU_HKSCS"/>
          <w:color w:val="auto"/>
          <w:highlight w:val="none"/>
        </w:rPr>
        <w:t>，</w:t>
      </w:r>
      <w:r>
        <w:rPr>
          <w:rFonts w:hint="eastAsia" w:ascii="Times New Roman"/>
          <w:color w:val="auto"/>
          <w:highlight w:val="none"/>
        </w:rPr>
        <w:t>按照下列规定修正：</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(1)</w:t>
      </w:r>
      <w:r>
        <w:rPr>
          <w:rFonts w:hint="eastAsia" w:ascii="Times New Roman"/>
          <w:color w:val="auto"/>
          <w:highlight w:val="none"/>
        </w:rPr>
        <w:t>最后递交的报价表内容与磋商文件中相应内容不一致的</w:t>
      </w:r>
      <w:r>
        <w:rPr>
          <w:rFonts w:hint="eastAsia" w:ascii="Times New Roman" w:eastAsia="MingLiU_HKSCS" w:cs="MingLiU_HKSCS"/>
          <w:color w:val="auto"/>
          <w:highlight w:val="none"/>
        </w:rPr>
        <w:t>，</w:t>
      </w:r>
      <w:r>
        <w:rPr>
          <w:rFonts w:hint="eastAsia" w:ascii="Times New Roman"/>
          <w:color w:val="auto"/>
          <w:highlight w:val="none"/>
        </w:rPr>
        <w:t>以报价表为准；</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(2)</w:t>
      </w:r>
      <w:r>
        <w:rPr>
          <w:rFonts w:hint="eastAsia" w:ascii="Times New Roman"/>
          <w:color w:val="auto"/>
          <w:highlight w:val="none"/>
        </w:rPr>
        <w:t>大写金额和小写金额不一致的</w:t>
      </w:r>
      <w:r>
        <w:rPr>
          <w:rFonts w:hint="eastAsia" w:ascii="Times New Roman" w:cs="MingLiU_HKSCS"/>
          <w:color w:val="auto"/>
          <w:highlight w:val="none"/>
        </w:rPr>
        <w:t>，</w:t>
      </w:r>
      <w:r>
        <w:rPr>
          <w:rFonts w:hint="eastAsia" w:ascii="Times New Roman"/>
          <w:color w:val="auto"/>
          <w:highlight w:val="none"/>
        </w:rPr>
        <w:t>以大写金额为准；</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(3)</w:t>
      </w:r>
      <w:r>
        <w:rPr>
          <w:rFonts w:hint="eastAsia" w:ascii="Times New Roman"/>
          <w:color w:val="auto"/>
          <w:highlight w:val="none"/>
        </w:rPr>
        <w:t>单价金额小数点或者百分比有明显错位的</w:t>
      </w:r>
      <w:r>
        <w:rPr>
          <w:rFonts w:hint="eastAsia" w:ascii="Times New Roman" w:cs="MingLiU_HKSCS"/>
          <w:color w:val="auto"/>
          <w:highlight w:val="none"/>
        </w:rPr>
        <w:t>，</w:t>
      </w:r>
      <w:r>
        <w:rPr>
          <w:rFonts w:hint="eastAsia" w:ascii="Times New Roman"/>
          <w:color w:val="auto"/>
          <w:highlight w:val="none"/>
        </w:rPr>
        <w:t>以最后递交的报价表的总价为准</w:t>
      </w:r>
      <w:r>
        <w:rPr>
          <w:rFonts w:hint="eastAsia" w:ascii="Times New Roman" w:cs="MingLiU_HKSCS"/>
          <w:color w:val="auto"/>
          <w:highlight w:val="none"/>
        </w:rPr>
        <w:t>，</w:t>
      </w:r>
      <w:r>
        <w:rPr>
          <w:rFonts w:hint="eastAsia" w:ascii="Times New Roman"/>
          <w:color w:val="auto"/>
          <w:highlight w:val="none"/>
        </w:rPr>
        <w:t>并修改单价；</w:t>
      </w:r>
    </w:p>
    <w:p>
      <w:pPr>
        <w:pStyle w:val="20"/>
        <w:spacing w:line="440" w:lineRule="exact"/>
        <w:ind w:firstLine="400" w:firstLineChars="200"/>
        <w:rPr>
          <w:rFonts w:ascii="Times New Roman" w:eastAsia="MingLiU_HKSCS"/>
          <w:color w:val="auto"/>
          <w:highlight w:val="none"/>
        </w:rPr>
      </w:pPr>
      <w:r>
        <w:rPr>
          <w:rFonts w:ascii="Times New Roman"/>
          <w:color w:val="auto"/>
          <w:highlight w:val="none"/>
        </w:rPr>
        <w:t>(4)</w:t>
      </w:r>
      <w:r>
        <w:rPr>
          <w:rFonts w:hint="eastAsia" w:ascii="Times New Roman"/>
          <w:color w:val="auto"/>
          <w:highlight w:val="none"/>
        </w:rPr>
        <w:t>总价金额与按单价汇总金额不一致的</w:t>
      </w:r>
      <w:r>
        <w:rPr>
          <w:rFonts w:hint="eastAsia" w:ascii="Times New Roman" w:cs="MingLiU_HKSCS"/>
          <w:color w:val="auto"/>
          <w:highlight w:val="none"/>
        </w:rPr>
        <w:t>，</w:t>
      </w:r>
      <w:r>
        <w:rPr>
          <w:rFonts w:hint="eastAsia" w:ascii="Times New Roman"/>
          <w:color w:val="auto"/>
          <w:highlight w:val="none"/>
        </w:rPr>
        <w:t>以单价金额计算结果为准。</w:t>
      </w:r>
    </w:p>
    <w:p>
      <w:pPr>
        <w:pStyle w:val="20"/>
        <w:spacing w:line="440" w:lineRule="exact"/>
        <w:ind w:firstLine="400" w:firstLineChars="200"/>
        <w:rPr>
          <w:rFonts w:ascii="Times New Roman" w:eastAsia="MingLiU_HKSCS"/>
          <w:color w:val="auto"/>
          <w:highlight w:val="none"/>
        </w:rPr>
      </w:pPr>
      <w:r>
        <w:rPr>
          <w:rFonts w:hint="eastAsia" w:hAnsi="宋体"/>
          <w:color w:val="auto"/>
          <w:highlight w:val="none"/>
        </w:rPr>
        <w:t>★</w:t>
      </w:r>
      <w:r>
        <w:rPr>
          <w:rFonts w:hint="eastAsia" w:ascii="Times New Roman"/>
          <w:color w:val="auto"/>
          <w:highlight w:val="none"/>
        </w:rPr>
        <w:t>同时出现两种以上不一致的</w:t>
      </w:r>
      <w:r>
        <w:rPr>
          <w:rFonts w:hint="eastAsia" w:ascii="Times New Roman" w:cs="MingLiU_HKSCS"/>
          <w:color w:val="auto"/>
          <w:highlight w:val="none"/>
        </w:rPr>
        <w:t>，</w:t>
      </w:r>
      <w:r>
        <w:rPr>
          <w:rFonts w:hint="eastAsia" w:ascii="Times New Roman"/>
          <w:color w:val="auto"/>
          <w:highlight w:val="none"/>
        </w:rPr>
        <w:t>按照前款规定的顺序修正。修正后的报价按照上述规定经供应商确认后产生约束力</w:t>
      </w:r>
      <w:r>
        <w:rPr>
          <w:rFonts w:hint="eastAsia" w:ascii="Times New Roman" w:cs="MingLiU_HKSCS"/>
          <w:color w:val="auto"/>
          <w:highlight w:val="none"/>
        </w:rPr>
        <w:t>，</w:t>
      </w:r>
      <w:r>
        <w:rPr>
          <w:rFonts w:hint="eastAsia" w:ascii="Times New Roman"/>
          <w:color w:val="auto"/>
          <w:highlight w:val="none"/>
        </w:rPr>
        <w:t>供应商不确认的</w:t>
      </w:r>
      <w:r>
        <w:rPr>
          <w:rFonts w:hint="eastAsia" w:ascii="Times New Roman" w:cs="MingLiU_HKSCS"/>
          <w:color w:val="auto"/>
          <w:highlight w:val="none"/>
        </w:rPr>
        <w:t>，</w:t>
      </w:r>
      <w:r>
        <w:rPr>
          <w:rFonts w:hint="eastAsia" w:ascii="Times New Roman"/>
          <w:color w:val="auto"/>
          <w:highlight w:val="none"/>
        </w:rPr>
        <w:t>其磋商无效。</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　价格得分：以供应商的最后报价作为价格评分依据。供应商的评审价为按上述28.1条款修正后的价格。</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价格评分统一采用低价优先法计算，即满足磋商文件要求且最后报价最低的供应商的价格为磋商基准价，其价格分为满分。其他供应商的价格分统一按照下列公式计算：</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价格评分=(磋商基准价/最后磋商报价)×价格分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29.综合评审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　评审办法及标准见第三章。</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　评审时，磋商小组成员应当独立对每个有效响应的文件进行评价、打分，然后汇总每个供应商每项评分因素的得分。</w:t>
      </w:r>
    </w:p>
    <w:p>
      <w:pPr>
        <w:pStyle w:val="20"/>
        <w:spacing w:line="440" w:lineRule="exact"/>
        <w:ind w:firstLine="400" w:firstLineChars="200"/>
        <w:rPr>
          <w:rFonts w:ascii="Times New Roman" w:eastAsia="MingLiU_HKSCS"/>
          <w:color w:val="auto"/>
          <w:highlight w:val="none"/>
        </w:rPr>
      </w:pPr>
      <w:r>
        <w:rPr>
          <w:rFonts w:hint="eastAsia" w:hAnsi="宋体"/>
          <w:color w:val="auto"/>
          <w:highlight w:val="none"/>
        </w:rPr>
        <w:t>★</w:t>
      </w:r>
      <w:r>
        <w:rPr>
          <w:rFonts w:hint="eastAsia" w:hAnsi="宋体" w:cs="宋体"/>
          <w:color w:val="auto"/>
          <w:szCs w:val="21"/>
          <w:highlight w:val="none"/>
        </w:rPr>
        <w:t xml:space="preserve">29.4 </w:t>
      </w:r>
      <w:r>
        <w:rPr>
          <w:rFonts w:hint="eastAsia" w:ascii="Times New Roman"/>
          <w:color w:val="auto"/>
          <w:highlight w:val="none"/>
        </w:rPr>
        <w:t>磋商小组认为供应商的报价明显低于其他通过符合性审查供应商的报价</w:t>
      </w:r>
      <w:r>
        <w:rPr>
          <w:rFonts w:hint="eastAsia" w:ascii="Times New Roman" w:cs="MingLiU_HKSCS"/>
          <w:color w:val="auto"/>
          <w:highlight w:val="none"/>
        </w:rPr>
        <w:t>，</w:t>
      </w:r>
      <w:r>
        <w:rPr>
          <w:rFonts w:hint="eastAsia" w:ascii="Times New Roman"/>
          <w:color w:val="auto"/>
          <w:highlight w:val="none"/>
        </w:rPr>
        <w:t>有可能影响产品</w:t>
      </w:r>
      <w:r>
        <w:rPr>
          <w:rFonts w:hint="eastAsia" w:hAnsi="宋体" w:cs="宋体"/>
          <w:bCs/>
          <w:color w:val="auto"/>
          <w:sz w:val="21"/>
          <w:szCs w:val="21"/>
          <w:highlight w:val="none"/>
        </w:rPr>
        <w:t>（或服务）</w:t>
      </w:r>
      <w:r>
        <w:rPr>
          <w:rFonts w:hint="eastAsia" w:ascii="Times New Roman"/>
          <w:color w:val="auto"/>
          <w:highlight w:val="none"/>
        </w:rPr>
        <w:t>质量或者不能诚信履约的</w:t>
      </w:r>
      <w:r>
        <w:rPr>
          <w:rFonts w:hint="eastAsia" w:ascii="Times New Roman" w:cs="MingLiU_HKSCS"/>
          <w:color w:val="auto"/>
          <w:highlight w:val="none"/>
        </w:rPr>
        <w:t>，</w:t>
      </w:r>
      <w:r>
        <w:rPr>
          <w:rFonts w:hint="eastAsia" w:ascii="Times New Roman"/>
          <w:color w:val="auto"/>
          <w:highlight w:val="none"/>
        </w:rPr>
        <w:t>应当要求其在评审现场合理的时间内提供书面说明</w:t>
      </w:r>
      <w:r>
        <w:rPr>
          <w:rFonts w:hint="eastAsia" w:ascii="Times New Roman" w:cs="MingLiU_HKSCS"/>
          <w:color w:val="auto"/>
          <w:highlight w:val="none"/>
        </w:rPr>
        <w:t>，</w:t>
      </w:r>
      <w:r>
        <w:rPr>
          <w:rFonts w:hint="eastAsia" w:ascii="Times New Roman"/>
          <w:color w:val="auto"/>
          <w:highlight w:val="none"/>
        </w:rPr>
        <w:t>必要时提交相关证明材料；供应商不能证明其报价合理性的</w:t>
      </w:r>
      <w:r>
        <w:rPr>
          <w:rFonts w:hint="eastAsia" w:ascii="Times New Roman" w:cs="MingLiU_HKSCS"/>
          <w:color w:val="auto"/>
          <w:highlight w:val="none"/>
        </w:rPr>
        <w:t>，</w:t>
      </w:r>
      <w:r>
        <w:rPr>
          <w:rFonts w:hint="eastAsia" w:ascii="Times New Roman"/>
          <w:color w:val="auto"/>
          <w:highlight w:val="none"/>
        </w:rPr>
        <w:t>磋商小组应当将其作为无效磋商处理。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30.提出成交供应商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　磋商小组应当按照综合评分由高到低的顺序提出3名以上成交候选供应商，并编写评审报告。经评审小组同意也可推荐2家成交候选供应商。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　评审得分相同的，按照最后报价由低到高的顺序推荐。评审得分且最后报价相同的，按照</w:t>
      </w:r>
      <w:r>
        <w:rPr>
          <w:rFonts w:hint="eastAsia" w:ascii="宋体" w:hAnsi="宋体" w:cs="宋体"/>
          <w:b/>
          <w:bCs/>
          <w:color w:val="auto"/>
          <w:kern w:val="0"/>
          <w:szCs w:val="21"/>
          <w:highlight w:val="none"/>
        </w:rPr>
        <w:t>磋商须知前附表</w:t>
      </w:r>
      <w:r>
        <w:rPr>
          <w:rFonts w:hint="eastAsia" w:ascii="宋体" w:hAnsi="宋体" w:cs="宋体"/>
          <w:color w:val="auto"/>
          <w:szCs w:val="21"/>
          <w:highlight w:val="none"/>
        </w:rPr>
        <w:t>评定成交的标准中规定</w:t>
      </w:r>
      <w:r>
        <w:rPr>
          <w:rFonts w:hint="eastAsia" w:ascii="宋体" w:hAnsi="宋体" w:cs="宋体"/>
          <w:color w:val="auto"/>
          <w:kern w:val="0"/>
          <w:szCs w:val="21"/>
          <w:highlight w:val="none"/>
        </w:rPr>
        <w:t>的顺序推荐。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31.确定成交供应商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31.1　采购代理机构应当在评审结束之日起2个工作日内将评审报告送采购人确认。</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31.3　采购人自行组织磋商的，应当在评审结束之日起5个工作日内确定成交供应商。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32.磋商终止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　出现下列情形之一的，采购人或者采购代理机构应当终止磋商采购活动，在指定的媒体上发布项目终止公告并说明原因，重新开展采购活动：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(1)因情况变化，不再符合规定的磋商采购方式适用情形的；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采购过程中符合竞争要求的供应商或者报价未超过采购预算的供应商不足3家的，或者提交最后报价的供应商少于3家的，除经评审小组同意也可为2家的情形外（根据《国家税务总局广西壮族自治区税务局办公室关于修订印发《国家税务总局广西壮族自治区税务局系统目录外标准下项目采购管理暂行办法》的通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33.重新评审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34.保密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34.1　磋商小组成员以及与评审工作有关的人员不得泄露评审情况以及评审过程中获悉的国家秘密、商业秘密。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35.禁止行为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五、成交结果信息公布与签订合同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36.成交信息的公布</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36.1　成交供应商确定之日起2个工作日内，采购人或者采购代理机构应将成交结果在磋商须知前附表中规定的公告媒体上公布。</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36.2　磋商文件随成交结果同时公告。但成交结果公告前磋商文件已公告的，不再重复公告。</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36.3　采用书面推荐供应商参加采购活动的，在公告结果同时公告采购人和评审专家的推荐意见。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37.成交通知</w:t>
      </w:r>
    </w:p>
    <w:p>
      <w:pPr>
        <w:pStyle w:val="20"/>
        <w:spacing w:line="440" w:lineRule="exact"/>
        <w:ind w:firstLine="400" w:firstLineChars="200"/>
        <w:rPr>
          <w:rFonts w:ascii="Times New Roman" w:eastAsia="MingLiU_HKSCS"/>
          <w:color w:val="auto"/>
          <w:highlight w:val="none"/>
        </w:rPr>
      </w:pPr>
      <w:r>
        <w:rPr>
          <w:rFonts w:hint="eastAsia" w:ascii="Times New Roman"/>
          <w:color w:val="auto"/>
          <w:highlight w:val="none"/>
        </w:rPr>
        <w:t>采购人或者采购代理机构应当自发布成交公告的同时</w:t>
      </w:r>
      <w:r>
        <w:rPr>
          <w:rFonts w:hint="eastAsia" w:ascii="Times New Roman" w:cs="MingLiU_HKSCS"/>
          <w:color w:val="auto"/>
          <w:highlight w:val="none"/>
        </w:rPr>
        <w:t>，</w:t>
      </w:r>
      <w:r>
        <w:rPr>
          <w:rFonts w:hint="eastAsia" w:ascii="Times New Roman"/>
          <w:color w:val="auto"/>
          <w:highlight w:val="none"/>
        </w:rPr>
        <w:t>发出成交通知书</w:t>
      </w:r>
      <w:r>
        <w:rPr>
          <w:rFonts w:hint="eastAsia" w:ascii="Times New Roman" w:cs="MingLiU_HKSCS"/>
          <w:color w:val="auto"/>
          <w:highlight w:val="none"/>
        </w:rPr>
        <w:t>，</w:t>
      </w:r>
      <w:r>
        <w:rPr>
          <w:rFonts w:hint="eastAsia" w:ascii="Times New Roman"/>
          <w:color w:val="auto"/>
          <w:highlight w:val="none"/>
        </w:rPr>
        <w:t>成交通知书对采购人和成交供应商具有同等法律效力。</w:t>
      </w:r>
    </w:p>
    <w:p>
      <w:pPr>
        <w:pStyle w:val="20"/>
        <w:spacing w:line="440" w:lineRule="exact"/>
        <w:ind w:firstLine="400" w:firstLineChars="200"/>
        <w:rPr>
          <w:rFonts w:ascii="Times New Roman" w:eastAsia="MingLiU_HKSCS"/>
          <w:color w:val="auto"/>
          <w:highlight w:val="none"/>
        </w:rPr>
      </w:pPr>
      <w:r>
        <w:rPr>
          <w:rFonts w:hint="eastAsia" w:ascii="Times New Roman"/>
          <w:color w:val="auto"/>
          <w:highlight w:val="none"/>
        </w:rPr>
        <w:t>成交通知书发出后</w:t>
      </w:r>
      <w:r>
        <w:rPr>
          <w:rFonts w:hint="eastAsia" w:ascii="Times New Roman" w:cs="MingLiU_HKSCS"/>
          <w:color w:val="auto"/>
          <w:highlight w:val="none"/>
        </w:rPr>
        <w:t>，</w:t>
      </w:r>
      <w:r>
        <w:rPr>
          <w:rFonts w:hint="eastAsia" w:ascii="Times New Roman"/>
          <w:color w:val="auto"/>
          <w:highlight w:val="none"/>
        </w:rPr>
        <w:t>成交供应商无正当理由不得放弃成交。</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38.履约保证金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38.1　</w:t>
      </w:r>
      <w:r>
        <w:rPr>
          <w:rFonts w:hint="eastAsia"/>
          <w:color w:val="auto"/>
          <w:highlight w:val="none"/>
        </w:rPr>
        <w:t>本项目是否缴纳履约保证金见</w:t>
      </w:r>
      <w:r>
        <w:rPr>
          <w:rFonts w:hint="eastAsia"/>
          <w:b/>
          <w:color w:val="auto"/>
          <w:highlight w:val="none"/>
        </w:rPr>
        <w:t>磋商须知前附表。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38.2 磋商须知前附表</w:t>
      </w:r>
      <w:r>
        <w:rPr>
          <w:rFonts w:hint="eastAsia"/>
          <w:color w:val="auto"/>
          <w:highlight w:val="none"/>
        </w:rPr>
        <w:t>规定交纳履约保证金的</w:t>
      </w:r>
      <w:r>
        <w:rPr>
          <w:rFonts w:hint="eastAsia" w:ascii="宋体" w:hAnsi="宋体" w:cs="宋体"/>
          <w:color w:val="auto"/>
          <w:kern w:val="0"/>
          <w:szCs w:val="21"/>
          <w:highlight w:val="none"/>
        </w:rPr>
        <w:t>，</w:t>
      </w:r>
      <w:r>
        <w:rPr>
          <w:rFonts w:hint="eastAsia"/>
          <w:color w:val="auto"/>
          <w:highlight w:val="none"/>
        </w:rPr>
        <w:t>成交供应商</w:t>
      </w:r>
      <w:r>
        <w:rPr>
          <w:rFonts w:hint="eastAsia" w:ascii="宋体" w:hAnsi="宋体" w:cs="宋体"/>
          <w:color w:val="auto"/>
          <w:kern w:val="0"/>
          <w:szCs w:val="21"/>
          <w:highlight w:val="none"/>
        </w:rPr>
        <w:t>在签订采购合同前，向采购人提交履约保证金。联合体成交的，履约保证金以联合体各方或联合体中牵头人的名义提交。</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38.3　成交供应商没有按照磋商须知前附表的规定提交履约保证金的，视为成交后</w:t>
      </w:r>
      <w:r>
        <w:rPr>
          <w:rFonts w:hint="eastAsia"/>
          <w:color w:val="auto"/>
          <w:highlight w:val="none"/>
        </w:rPr>
        <w:t>无正当理由不与采购人签订合同</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39.签订合同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39.1　磋商文件和成交供应商的响应文件等均为签订采购合同的依据。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39.2　成交供应商应当在成交通知书发出之日起30日内，与采购人签订采购合同。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六、其他规定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40.采购代理服务费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40.1　成交供应商是否交纳采购代理服务费及相关要求见磋商须知前附表。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41.询问、质疑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41.1　供应商对采购活动事项有疑问的，可以向采购人</w:t>
      </w:r>
      <w:r>
        <w:rPr>
          <w:rFonts w:hint="eastAsia"/>
          <w:color w:val="auto"/>
          <w:highlight w:val="none"/>
        </w:rPr>
        <w:t>或采购代理机构</w:t>
      </w:r>
      <w:r>
        <w:rPr>
          <w:rFonts w:hint="eastAsia" w:ascii="宋体" w:hAnsi="宋体" w:cs="宋体"/>
          <w:color w:val="auto"/>
          <w:kern w:val="0"/>
          <w:szCs w:val="21"/>
          <w:highlight w:val="none"/>
        </w:rPr>
        <w:t>提出询。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41.2　供应商认为磋商文件、磋商过程和成交结果使自己的权益受到损害的，可以在知道或者应知其权益受到损害之日起7个工作日内，以书面形式向采购人</w:t>
      </w:r>
      <w:r>
        <w:rPr>
          <w:rFonts w:hint="eastAsia"/>
          <w:color w:val="auto"/>
          <w:highlight w:val="none"/>
        </w:rPr>
        <w:t>或采购代理机构</w:t>
      </w:r>
      <w:r>
        <w:rPr>
          <w:rFonts w:hint="eastAsia" w:ascii="宋体" w:hAnsi="宋体" w:cs="宋体"/>
          <w:color w:val="auto"/>
          <w:kern w:val="0"/>
          <w:szCs w:val="21"/>
          <w:highlight w:val="none"/>
        </w:rPr>
        <w:t>提出质疑。供应商应在法定质疑期内一次性提出针对同一采购程序环节的质疑。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41.3　供应商提出质疑的，应提供质疑函原件。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41.4　质疑函应当由供应商法定代表人（负责人）或其授权的供应商代表签字并加盖供应商单位章，质疑函由授权的供应商代表签字的应附供应商法定代表人（负责人）委托授权书。</w:t>
      </w:r>
    </w:p>
    <w:p>
      <w:pPr>
        <w:pStyle w:val="2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42.其他规定。</w:t>
      </w:r>
    </w:p>
    <w:p>
      <w:pPr>
        <w:pStyle w:val="2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42.1　响应文件的其他规定见</w:t>
      </w:r>
      <w:r>
        <w:rPr>
          <w:rFonts w:hint="eastAsia" w:hAnsi="宋体" w:cs="宋体"/>
          <w:b/>
          <w:bCs/>
          <w:color w:val="auto"/>
          <w:sz w:val="21"/>
          <w:szCs w:val="21"/>
          <w:highlight w:val="none"/>
        </w:rPr>
        <w:t>磋商须知前附表</w:t>
      </w:r>
      <w:r>
        <w:rPr>
          <w:rFonts w:hint="eastAsia" w:hAnsi="宋体" w:cs="宋体"/>
          <w:color w:val="auto"/>
          <w:sz w:val="21"/>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43.文件解释权</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43.1　本采购文件的解释权归采购人(或采购代理机构)所有。</w:t>
      </w:r>
    </w:p>
    <w:p>
      <w:pPr>
        <w:rPr>
          <w:color w:val="auto"/>
          <w:highlight w:val="none"/>
        </w:rPr>
      </w:pPr>
    </w:p>
    <w:p>
      <w:pPr>
        <w:pStyle w:val="3"/>
        <w:rPr>
          <w:color w:val="auto"/>
          <w:highlight w:val="none"/>
        </w:rPr>
      </w:pPr>
    </w:p>
    <w:bookmarkEnd w:id="65"/>
    <w:p>
      <w:pPr>
        <w:spacing w:line="40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69" w:name="_Toc22872"/>
      <w:bookmarkStart w:id="70" w:name="_Toc21754"/>
      <w:bookmarkStart w:id="71" w:name="_Toc21210"/>
      <w:r>
        <w:rPr>
          <w:rFonts w:hint="eastAsia" w:ascii="宋体" w:hAnsi="宋体" w:cs="宋体"/>
          <w:b/>
          <w:color w:val="auto"/>
          <w:sz w:val="28"/>
          <w:szCs w:val="28"/>
          <w:highlight w:val="none"/>
        </w:rPr>
        <w:t>第三章 评审方法及标准</w:t>
      </w:r>
      <w:bookmarkEnd w:id="69"/>
      <w:bookmarkEnd w:id="70"/>
      <w:bookmarkEnd w:id="71"/>
    </w:p>
    <w:p>
      <w:pPr>
        <w:pStyle w:val="20"/>
        <w:spacing w:line="360" w:lineRule="auto"/>
        <w:ind w:firstLine="434" w:firstLineChars="216"/>
        <w:rPr>
          <w:rFonts w:hAnsi="宋体" w:cs="宋体"/>
          <w:b/>
          <w:color w:val="auto"/>
          <w:highlight w:val="none"/>
        </w:rPr>
      </w:pPr>
    </w:p>
    <w:p>
      <w:pPr>
        <w:pStyle w:val="20"/>
        <w:spacing w:line="360" w:lineRule="auto"/>
        <w:ind w:firstLine="455" w:firstLineChars="216"/>
        <w:jc w:val="left"/>
        <w:rPr>
          <w:rFonts w:hAnsi="宋体" w:cs="宋体"/>
          <w:b/>
          <w:color w:val="auto"/>
          <w:sz w:val="21"/>
          <w:szCs w:val="21"/>
          <w:highlight w:val="none"/>
        </w:rPr>
      </w:pPr>
      <w:r>
        <w:rPr>
          <w:rFonts w:hint="eastAsia" w:hAnsi="宋体" w:cs="宋体"/>
          <w:b/>
          <w:color w:val="auto"/>
          <w:sz w:val="21"/>
          <w:szCs w:val="21"/>
          <w:highlight w:val="none"/>
        </w:rPr>
        <w:t>一、评审原则</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（二）评审依据：评委将以磋商文件为评审依据，</w:t>
      </w:r>
      <w:r>
        <w:rPr>
          <w:rFonts w:hint="eastAsia" w:hAnsi="宋体" w:cs="宋体"/>
          <w:bCs/>
          <w:color w:val="auto"/>
          <w:sz w:val="21"/>
          <w:szCs w:val="21"/>
          <w:highlight w:val="none"/>
          <w:u w:val="single"/>
        </w:rPr>
        <w:t>对供应商的报价、服务</w:t>
      </w:r>
      <w:r>
        <w:rPr>
          <w:rFonts w:hint="eastAsia"/>
          <w:color w:val="auto"/>
          <w:sz w:val="21"/>
          <w:szCs w:val="21"/>
          <w:highlight w:val="none"/>
          <w:u w:val="single"/>
          <w:lang w:eastAsia="zh-CN"/>
        </w:rPr>
        <w:t>管理</w:t>
      </w:r>
      <w:r>
        <w:rPr>
          <w:rFonts w:hint="eastAsia" w:hAnsi="宋体" w:cs="宋体"/>
          <w:bCs/>
          <w:color w:val="auto"/>
          <w:sz w:val="21"/>
          <w:szCs w:val="21"/>
          <w:highlight w:val="none"/>
          <w:u w:val="single"/>
        </w:rPr>
        <w:t>、项目理解程度及服务需求响应</w:t>
      </w:r>
      <w:r>
        <w:rPr>
          <w:rFonts w:hint="eastAsia" w:hAnsi="宋体" w:cs="宋体"/>
          <w:bCs/>
          <w:color w:val="auto"/>
          <w:sz w:val="21"/>
          <w:szCs w:val="21"/>
          <w:highlight w:val="none"/>
          <w:u w:val="single"/>
          <w:lang w:eastAsia="zh-CN"/>
        </w:rPr>
        <w:t>、服务承诺分、企业业绩分</w:t>
      </w:r>
      <w:r>
        <w:rPr>
          <w:rFonts w:hint="eastAsia" w:hAnsi="宋体" w:cs="宋体"/>
          <w:bCs/>
          <w:color w:val="auto"/>
          <w:sz w:val="21"/>
          <w:szCs w:val="21"/>
          <w:highlight w:val="none"/>
        </w:rPr>
        <w:t>等方面内容按百分制打分</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（三）评审方式：以封闭方式进行。</w:t>
      </w:r>
    </w:p>
    <w:p>
      <w:pPr>
        <w:pStyle w:val="20"/>
        <w:spacing w:line="360" w:lineRule="auto"/>
        <w:ind w:firstLine="420" w:firstLineChars="200"/>
        <w:jc w:val="left"/>
        <w:rPr>
          <w:rFonts w:hAnsi="宋体" w:cs="宋体"/>
          <w:bCs/>
          <w:color w:val="auto"/>
          <w:sz w:val="21"/>
          <w:szCs w:val="21"/>
          <w:highlight w:val="none"/>
        </w:rPr>
      </w:pPr>
    </w:p>
    <w:p>
      <w:pPr>
        <w:pStyle w:val="20"/>
        <w:spacing w:line="360" w:lineRule="auto"/>
        <w:ind w:firstLine="422" w:firstLineChars="200"/>
        <w:jc w:val="left"/>
        <w:rPr>
          <w:rFonts w:hAnsi="宋体" w:cs="宋体"/>
          <w:b/>
          <w:bCs/>
          <w:color w:val="auto"/>
          <w:sz w:val="21"/>
          <w:szCs w:val="21"/>
          <w:highlight w:val="none"/>
        </w:rPr>
      </w:pPr>
      <w:r>
        <w:rPr>
          <w:rFonts w:hint="eastAsia" w:hAnsi="宋体" w:cs="宋体"/>
          <w:b/>
          <w:bCs/>
          <w:color w:val="auto"/>
          <w:sz w:val="21"/>
          <w:szCs w:val="21"/>
          <w:highlight w:val="none"/>
        </w:rPr>
        <w:t>二、评审方法</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（一）首先由磋商小组依法对供应商的资格进行评审，再由评委对响应文件进行符合性评审，只有资格性评审、符合性评审合格的响应文件才能进入详评。</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（三）计分办法（按四舍五入取至百分位）</w:t>
      </w:r>
    </w:p>
    <w:p>
      <w:pPr>
        <w:pStyle w:val="20"/>
        <w:spacing w:line="360" w:lineRule="auto"/>
        <w:ind w:firstLine="422" w:firstLineChars="200"/>
        <w:jc w:val="left"/>
        <w:rPr>
          <w:rFonts w:hAnsi="宋体" w:cs="宋体"/>
          <w:b/>
          <w:bCs/>
          <w:color w:val="auto"/>
          <w:sz w:val="21"/>
          <w:szCs w:val="21"/>
          <w:highlight w:val="none"/>
        </w:rPr>
      </w:pPr>
      <w:r>
        <w:rPr>
          <w:rFonts w:hint="eastAsia" w:hAnsi="宋体" w:cs="宋体"/>
          <w:b/>
          <w:bCs/>
          <w:color w:val="auto"/>
          <w:sz w:val="21"/>
          <w:szCs w:val="21"/>
          <w:highlight w:val="none"/>
        </w:rPr>
        <w:t>1、价格分……………………………………………………………………………………</w:t>
      </w:r>
      <w:r>
        <w:rPr>
          <w:rFonts w:hint="eastAsia" w:hAnsi="宋体" w:eastAsia="华文新魏" w:cs="宋体"/>
          <w:b/>
          <w:bCs/>
          <w:color w:val="auto"/>
          <w:sz w:val="21"/>
          <w:szCs w:val="21"/>
          <w:highlight w:val="none"/>
          <w:lang w:val="en-US" w:eastAsia="zh-CN"/>
        </w:rPr>
        <w:t>20</w:t>
      </w:r>
      <w:r>
        <w:rPr>
          <w:rFonts w:hint="eastAsia" w:hAnsi="宋体" w:cs="宋体"/>
          <w:b/>
          <w:bCs/>
          <w:color w:val="auto"/>
          <w:sz w:val="21"/>
          <w:szCs w:val="21"/>
          <w:highlight w:val="none"/>
        </w:rPr>
        <w:t>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（1）评审价为供应商的最后报价，评审价只是作为评审时使用。最终成交供应商的成交金额等于最后报价（如有修正，以确认修正后的最后报价为准）。</w:t>
      </w:r>
    </w:p>
    <w:p>
      <w:pPr>
        <w:pStyle w:val="20"/>
        <w:spacing w:line="440" w:lineRule="exact"/>
        <w:ind w:firstLine="420" w:firstLineChars="200"/>
        <w:rPr>
          <w:rFonts w:hAnsi="宋体" w:cs="宋体"/>
          <w:color w:val="auto"/>
          <w:sz w:val="21"/>
          <w:szCs w:val="21"/>
          <w:highlight w:val="none"/>
        </w:rPr>
      </w:pPr>
      <w:r>
        <w:rPr>
          <w:rFonts w:hint="eastAsia" w:hAnsi="宋体" w:cs="宋体"/>
          <w:bCs/>
          <w:color w:val="auto"/>
          <w:kern w:val="2"/>
          <w:sz w:val="21"/>
          <w:szCs w:val="21"/>
          <w:highlight w:val="none"/>
        </w:rPr>
        <w:t>（2）</w:t>
      </w:r>
      <w:r>
        <w:rPr>
          <w:rFonts w:hint="eastAsia" w:hAnsi="宋体" w:cs="宋体"/>
          <w:color w:val="auto"/>
          <w:sz w:val="21"/>
          <w:szCs w:val="21"/>
          <w:highlight w:val="none"/>
        </w:rPr>
        <w:t>政策性扣除计算方法：</w:t>
      </w:r>
    </w:p>
    <w:p>
      <w:pPr>
        <w:pStyle w:val="2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本项目为专门面对中小企业项目，按照《政府采购促进中小企业发展管理办法》（财库〔2020〕46号）规定，小微企业、监狱企业、残疾人福利性单位不再执行价格评审优惠的扶持政策。</w:t>
      </w:r>
    </w:p>
    <w:p>
      <w:pPr>
        <w:pStyle w:val="2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本项目采购活动中，供应商提供的服务应符合下列情形：在服务采购项目中，服务由中小企业承接，即提供服务的人员为中小企业依照《中华人民共和国劳动合同法》订立劳动合同的从业人员。本项目属于其他未列明行业，中型、小型或微型企业划分标准按照《关于印发中小企业划型标准规定的通知》（工信中联企业〔2011〕300号）文件执行。</w:t>
      </w:r>
    </w:p>
    <w:p>
      <w:pPr>
        <w:pStyle w:val="2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（3）满足磋商文件要求且评审价最低的供应商的价格为磋商基准价，磋商基准价其价格分为满分。</w:t>
      </w:r>
    </w:p>
    <w:p>
      <w:pPr>
        <w:pStyle w:val="20"/>
        <w:spacing w:line="360" w:lineRule="auto"/>
        <w:ind w:firstLine="420" w:firstLineChars="200"/>
        <w:rPr>
          <w:color w:val="auto"/>
          <w:highlight w:val="none"/>
        </w:rPr>
      </w:pPr>
      <w:r>
        <w:rPr>
          <w:rFonts w:hint="eastAsia" w:hAnsi="宋体" w:cs="Courier New"/>
          <w:bCs/>
          <w:color w:val="auto"/>
          <w:kern w:val="2"/>
          <w:sz w:val="21"/>
          <w:highlight w:val="none"/>
        </w:rPr>
        <w:t>（4）某供应商价格分=（磋商基准价/某供应商的</w:t>
      </w:r>
      <w:r>
        <w:rPr>
          <w:rFonts w:hint="eastAsia" w:hAnsi="宋体"/>
          <w:color w:val="auto"/>
          <w:sz w:val="21"/>
          <w:szCs w:val="21"/>
          <w:highlight w:val="none"/>
        </w:rPr>
        <w:t>评审价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20</w:t>
      </w:r>
      <w:r>
        <w:rPr>
          <w:rFonts w:hint="eastAsia" w:hAnsi="宋体" w:cs="Courier New"/>
          <w:bCs/>
          <w:color w:val="auto"/>
          <w:kern w:val="2"/>
          <w:sz w:val="21"/>
          <w:highlight w:val="none"/>
          <w:u w:val="single"/>
        </w:rPr>
        <w:t>分</w:t>
      </w:r>
    </w:p>
    <w:p>
      <w:pPr>
        <w:spacing w:line="360" w:lineRule="auto"/>
        <w:ind w:firstLine="422"/>
        <w:rPr>
          <w:rFonts w:ascii="宋体" w:hAnsi="宋体" w:cs="宋体"/>
          <w:b/>
          <w:color w:val="auto"/>
          <w:highlight w:val="none"/>
        </w:rPr>
      </w:pPr>
      <w:r>
        <w:rPr>
          <w:rFonts w:ascii="宋体" w:hAnsi="宋体" w:cs="宋体"/>
          <w:b/>
          <w:color w:val="auto"/>
          <w:highlight w:val="none"/>
        </w:rPr>
        <w:t>2、服务方案………………………………………………………………………………</w:t>
      </w:r>
      <w:r>
        <w:rPr>
          <w:rFonts w:hint="eastAsia" w:ascii="宋体" w:hAnsi="宋体" w:cs="宋体"/>
          <w:b/>
          <w:color w:val="auto"/>
          <w:highlight w:val="none"/>
          <w:lang w:val="en-US" w:eastAsia="zh-CN"/>
        </w:rPr>
        <w:t>70</w:t>
      </w:r>
      <w:r>
        <w:rPr>
          <w:rFonts w:ascii="宋体" w:hAnsi="宋体" w:cs="宋体"/>
          <w:b/>
          <w:color w:val="auto"/>
          <w:highlight w:val="none"/>
        </w:rPr>
        <w:t>分</w:t>
      </w:r>
    </w:p>
    <w:p>
      <w:pPr>
        <w:spacing w:after="120"/>
        <w:ind w:firstLine="422"/>
        <w:rPr>
          <w:rFonts w:eastAsia="Times New Roman"/>
          <w:b/>
          <w:color w:val="auto"/>
          <w:highlight w:val="none"/>
        </w:rPr>
      </w:pPr>
      <w:r>
        <w:rPr>
          <w:rFonts w:ascii="宋体" w:hAnsi="宋体" w:cs="宋体"/>
          <w:b/>
          <w:color w:val="auto"/>
          <w:highlight w:val="none"/>
        </w:rPr>
        <w:t>（</w:t>
      </w:r>
      <w:r>
        <w:rPr>
          <w:rFonts w:eastAsia="Times New Roman"/>
          <w:b/>
          <w:color w:val="auto"/>
          <w:highlight w:val="none"/>
        </w:rPr>
        <w:t>1</w:t>
      </w:r>
      <w:r>
        <w:rPr>
          <w:rFonts w:ascii="宋体" w:hAnsi="宋体" w:cs="宋体"/>
          <w:b/>
          <w:color w:val="auto"/>
          <w:highlight w:val="none"/>
        </w:rPr>
        <w:t>）服务管理（满分</w:t>
      </w:r>
      <w:r>
        <w:rPr>
          <w:rFonts w:eastAsia="Times New Roman"/>
          <w:b/>
          <w:color w:val="auto"/>
          <w:highlight w:val="none"/>
        </w:rPr>
        <w:t xml:space="preserve">20 </w:t>
      </w:r>
      <w:r>
        <w:rPr>
          <w:rFonts w:ascii="宋体" w:hAnsi="宋体" w:cs="宋体"/>
          <w:b/>
          <w:color w:val="auto"/>
          <w:highlight w:val="none"/>
        </w:rPr>
        <w:t>分）：</w:t>
      </w:r>
    </w:p>
    <w:p>
      <w:pPr>
        <w:spacing w:after="120"/>
        <w:ind w:firstLine="420"/>
        <w:rPr>
          <w:rFonts w:eastAsia="Times New Roman"/>
          <w:color w:val="auto"/>
          <w:highlight w:val="none"/>
        </w:rPr>
      </w:pPr>
      <w:r>
        <w:rPr>
          <w:rFonts w:hint="eastAsia" w:ascii="宋体" w:hAnsi="宋体" w:cs="宋体"/>
          <w:color w:val="auto"/>
          <w:highlight w:val="none"/>
        </w:rPr>
        <w:t>a.</w:t>
      </w:r>
      <w:r>
        <w:rPr>
          <w:rFonts w:ascii="宋体" w:hAnsi="宋体" w:cs="宋体"/>
          <w:color w:val="auto"/>
          <w:highlight w:val="none"/>
        </w:rPr>
        <w:t>（</w:t>
      </w:r>
      <w:r>
        <w:rPr>
          <w:rFonts w:eastAsia="Times New Roman"/>
          <w:color w:val="auto"/>
          <w:highlight w:val="none"/>
        </w:rPr>
        <w:t>0</w:t>
      </w:r>
      <w:r>
        <w:rPr>
          <w:rFonts w:ascii="宋体" w:hAnsi="宋体" w:cs="宋体"/>
          <w:color w:val="auto"/>
          <w:highlight w:val="none"/>
        </w:rPr>
        <w:t>分）：</w:t>
      </w:r>
      <w:r>
        <w:rPr>
          <w:rFonts w:hint="eastAsia" w:ascii="宋体" w:hAnsi="宋体" w:cs="宋体"/>
          <w:color w:val="auto"/>
          <w:highlight w:val="none"/>
          <w:lang w:eastAsia="zh-CN"/>
        </w:rPr>
        <w:t>供应商</w:t>
      </w:r>
      <w:r>
        <w:rPr>
          <w:rFonts w:ascii="宋体" w:hAnsi="宋体" w:cs="宋体"/>
          <w:color w:val="auto"/>
          <w:highlight w:val="none"/>
        </w:rPr>
        <w:t>未提供该方案或者该方案与实际情况不符；</w:t>
      </w:r>
    </w:p>
    <w:p>
      <w:pPr>
        <w:spacing w:after="120"/>
        <w:ind w:firstLine="420"/>
        <w:rPr>
          <w:rFonts w:eastAsia="Times New Roman"/>
          <w:color w:val="auto"/>
          <w:highlight w:val="none"/>
        </w:rPr>
      </w:pPr>
      <w:r>
        <w:rPr>
          <w:rFonts w:hint="eastAsia" w:ascii="宋体" w:hAnsi="宋体" w:cs="宋体"/>
          <w:color w:val="auto"/>
          <w:highlight w:val="none"/>
        </w:rPr>
        <w:t>b.</w:t>
      </w:r>
      <w:r>
        <w:rPr>
          <w:rFonts w:ascii="宋体" w:hAnsi="宋体" w:cs="宋体"/>
          <w:color w:val="auto"/>
          <w:highlight w:val="none"/>
        </w:rPr>
        <w:t>（</w:t>
      </w:r>
      <w:r>
        <w:rPr>
          <w:rFonts w:eastAsia="Times New Roman"/>
          <w:color w:val="auto"/>
          <w:highlight w:val="none"/>
        </w:rPr>
        <w:t xml:space="preserve">6 </w:t>
      </w:r>
      <w:r>
        <w:rPr>
          <w:rFonts w:ascii="宋体" w:hAnsi="宋体" w:cs="宋体"/>
          <w:color w:val="auto"/>
          <w:highlight w:val="none"/>
        </w:rPr>
        <w:t>分）：对服务整体管理措施有描述；有人员档案管理、薪资管理方法；有劳动争议处理方案；</w:t>
      </w:r>
    </w:p>
    <w:p>
      <w:pPr>
        <w:spacing w:after="120"/>
        <w:ind w:firstLine="420"/>
        <w:rPr>
          <w:rFonts w:eastAsia="Times New Roman"/>
          <w:color w:val="auto"/>
          <w:highlight w:val="none"/>
        </w:rPr>
      </w:pPr>
      <w:r>
        <w:rPr>
          <w:rFonts w:hint="eastAsia" w:ascii="宋体" w:hAnsi="宋体" w:cs="宋体"/>
          <w:color w:val="auto"/>
          <w:highlight w:val="none"/>
        </w:rPr>
        <w:t>c.</w:t>
      </w:r>
      <w:r>
        <w:rPr>
          <w:rFonts w:ascii="宋体" w:hAnsi="宋体" w:cs="宋体"/>
          <w:color w:val="auto"/>
          <w:highlight w:val="none"/>
        </w:rPr>
        <w:t>（</w:t>
      </w:r>
      <w:r>
        <w:rPr>
          <w:rFonts w:eastAsia="Times New Roman"/>
          <w:color w:val="auto"/>
          <w:highlight w:val="none"/>
        </w:rPr>
        <w:t xml:space="preserve">13 </w:t>
      </w:r>
      <w:r>
        <w:rPr>
          <w:rFonts w:ascii="宋体" w:hAnsi="宋体" w:cs="宋体"/>
          <w:color w:val="auto"/>
          <w:highlight w:val="none"/>
        </w:rPr>
        <w:t>分）：服务整体管理措施比较详细、可操作性比较强；人员档案管理、薪资管理方法合理；劳动争议处理方案内容比较详细；</w:t>
      </w:r>
    </w:p>
    <w:p>
      <w:pPr>
        <w:spacing w:after="120"/>
        <w:ind w:firstLine="420"/>
        <w:rPr>
          <w:rFonts w:eastAsia="Times New Roman"/>
          <w:color w:val="auto"/>
          <w:highlight w:val="none"/>
        </w:rPr>
      </w:pPr>
      <w:r>
        <w:rPr>
          <w:rFonts w:hint="eastAsia" w:ascii="宋体" w:hAnsi="宋体" w:cs="宋体"/>
          <w:color w:val="auto"/>
          <w:highlight w:val="none"/>
        </w:rPr>
        <w:t>d.</w:t>
      </w:r>
      <w:r>
        <w:rPr>
          <w:rFonts w:ascii="宋体" w:hAnsi="宋体" w:cs="宋体"/>
          <w:color w:val="auto"/>
          <w:highlight w:val="none"/>
        </w:rPr>
        <w:t>（</w:t>
      </w:r>
      <w:r>
        <w:rPr>
          <w:rFonts w:eastAsia="Times New Roman"/>
          <w:color w:val="auto"/>
          <w:highlight w:val="none"/>
        </w:rPr>
        <w:t xml:space="preserve">20 </w:t>
      </w:r>
      <w:r>
        <w:rPr>
          <w:rFonts w:ascii="宋体" w:hAnsi="宋体" w:cs="宋体"/>
          <w:color w:val="auto"/>
          <w:highlight w:val="none"/>
        </w:rPr>
        <w:t>分）：服务整体管理措施详细、针对性强、可操作性强；人员档案管理、薪资管理系统科学、合理；劳动争议处理方案内容详细合理可行性强。</w:t>
      </w:r>
    </w:p>
    <w:p>
      <w:pPr>
        <w:spacing w:after="120"/>
        <w:ind w:firstLine="422"/>
        <w:rPr>
          <w:rFonts w:eastAsia="Times New Roman"/>
          <w:b/>
          <w:color w:val="auto"/>
          <w:highlight w:val="none"/>
        </w:rPr>
      </w:pPr>
      <w:r>
        <w:rPr>
          <w:rFonts w:ascii="宋体" w:hAnsi="宋体" w:cs="宋体"/>
          <w:b/>
          <w:color w:val="auto"/>
          <w:highlight w:val="none"/>
        </w:rPr>
        <w:t>（</w:t>
      </w:r>
      <w:r>
        <w:rPr>
          <w:rFonts w:eastAsia="Times New Roman"/>
          <w:b/>
          <w:color w:val="auto"/>
          <w:highlight w:val="none"/>
        </w:rPr>
        <w:t>2</w:t>
      </w:r>
      <w:r>
        <w:rPr>
          <w:rFonts w:ascii="宋体" w:hAnsi="宋体" w:cs="宋体"/>
          <w:b/>
          <w:color w:val="auto"/>
          <w:highlight w:val="none"/>
        </w:rPr>
        <w:t>）项目理解程度及服务需求响应（满分</w:t>
      </w:r>
      <w:r>
        <w:rPr>
          <w:rFonts w:eastAsia="Times New Roman"/>
          <w:b/>
          <w:color w:val="auto"/>
          <w:highlight w:val="none"/>
        </w:rPr>
        <w:t xml:space="preserve">20 </w:t>
      </w:r>
      <w:r>
        <w:rPr>
          <w:rFonts w:ascii="宋体" w:hAnsi="宋体" w:cs="宋体"/>
          <w:b/>
          <w:color w:val="auto"/>
          <w:highlight w:val="none"/>
        </w:rPr>
        <w:t>分）：</w:t>
      </w:r>
    </w:p>
    <w:p>
      <w:pPr>
        <w:spacing w:after="120"/>
        <w:ind w:firstLine="420"/>
        <w:rPr>
          <w:rFonts w:eastAsia="Times New Roman"/>
          <w:color w:val="auto"/>
          <w:highlight w:val="none"/>
        </w:rPr>
      </w:pPr>
      <w:r>
        <w:rPr>
          <w:rFonts w:hint="eastAsia" w:ascii="宋体" w:hAnsi="宋体" w:cs="宋体"/>
          <w:color w:val="auto"/>
          <w:highlight w:val="none"/>
        </w:rPr>
        <w:t>a.</w:t>
      </w:r>
      <w:r>
        <w:rPr>
          <w:rFonts w:ascii="宋体" w:hAnsi="宋体" w:cs="宋体"/>
          <w:color w:val="auto"/>
          <w:highlight w:val="none"/>
        </w:rPr>
        <w:t>（</w:t>
      </w:r>
      <w:r>
        <w:rPr>
          <w:rFonts w:eastAsia="Times New Roman"/>
          <w:color w:val="auto"/>
          <w:highlight w:val="none"/>
        </w:rPr>
        <w:t>0</w:t>
      </w:r>
      <w:r>
        <w:rPr>
          <w:rFonts w:ascii="宋体" w:hAnsi="宋体" w:cs="宋体"/>
          <w:color w:val="auto"/>
          <w:highlight w:val="none"/>
        </w:rPr>
        <w:t>分）：</w:t>
      </w:r>
      <w:r>
        <w:rPr>
          <w:rFonts w:hint="eastAsia" w:ascii="宋体" w:hAnsi="宋体" w:cs="宋体"/>
          <w:color w:val="auto"/>
          <w:highlight w:val="none"/>
          <w:lang w:eastAsia="zh-CN"/>
        </w:rPr>
        <w:t>供应商</w:t>
      </w:r>
      <w:r>
        <w:rPr>
          <w:rFonts w:ascii="宋体" w:hAnsi="宋体" w:cs="宋体"/>
          <w:color w:val="auto"/>
          <w:highlight w:val="none"/>
        </w:rPr>
        <w:t>未提供该方案或者该方案与实际情况不符；</w:t>
      </w:r>
    </w:p>
    <w:p>
      <w:pPr>
        <w:spacing w:after="120"/>
        <w:ind w:firstLine="420"/>
        <w:rPr>
          <w:rFonts w:eastAsia="Times New Roman"/>
          <w:color w:val="auto"/>
          <w:highlight w:val="none"/>
        </w:rPr>
      </w:pPr>
      <w:r>
        <w:rPr>
          <w:rFonts w:hint="eastAsia" w:ascii="宋体" w:hAnsi="宋体" w:cs="宋体"/>
          <w:color w:val="auto"/>
          <w:highlight w:val="none"/>
        </w:rPr>
        <w:t>b.</w:t>
      </w:r>
      <w:r>
        <w:rPr>
          <w:rFonts w:ascii="宋体" w:hAnsi="宋体" w:cs="宋体"/>
          <w:color w:val="auto"/>
          <w:highlight w:val="none"/>
        </w:rPr>
        <w:t>（</w:t>
      </w:r>
      <w:r>
        <w:rPr>
          <w:rFonts w:eastAsia="Times New Roman"/>
          <w:color w:val="auto"/>
          <w:highlight w:val="none"/>
        </w:rPr>
        <w:t xml:space="preserve">6 </w:t>
      </w:r>
      <w:r>
        <w:rPr>
          <w:rFonts w:ascii="宋体" w:hAnsi="宋体" w:cs="宋体"/>
          <w:color w:val="auto"/>
          <w:highlight w:val="none"/>
        </w:rPr>
        <w:t>分）：对采购人用工需求了解甚少，响应完整；</w:t>
      </w:r>
    </w:p>
    <w:p>
      <w:pPr>
        <w:spacing w:after="120"/>
        <w:ind w:firstLine="420"/>
        <w:rPr>
          <w:rFonts w:eastAsia="Times New Roman"/>
          <w:color w:val="auto"/>
          <w:highlight w:val="none"/>
        </w:rPr>
      </w:pPr>
      <w:r>
        <w:rPr>
          <w:rFonts w:hint="eastAsia" w:ascii="宋体" w:hAnsi="宋体" w:cs="宋体"/>
          <w:color w:val="auto"/>
          <w:highlight w:val="none"/>
        </w:rPr>
        <w:t>c.</w:t>
      </w:r>
      <w:r>
        <w:rPr>
          <w:rFonts w:ascii="宋体" w:hAnsi="宋体" w:cs="宋体"/>
          <w:color w:val="auto"/>
          <w:highlight w:val="none"/>
        </w:rPr>
        <w:t>（</w:t>
      </w:r>
      <w:r>
        <w:rPr>
          <w:rFonts w:eastAsia="Times New Roman"/>
          <w:color w:val="auto"/>
          <w:highlight w:val="none"/>
        </w:rPr>
        <w:t xml:space="preserve">13 </w:t>
      </w:r>
      <w:r>
        <w:rPr>
          <w:rFonts w:ascii="宋体" w:hAnsi="宋体" w:cs="宋体"/>
          <w:color w:val="auto"/>
          <w:highlight w:val="none"/>
        </w:rPr>
        <w:t>分）：对采购人用工需求有一定了解，阐述基本完整，响应完整、符合采购文件要求；</w:t>
      </w:r>
    </w:p>
    <w:p>
      <w:pPr>
        <w:spacing w:after="120"/>
        <w:ind w:firstLine="420"/>
        <w:rPr>
          <w:rFonts w:hint="eastAsia" w:eastAsia="宋体"/>
          <w:color w:val="auto"/>
          <w:highlight w:val="none"/>
          <w:lang w:val="en-US" w:eastAsia="zh-CN"/>
        </w:rPr>
      </w:pPr>
      <w:r>
        <w:rPr>
          <w:rFonts w:hint="eastAsia" w:ascii="宋体" w:hAnsi="宋体" w:cs="宋体"/>
          <w:color w:val="auto"/>
          <w:highlight w:val="none"/>
        </w:rPr>
        <w:t>d.</w:t>
      </w:r>
      <w:r>
        <w:rPr>
          <w:rFonts w:ascii="宋体" w:hAnsi="宋体" w:cs="宋体"/>
          <w:color w:val="auto"/>
          <w:highlight w:val="none"/>
        </w:rPr>
        <w:t>（</w:t>
      </w:r>
      <w:r>
        <w:rPr>
          <w:rFonts w:eastAsia="Times New Roman"/>
          <w:color w:val="auto"/>
          <w:highlight w:val="none"/>
        </w:rPr>
        <w:t xml:space="preserve">20 </w:t>
      </w:r>
      <w:r>
        <w:rPr>
          <w:rFonts w:ascii="宋体" w:hAnsi="宋体" w:cs="宋体"/>
          <w:color w:val="auto"/>
          <w:highlight w:val="none"/>
        </w:rPr>
        <w:t>分）：对采购人用工需求理解透彻、阐述全面且有条理，响应完整合理、可行性强，完全满足采购</w:t>
      </w:r>
      <w:r>
        <w:rPr>
          <w:rFonts w:hint="eastAsia" w:ascii="宋体" w:hAnsi="宋体" w:cs="宋体"/>
          <w:color w:val="auto"/>
          <w:highlight w:val="none"/>
          <w:lang w:eastAsia="zh-CN"/>
        </w:rPr>
        <w:t>需求。</w:t>
      </w:r>
    </w:p>
    <w:p>
      <w:pPr>
        <w:spacing w:after="120"/>
        <w:ind w:firstLine="422"/>
        <w:rPr>
          <w:rFonts w:eastAsia="Times New Roman"/>
          <w:b/>
          <w:color w:val="auto"/>
          <w:highlight w:val="none"/>
        </w:rPr>
      </w:pPr>
      <w:r>
        <w:rPr>
          <w:rFonts w:ascii="宋体" w:hAnsi="宋体" w:cs="宋体"/>
          <w:b/>
          <w:color w:val="auto"/>
          <w:highlight w:val="none"/>
        </w:rPr>
        <w:t>（</w:t>
      </w:r>
      <w:r>
        <w:rPr>
          <w:rFonts w:eastAsia="Times New Roman"/>
          <w:b/>
          <w:color w:val="auto"/>
          <w:highlight w:val="none"/>
        </w:rPr>
        <w:t>3</w:t>
      </w:r>
      <w:r>
        <w:rPr>
          <w:rFonts w:ascii="宋体" w:hAnsi="宋体" w:cs="宋体"/>
          <w:b/>
          <w:color w:val="auto"/>
          <w:highlight w:val="none"/>
        </w:rPr>
        <w:t>）服务承诺分（满分</w:t>
      </w:r>
      <w:r>
        <w:rPr>
          <w:rFonts w:eastAsia="Times New Roman"/>
          <w:b/>
          <w:color w:val="auto"/>
          <w:highlight w:val="none"/>
        </w:rPr>
        <w:t xml:space="preserve"> </w:t>
      </w:r>
      <w:r>
        <w:rPr>
          <w:rFonts w:hint="eastAsia"/>
          <w:b/>
          <w:color w:val="auto"/>
          <w:highlight w:val="none"/>
          <w:lang w:val="en-US" w:eastAsia="zh-CN"/>
        </w:rPr>
        <w:t>30</w:t>
      </w:r>
      <w:r>
        <w:rPr>
          <w:rFonts w:eastAsia="Times New Roman"/>
          <w:b/>
          <w:color w:val="auto"/>
          <w:highlight w:val="none"/>
        </w:rPr>
        <w:t xml:space="preserve"> </w:t>
      </w:r>
      <w:r>
        <w:rPr>
          <w:rFonts w:ascii="宋体" w:hAnsi="宋体" w:cs="宋体"/>
          <w:b/>
          <w:color w:val="auto"/>
          <w:highlight w:val="none"/>
        </w:rPr>
        <w:t>分）</w:t>
      </w:r>
    </w:p>
    <w:p>
      <w:pPr>
        <w:spacing w:after="120"/>
        <w:ind w:firstLine="420" w:firstLineChars="200"/>
        <w:rPr>
          <w:rFonts w:eastAsia="Times New Roman"/>
          <w:color w:val="auto"/>
          <w:highlight w:val="none"/>
        </w:rPr>
      </w:pPr>
      <w:r>
        <w:rPr>
          <w:rFonts w:hint="eastAsia" w:ascii="宋体" w:hAnsi="宋体" w:cs="宋体"/>
          <w:color w:val="auto"/>
          <w:highlight w:val="none"/>
        </w:rPr>
        <w:t>a.</w:t>
      </w:r>
      <w:r>
        <w:rPr>
          <w:rFonts w:ascii="宋体" w:hAnsi="宋体" w:cs="宋体"/>
          <w:color w:val="auto"/>
          <w:highlight w:val="none"/>
        </w:rPr>
        <w:t>（</w:t>
      </w:r>
      <w:r>
        <w:rPr>
          <w:rFonts w:eastAsia="Times New Roman"/>
          <w:color w:val="auto"/>
          <w:highlight w:val="none"/>
        </w:rPr>
        <w:t>0</w:t>
      </w:r>
      <w:r>
        <w:rPr>
          <w:rFonts w:ascii="宋体" w:hAnsi="宋体" w:cs="宋体"/>
          <w:color w:val="auto"/>
          <w:highlight w:val="none"/>
        </w:rPr>
        <w:t>分）：</w:t>
      </w:r>
      <w:r>
        <w:rPr>
          <w:rFonts w:hint="eastAsia" w:ascii="宋体" w:hAnsi="宋体" w:cs="宋体"/>
          <w:color w:val="auto"/>
          <w:highlight w:val="none"/>
          <w:lang w:eastAsia="zh-CN"/>
        </w:rPr>
        <w:t>供应商</w:t>
      </w:r>
      <w:r>
        <w:rPr>
          <w:rFonts w:ascii="宋体" w:hAnsi="宋体" w:cs="宋体"/>
          <w:color w:val="auto"/>
          <w:highlight w:val="none"/>
        </w:rPr>
        <w:t>未提供该方案或者该方案与实际情况不符；</w:t>
      </w:r>
    </w:p>
    <w:p>
      <w:pPr>
        <w:pStyle w:val="20"/>
        <w:spacing w:line="360" w:lineRule="auto"/>
        <w:ind w:firstLine="420" w:firstLineChars="200"/>
        <w:jc w:val="lef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a.</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rPr>
        <w:t>分）：供应商做出的服务承诺能响应项目采购需求，确保项目服务质量、违约责任、服务质量考核标准和其他约定能达到项目采购要求。</w:t>
      </w:r>
    </w:p>
    <w:p>
      <w:pPr>
        <w:pStyle w:val="20"/>
        <w:spacing w:line="360" w:lineRule="auto"/>
        <w:ind w:firstLine="420" w:firstLineChars="200"/>
        <w:jc w:val="lef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b.</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20</w:t>
      </w:r>
      <w:r>
        <w:rPr>
          <w:rFonts w:hint="eastAsia" w:asciiTheme="minorEastAsia" w:hAnsiTheme="minorEastAsia" w:eastAsiaTheme="minorEastAsia" w:cstheme="minorEastAsia"/>
          <w:bCs/>
          <w:color w:val="auto"/>
          <w:sz w:val="21"/>
          <w:szCs w:val="21"/>
          <w:highlight w:val="none"/>
        </w:rPr>
        <w:t>分）：供应商做出的服务承诺能满足项目采购需求，并能细化服务承诺措施，确保项目服务质量、违约责任、服务质量考核标准和其他约定能达到采购要求。</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c.</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30</w:t>
      </w:r>
      <w:r>
        <w:rPr>
          <w:rFonts w:hint="eastAsia" w:asciiTheme="minorEastAsia" w:hAnsiTheme="minorEastAsia" w:eastAsiaTheme="minorEastAsia" w:cstheme="minorEastAsia"/>
          <w:bCs/>
          <w:color w:val="auto"/>
          <w:sz w:val="21"/>
          <w:szCs w:val="21"/>
          <w:highlight w:val="none"/>
        </w:rPr>
        <w:t>分）：供应商做出的服务承诺能响应项目采购需求，制定有详细、完整的服务承诺措施，能针对本项目提供合理化服务建议，确保项目服务质量、违约责任和服务质量考核标准能达到采购要求。</w:t>
      </w:r>
    </w:p>
    <w:p>
      <w:pPr>
        <w:spacing w:line="360" w:lineRule="auto"/>
        <w:ind w:firstLine="422"/>
        <w:rPr>
          <w:rFonts w:ascii="宋体" w:hAnsi="宋体" w:cs="宋体"/>
          <w:b/>
          <w:color w:val="auto"/>
          <w:highlight w:val="none"/>
        </w:rPr>
      </w:pPr>
      <w:r>
        <w:rPr>
          <w:rFonts w:ascii="宋体" w:hAnsi="宋体" w:cs="宋体"/>
          <w:b/>
          <w:color w:val="auto"/>
          <w:highlight w:val="none"/>
        </w:rPr>
        <w:t>3、企业</w:t>
      </w:r>
      <w:r>
        <w:rPr>
          <w:rFonts w:hint="eastAsia" w:ascii="宋体" w:hAnsi="宋体" w:cs="宋体"/>
          <w:b/>
          <w:color w:val="auto"/>
          <w:highlight w:val="none"/>
          <w:lang w:eastAsia="zh-CN"/>
        </w:rPr>
        <w:t>业绩</w:t>
      </w:r>
      <w:r>
        <w:rPr>
          <w:rFonts w:ascii="宋体" w:hAnsi="宋体" w:cs="宋体"/>
          <w:b/>
          <w:color w:val="auto"/>
          <w:highlight w:val="none"/>
        </w:rPr>
        <w:t>分…………………………………………………………………………</w:t>
      </w:r>
      <w:r>
        <w:rPr>
          <w:rFonts w:hint="eastAsia" w:ascii="宋体" w:hAnsi="宋体" w:cs="宋体"/>
          <w:b/>
          <w:color w:val="auto"/>
          <w:highlight w:val="none"/>
          <w:lang w:val="en-US" w:eastAsia="zh-CN"/>
        </w:rPr>
        <w:t>10</w:t>
      </w:r>
      <w:r>
        <w:rPr>
          <w:rFonts w:ascii="宋体" w:hAnsi="宋体" w:cs="宋体"/>
          <w:b/>
          <w:color w:val="auto"/>
          <w:highlight w:val="none"/>
        </w:rPr>
        <w:t>分</w:t>
      </w:r>
    </w:p>
    <w:p>
      <w:pPr>
        <w:spacing w:line="360" w:lineRule="auto"/>
        <w:ind w:firstLine="514"/>
        <w:rPr>
          <w:rFonts w:ascii="宋体" w:hAns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2018年1月1日以来承接的</w:t>
      </w:r>
      <w:r>
        <w:rPr>
          <w:rFonts w:hint="eastAsia" w:ascii="宋体" w:hAnsi="宋体" w:cs="宋体"/>
          <w:color w:val="auto"/>
          <w:highlight w:val="none"/>
          <w:lang w:eastAsia="zh-CN"/>
        </w:rPr>
        <w:t>类似</w:t>
      </w:r>
      <w:r>
        <w:rPr>
          <w:rFonts w:ascii="宋体" w:hAnsi="宋体" w:cs="宋体"/>
          <w:color w:val="auto"/>
          <w:highlight w:val="none"/>
        </w:rPr>
        <w:t>服务项目</w:t>
      </w:r>
      <w:r>
        <w:rPr>
          <w:rFonts w:hint="eastAsia" w:ascii="宋体" w:hAnsi="宋体" w:cs="宋体"/>
          <w:color w:val="auto"/>
          <w:highlight w:val="none"/>
          <w:lang w:eastAsia="zh-CN"/>
        </w:rPr>
        <w:t>业绩</w:t>
      </w:r>
      <w:r>
        <w:rPr>
          <w:rFonts w:ascii="宋体" w:hAnsi="宋体" w:cs="宋体"/>
          <w:color w:val="auto"/>
          <w:highlight w:val="none"/>
        </w:rPr>
        <w:t xml:space="preserve">，每一个得 </w:t>
      </w:r>
      <w:r>
        <w:rPr>
          <w:rFonts w:hint="eastAsia" w:ascii="宋体" w:hAnsi="宋体" w:cs="宋体"/>
          <w:color w:val="auto"/>
          <w:highlight w:val="none"/>
          <w:lang w:val="en-US" w:eastAsia="zh-CN"/>
        </w:rPr>
        <w:t>5</w:t>
      </w:r>
      <w:r>
        <w:rPr>
          <w:rFonts w:ascii="宋体" w:hAnsi="宋体" w:cs="宋体"/>
          <w:color w:val="auto"/>
          <w:highlight w:val="none"/>
        </w:rPr>
        <w:t>分，满分</w:t>
      </w:r>
      <w:r>
        <w:rPr>
          <w:rFonts w:hint="eastAsia" w:ascii="宋体" w:hAnsi="宋体" w:cs="宋体"/>
          <w:color w:val="auto"/>
          <w:highlight w:val="none"/>
          <w:lang w:val="en-US" w:eastAsia="zh-CN"/>
        </w:rPr>
        <w:t>10</w:t>
      </w:r>
      <w:r>
        <w:rPr>
          <w:rFonts w:ascii="宋体" w:hAnsi="宋体" w:cs="宋体"/>
          <w:color w:val="auto"/>
          <w:highlight w:val="none"/>
        </w:rPr>
        <w:t>分。（</w:t>
      </w:r>
      <w:r>
        <w:rPr>
          <w:rFonts w:hint="eastAsia" w:ascii="宋体" w:hAnsi="宋体" w:cs="宋体"/>
          <w:color w:val="auto"/>
          <w:highlight w:val="none"/>
        </w:rPr>
        <w:t>需在响应文件中提供类似项目</w:t>
      </w:r>
      <w:r>
        <w:rPr>
          <w:rFonts w:hint="eastAsia"/>
          <w:color w:val="auto"/>
          <w:highlight w:val="none"/>
          <w:lang w:eastAsia="zh-CN"/>
        </w:rPr>
        <w:t>业绩</w:t>
      </w:r>
      <w:r>
        <w:rPr>
          <w:rFonts w:hint="eastAsia" w:ascii="宋体" w:hAnsi="宋体" w:cs="宋体"/>
          <w:color w:val="auto"/>
          <w:highlight w:val="none"/>
        </w:rPr>
        <w:t>的合同复印件并加盖供应商公章，否则不予以计分</w:t>
      </w:r>
      <w:r>
        <w:rPr>
          <w:rFonts w:ascii="宋体" w:hAnsi="宋体" w:cs="宋体"/>
          <w:color w:val="auto"/>
          <w:highlight w:val="none"/>
        </w:rPr>
        <w:t>，</w:t>
      </w:r>
      <w:r>
        <w:rPr>
          <w:rFonts w:hint="eastAsia" w:ascii="宋体" w:hAnsi="宋体" w:cs="宋体"/>
          <w:color w:val="auto"/>
          <w:highlight w:val="none"/>
          <w:lang w:eastAsia="zh-CN"/>
        </w:rPr>
        <w:t>（</w:t>
      </w:r>
      <w:r>
        <w:rPr>
          <w:rFonts w:ascii="宋体" w:hAnsi="宋体" w:cs="宋体"/>
          <w:color w:val="auto"/>
          <w:highlight w:val="none"/>
        </w:rPr>
        <w:t>时间以合同签订日期为准。同一单位同一项目内容的多份协议，只能算一份）。</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（四）总得分=1+2+3</w:t>
      </w:r>
    </w:p>
    <w:p>
      <w:pPr>
        <w:pStyle w:val="20"/>
        <w:spacing w:line="360" w:lineRule="auto"/>
        <w:ind w:firstLine="420" w:firstLineChars="200"/>
        <w:jc w:val="left"/>
        <w:rPr>
          <w:rFonts w:hAnsi="宋体" w:cs="宋体"/>
          <w:bCs/>
          <w:color w:val="auto"/>
          <w:sz w:val="21"/>
          <w:szCs w:val="21"/>
          <w:highlight w:val="none"/>
        </w:rPr>
      </w:pPr>
    </w:p>
    <w:p>
      <w:pPr>
        <w:pStyle w:val="20"/>
        <w:spacing w:line="360" w:lineRule="auto"/>
        <w:ind w:firstLine="422" w:firstLineChars="200"/>
        <w:jc w:val="left"/>
        <w:rPr>
          <w:rFonts w:hAnsi="宋体" w:cs="宋体"/>
          <w:b/>
          <w:bCs/>
          <w:color w:val="auto"/>
          <w:sz w:val="21"/>
          <w:szCs w:val="21"/>
          <w:highlight w:val="none"/>
        </w:rPr>
      </w:pPr>
      <w:r>
        <w:rPr>
          <w:rFonts w:hint="eastAsia" w:hAnsi="宋体" w:cs="宋体"/>
          <w:b/>
          <w:bCs/>
          <w:color w:val="auto"/>
          <w:sz w:val="21"/>
          <w:szCs w:val="21"/>
          <w:highlight w:val="none"/>
        </w:rPr>
        <w:t>三、成交候选人推荐原则</w:t>
      </w:r>
    </w:p>
    <w:p>
      <w:pPr>
        <w:pStyle w:val="20"/>
        <w:spacing w:line="360" w:lineRule="auto"/>
        <w:ind w:firstLine="420" w:firstLineChars="200"/>
        <w:jc w:val="left"/>
        <w:rPr>
          <w:rFonts w:hAnsi="宋体" w:cs="宋体"/>
          <w:b/>
          <w:bCs/>
          <w:color w:val="auto"/>
          <w:sz w:val="21"/>
          <w:szCs w:val="21"/>
          <w:highlight w:val="none"/>
        </w:rPr>
      </w:pPr>
      <w:r>
        <w:rPr>
          <w:rFonts w:hint="eastAsia" w:hAnsi="宋体" w:cs="宋体"/>
          <w:bCs/>
          <w:color w:val="auto"/>
          <w:sz w:val="21"/>
          <w:szCs w:val="21"/>
          <w:highlight w:val="none"/>
        </w:rPr>
        <w:t>（一）磋商小组将根据得分由高到低排列次序（得分相同时，以最后报价由低到高顺序排列；得分相同且最后报价相同的，</w:t>
      </w:r>
      <w:r>
        <w:rPr>
          <w:rFonts w:hint="eastAsia" w:hAnsi="宋体" w:cs="宋体"/>
          <w:bCs/>
          <w:color w:val="auto"/>
          <w:sz w:val="21"/>
          <w:szCs w:val="21"/>
          <w:highlight w:val="none"/>
          <w:u w:val="single"/>
        </w:rPr>
        <w:t>服务</w:t>
      </w:r>
      <w:r>
        <w:rPr>
          <w:rFonts w:hint="eastAsia"/>
          <w:color w:val="auto"/>
          <w:sz w:val="21"/>
          <w:szCs w:val="21"/>
          <w:highlight w:val="none"/>
          <w:lang w:eastAsia="zh-CN"/>
        </w:rPr>
        <w:t>管理</w:t>
      </w:r>
      <w:r>
        <w:rPr>
          <w:rFonts w:hint="eastAsia" w:hAnsi="宋体" w:cs="宋体"/>
          <w:bCs/>
          <w:color w:val="auto"/>
          <w:sz w:val="21"/>
          <w:szCs w:val="21"/>
          <w:highlight w:val="none"/>
          <w:u w:val="single"/>
        </w:rPr>
        <w:t>、项目理解程度及服务需求响应</w:t>
      </w:r>
      <w:r>
        <w:rPr>
          <w:rFonts w:hint="eastAsia" w:hAnsi="宋体" w:cs="宋体"/>
          <w:bCs/>
          <w:color w:val="auto"/>
          <w:sz w:val="21"/>
          <w:szCs w:val="21"/>
          <w:highlight w:val="none"/>
          <w:u w:val="single"/>
          <w:lang w:eastAsia="zh-CN"/>
        </w:rPr>
        <w:t>、服务承诺分、企业业绩分</w:t>
      </w:r>
      <w:r>
        <w:rPr>
          <w:rFonts w:hint="eastAsia" w:hAnsi="宋体" w:cs="宋体"/>
          <w:bCs/>
          <w:color w:val="auto"/>
          <w:sz w:val="21"/>
          <w:szCs w:val="21"/>
          <w:highlight w:val="none"/>
        </w:rPr>
        <w:t>由高到低顺序排列）并推荐成交候选人3名。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hAnsi="宋体" w:cs="宋体"/>
          <w:color w:val="auto"/>
          <w:sz w:val="21"/>
          <w:szCs w:val="21"/>
          <w:highlight w:val="none"/>
        </w:rPr>
        <w:t>成交供应商拒绝签订采购合同的，采购人可以按照"从评审报告提出的成交候选供应商中，按照排序由高到低"规定的原则确定其他供应商作为成交供应商并签订采购合同，也可以重新开展采购活动。拒绝签订采购合同的成交供应商不得参加对该项目重新开展的采购活动。</w:t>
      </w:r>
    </w:p>
    <w:p>
      <w:pPr>
        <w:rPr>
          <w:color w:val="auto"/>
          <w:highlight w:val="none"/>
        </w:rPr>
      </w:pPr>
    </w:p>
    <w:p>
      <w:pPr>
        <w:pStyle w:val="20"/>
        <w:spacing w:line="360" w:lineRule="auto"/>
        <w:ind w:firstLine="422" w:firstLineChars="200"/>
        <w:jc w:val="left"/>
        <w:rPr>
          <w:rFonts w:hAnsi="宋体" w:cs="宋体"/>
          <w:b/>
          <w:bCs/>
          <w:color w:val="auto"/>
          <w:sz w:val="21"/>
          <w:szCs w:val="21"/>
          <w:highlight w:val="none"/>
        </w:rPr>
      </w:pPr>
      <w:r>
        <w:rPr>
          <w:rFonts w:hint="eastAsia" w:hAnsi="宋体" w:cs="宋体"/>
          <w:b/>
          <w:bCs/>
          <w:color w:val="auto"/>
          <w:sz w:val="21"/>
          <w:szCs w:val="21"/>
          <w:highlight w:val="none"/>
        </w:rPr>
        <w:t>四、特别说明</w:t>
      </w:r>
    </w:p>
    <w:p>
      <w:pPr>
        <w:pStyle w:val="20"/>
        <w:spacing w:line="360" w:lineRule="auto"/>
        <w:ind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一）磋商小组认为供应商的竞标报价明显低于其他通过符合性审查供应商的竞标报价，有可能影响产品（或服务）质量或者不能诚信履约的，应当要求其在评审现场合理的时间内提供书面说明，必要时提交相关证明材料；供应商不能证明其竞标报价合理性的，磋商小组应当将其作为无效磋商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（二）以上评审内容需要提供材料的，除必要的原件核对外，供应商如能够在线查询的材料，请提供查询网址链接，可以不用同时提供纸质材料。</w:t>
      </w:r>
    </w:p>
    <w:p>
      <w:pPr>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72" w:name="_Toc856"/>
      <w:bookmarkStart w:id="73" w:name="_Toc26773"/>
      <w:bookmarkStart w:id="74" w:name="_Toc20400"/>
      <w:r>
        <w:rPr>
          <w:rFonts w:hint="eastAsia" w:ascii="宋体" w:hAnsi="宋体" w:cs="宋体"/>
          <w:b/>
          <w:color w:val="auto"/>
          <w:sz w:val="28"/>
          <w:szCs w:val="28"/>
          <w:highlight w:val="none"/>
        </w:rPr>
        <w:t xml:space="preserve">第四章 </w:t>
      </w:r>
      <w:r>
        <w:rPr>
          <w:rFonts w:hint="eastAsia"/>
          <w:b/>
          <w:bCs/>
          <w:color w:val="auto"/>
          <w:sz w:val="28"/>
          <w:szCs w:val="28"/>
          <w:highlight w:val="none"/>
        </w:rPr>
        <w:t>拟签订的合同文本</w:t>
      </w:r>
      <w:bookmarkEnd w:id="72"/>
      <w:bookmarkEnd w:id="73"/>
      <w:bookmarkEnd w:id="74"/>
    </w:p>
    <w:p>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 w:val="30"/>
          <w:szCs w:val="30"/>
          <w:highlight w:val="none"/>
        </w:rPr>
        <w:t>合同封面）                            合同类别：技术服务类</w:t>
      </w:r>
    </w:p>
    <w:p>
      <w:pPr>
        <w:jc w:val="center"/>
        <w:rPr>
          <w:rFonts w:ascii="宋体" w:hAnsi="宋体" w:cs="宋体"/>
          <w:b/>
          <w:color w:val="auto"/>
          <w:sz w:val="44"/>
          <w:szCs w:val="44"/>
          <w:highlight w:val="none"/>
        </w:rPr>
      </w:pPr>
    </w:p>
    <w:p>
      <w:pPr>
        <w:jc w:val="center"/>
        <w:rPr>
          <w:rFonts w:ascii="宋体" w:hAnsi="宋体" w:cs="宋体"/>
          <w:b/>
          <w:color w:val="auto"/>
          <w:sz w:val="44"/>
          <w:szCs w:val="44"/>
          <w:highlight w:val="none"/>
        </w:rPr>
      </w:pPr>
    </w:p>
    <w:p>
      <w:pPr>
        <w:jc w:val="center"/>
        <w:rPr>
          <w:rFonts w:ascii="宋体" w:hAnsi="宋体" w:cs="宋体"/>
          <w:b/>
          <w:color w:val="auto"/>
          <w:sz w:val="44"/>
          <w:szCs w:val="44"/>
          <w:highlight w:val="none"/>
        </w:rPr>
      </w:pPr>
      <w:r>
        <w:rPr>
          <w:rFonts w:hint="eastAsia" w:ascii="宋体" w:hAnsi="宋体" w:cs="宋体"/>
          <w:b/>
          <w:color w:val="auto"/>
          <w:sz w:val="44"/>
          <w:szCs w:val="44"/>
          <w:highlight w:val="none"/>
        </w:rPr>
        <w:t>采购合同</w:t>
      </w:r>
    </w:p>
    <w:p>
      <w:pPr>
        <w:ind w:firstLine="560" w:firstLineChars="200"/>
        <w:jc w:val="center"/>
        <w:rPr>
          <w:rFonts w:ascii="宋体" w:hAnsi="宋体" w:cs="宋体"/>
          <w:color w:val="auto"/>
          <w:sz w:val="28"/>
          <w:szCs w:val="28"/>
          <w:highlight w:val="none"/>
        </w:rPr>
      </w:pP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（年度</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ind w:firstLine="600" w:firstLineChars="200"/>
        <w:jc w:val="center"/>
        <w:rPr>
          <w:rFonts w:ascii="宋体" w:hAnsi="宋体" w:cs="宋体"/>
          <w:color w:val="auto"/>
          <w:sz w:val="30"/>
          <w:szCs w:val="30"/>
          <w:highlight w:val="none"/>
        </w:rPr>
      </w:pPr>
    </w:p>
    <w:p>
      <w:pPr>
        <w:ind w:firstLine="600" w:firstLineChars="200"/>
        <w:jc w:val="center"/>
        <w:rPr>
          <w:rFonts w:ascii="宋体" w:hAnsi="宋体" w:cs="宋体"/>
          <w:color w:val="auto"/>
          <w:sz w:val="30"/>
          <w:szCs w:val="30"/>
          <w:highlight w:val="none"/>
        </w:rPr>
      </w:pPr>
    </w:p>
    <w:p>
      <w:pPr>
        <w:spacing w:line="360" w:lineRule="auto"/>
        <w:ind w:firstLine="1350" w:firstLineChars="45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spacing w:line="360" w:lineRule="auto"/>
        <w:ind w:firstLine="1200" w:firstLineChars="400"/>
        <w:rPr>
          <w:rFonts w:ascii="宋体" w:hAnsi="宋体" w:cs="宋体"/>
          <w:color w:val="auto"/>
          <w:sz w:val="30"/>
          <w:szCs w:val="30"/>
          <w:highlight w:val="none"/>
        </w:rPr>
      </w:pPr>
      <w:r>
        <w:rPr>
          <w:rFonts w:hint="eastAsia" w:ascii="宋体" w:hAnsi="宋体" w:cs="宋体"/>
          <w:color w:val="auto"/>
          <w:sz w:val="30"/>
          <w:szCs w:val="30"/>
          <w:highlight w:val="none"/>
        </w:rPr>
        <w:t>（分标子项目）：</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spacing w:line="360" w:lineRule="auto"/>
        <w:ind w:firstLine="1350" w:firstLineChars="450"/>
        <w:rPr>
          <w:rFonts w:ascii="宋体" w:hAnsi="宋体" w:cs="宋体"/>
          <w:color w:val="auto"/>
          <w:sz w:val="30"/>
          <w:szCs w:val="30"/>
          <w:highlight w:val="none"/>
          <w:u w:val="single"/>
        </w:rPr>
      </w:pPr>
      <w:r>
        <w:rPr>
          <w:rFonts w:hint="eastAsia" w:ascii="宋体" w:hAnsi="宋体" w:cs="宋体"/>
          <w:color w:val="auto"/>
          <w:sz w:val="30"/>
          <w:szCs w:val="30"/>
          <w:highlight w:val="none"/>
        </w:rPr>
        <w:t>合同编号：</w:t>
      </w:r>
    </w:p>
    <w:p>
      <w:pPr>
        <w:spacing w:line="360" w:lineRule="auto"/>
        <w:ind w:firstLine="602" w:firstLineChars="200"/>
        <w:jc w:val="center"/>
        <w:rPr>
          <w:rFonts w:ascii="宋体" w:hAnsi="宋体" w:cs="宋体"/>
          <w:b/>
          <w:color w:val="auto"/>
          <w:sz w:val="30"/>
          <w:szCs w:val="30"/>
          <w:highlight w:val="none"/>
        </w:rPr>
      </w:pPr>
      <w:r>
        <w:rPr>
          <w:rFonts w:hint="eastAsia" w:ascii="宋体" w:hAnsi="宋体" w:cs="宋体"/>
          <w:b/>
          <w:color w:val="auto"/>
          <w:sz w:val="30"/>
          <w:szCs w:val="30"/>
          <w:highlight w:val="none"/>
        </w:rPr>
        <w:t>（本项目为目录外标准下）</w:t>
      </w:r>
    </w:p>
    <w:p>
      <w:pPr>
        <w:spacing w:line="360" w:lineRule="auto"/>
        <w:ind w:firstLine="600" w:firstLineChars="200"/>
        <w:jc w:val="center"/>
        <w:rPr>
          <w:rFonts w:ascii="宋体" w:hAnsi="宋体" w:cs="宋体"/>
          <w:color w:val="auto"/>
          <w:sz w:val="30"/>
          <w:szCs w:val="30"/>
          <w:highlight w:val="none"/>
        </w:rPr>
      </w:pPr>
    </w:p>
    <w:p>
      <w:pPr>
        <w:spacing w:line="360" w:lineRule="auto"/>
        <w:ind w:firstLine="600" w:firstLineChars="200"/>
        <w:jc w:val="center"/>
        <w:rPr>
          <w:rFonts w:ascii="宋体" w:hAnsi="宋体" w:cs="宋体"/>
          <w:color w:val="auto"/>
          <w:sz w:val="30"/>
          <w:szCs w:val="30"/>
          <w:highlight w:val="none"/>
        </w:rPr>
      </w:pPr>
    </w:p>
    <w:p>
      <w:pPr>
        <w:spacing w:line="360" w:lineRule="auto"/>
        <w:ind w:firstLine="444" w:firstLineChars="148"/>
        <w:rPr>
          <w:rFonts w:ascii="宋体" w:hAnsi="宋体" w:cs="宋体"/>
          <w:color w:val="auto"/>
          <w:sz w:val="30"/>
          <w:szCs w:val="30"/>
          <w:highlight w:val="none"/>
        </w:rPr>
      </w:pPr>
      <w:r>
        <w:rPr>
          <w:rFonts w:hint="eastAsia" w:ascii="宋体" w:hAnsi="宋体" w:cs="宋体"/>
          <w:color w:val="auto"/>
          <w:sz w:val="30"/>
          <w:szCs w:val="30"/>
          <w:highlight w:val="none"/>
        </w:rPr>
        <w:t>甲方(采购人名称) ：</w:t>
      </w:r>
      <w:r>
        <w:rPr>
          <w:rFonts w:hint="eastAsia" w:ascii="宋体" w:hAnsi="宋体" w:cs="宋体"/>
          <w:color w:val="auto"/>
          <w:sz w:val="30"/>
          <w:szCs w:val="30"/>
          <w:highlight w:val="none"/>
          <w:u w:val="single"/>
        </w:rPr>
        <w:t xml:space="preserve">                            </w:t>
      </w:r>
    </w:p>
    <w:p>
      <w:pPr>
        <w:spacing w:line="360" w:lineRule="auto"/>
        <w:rPr>
          <w:rFonts w:ascii="宋体" w:hAnsi="宋体" w:cs="宋体"/>
          <w:color w:val="auto"/>
          <w:sz w:val="30"/>
          <w:szCs w:val="30"/>
          <w:highlight w:val="none"/>
        </w:rPr>
      </w:pPr>
    </w:p>
    <w:p>
      <w:pPr>
        <w:spacing w:line="360" w:lineRule="auto"/>
        <w:ind w:firstLine="444" w:firstLineChars="148"/>
        <w:rPr>
          <w:rFonts w:ascii="宋体" w:hAnsi="宋体" w:cs="宋体"/>
          <w:color w:val="auto"/>
          <w:sz w:val="30"/>
          <w:szCs w:val="30"/>
          <w:highlight w:val="none"/>
          <w:u w:val="single"/>
        </w:rPr>
      </w:pPr>
      <w:r>
        <w:rPr>
          <w:rFonts w:hint="eastAsia" w:ascii="宋体" w:hAnsi="宋体" w:cs="宋体"/>
          <w:color w:val="auto"/>
          <w:sz w:val="30"/>
          <w:szCs w:val="30"/>
          <w:highlight w:val="none"/>
        </w:rPr>
        <w:t>乙方(供应商名称)：</w:t>
      </w:r>
      <w:r>
        <w:rPr>
          <w:rFonts w:hint="eastAsia" w:ascii="宋体" w:hAnsi="宋体" w:cs="宋体"/>
          <w:color w:val="auto"/>
          <w:sz w:val="30"/>
          <w:szCs w:val="30"/>
          <w:highlight w:val="none"/>
          <w:u w:val="single"/>
        </w:rPr>
        <w:t xml:space="preserve">                            </w:t>
      </w:r>
    </w:p>
    <w:p>
      <w:pPr>
        <w:spacing w:line="360" w:lineRule="auto"/>
        <w:rPr>
          <w:rFonts w:ascii="宋体" w:hAnsi="宋体" w:cs="宋体"/>
          <w:color w:val="auto"/>
          <w:sz w:val="30"/>
          <w:szCs w:val="30"/>
          <w:highlight w:val="none"/>
        </w:rPr>
      </w:pPr>
    </w:p>
    <w:p>
      <w:pPr>
        <w:pStyle w:val="20"/>
        <w:jc w:val="center"/>
        <w:rPr>
          <w:rFonts w:hAnsi="宋体"/>
          <w:color w:val="auto"/>
          <w:sz w:val="30"/>
          <w:szCs w:val="30"/>
          <w:highlight w:val="none"/>
        </w:rPr>
      </w:pPr>
      <w:r>
        <w:rPr>
          <w:rFonts w:hint="eastAsia" w:hAnsi="宋体"/>
          <w:color w:val="auto"/>
          <w:sz w:val="30"/>
          <w:szCs w:val="30"/>
          <w:highlight w:val="none"/>
        </w:rPr>
        <w:t>签</w:t>
      </w:r>
      <w:r>
        <w:rPr>
          <w:rFonts w:hAnsi="宋体"/>
          <w:color w:val="auto"/>
          <w:sz w:val="30"/>
          <w:szCs w:val="30"/>
          <w:highlight w:val="none"/>
        </w:rPr>
        <w:t xml:space="preserve"> </w:t>
      </w:r>
      <w:r>
        <w:rPr>
          <w:rFonts w:hint="eastAsia" w:hAnsi="宋体"/>
          <w:color w:val="auto"/>
          <w:sz w:val="30"/>
          <w:szCs w:val="30"/>
          <w:highlight w:val="none"/>
        </w:rPr>
        <w:t>订</w:t>
      </w:r>
      <w:r>
        <w:rPr>
          <w:rFonts w:hAnsi="宋体"/>
          <w:color w:val="auto"/>
          <w:sz w:val="30"/>
          <w:szCs w:val="30"/>
          <w:highlight w:val="none"/>
        </w:rPr>
        <w:t xml:space="preserve"> </w:t>
      </w:r>
      <w:r>
        <w:rPr>
          <w:rFonts w:hint="eastAsia" w:hAnsi="宋体"/>
          <w:color w:val="auto"/>
          <w:sz w:val="30"/>
          <w:szCs w:val="30"/>
          <w:highlight w:val="none"/>
        </w:rPr>
        <w:t>日</w:t>
      </w:r>
      <w:r>
        <w:rPr>
          <w:rFonts w:hAnsi="宋体"/>
          <w:color w:val="auto"/>
          <w:sz w:val="30"/>
          <w:szCs w:val="30"/>
          <w:highlight w:val="none"/>
        </w:rPr>
        <w:t xml:space="preserve"> </w:t>
      </w:r>
      <w:r>
        <w:rPr>
          <w:rFonts w:hint="eastAsia" w:hAnsi="宋体"/>
          <w:color w:val="auto"/>
          <w:sz w:val="30"/>
          <w:szCs w:val="30"/>
          <w:highlight w:val="none"/>
        </w:rPr>
        <w:t>期：</w:t>
      </w:r>
      <w:r>
        <w:rPr>
          <w:rFonts w:hAnsi="宋体"/>
          <w:color w:val="auto"/>
          <w:sz w:val="30"/>
          <w:szCs w:val="30"/>
          <w:highlight w:val="none"/>
        </w:rPr>
        <w:t xml:space="preserve">       </w:t>
      </w:r>
      <w:r>
        <w:rPr>
          <w:rFonts w:hint="eastAsia" w:hAnsi="宋体"/>
          <w:color w:val="auto"/>
          <w:sz w:val="30"/>
          <w:szCs w:val="30"/>
          <w:highlight w:val="none"/>
        </w:rPr>
        <w:t>年</w:t>
      </w:r>
      <w:r>
        <w:rPr>
          <w:rFonts w:hAnsi="宋体"/>
          <w:color w:val="auto"/>
          <w:sz w:val="30"/>
          <w:szCs w:val="30"/>
          <w:highlight w:val="none"/>
        </w:rPr>
        <w:t xml:space="preserve">    </w:t>
      </w:r>
      <w:r>
        <w:rPr>
          <w:rFonts w:hint="eastAsia" w:hAnsi="宋体"/>
          <w:color w:val="auto"/>
          <w:sz w:val="30"/>
          <w:szCs w:val="30"/>
          <w:highlight w:val="none"/>
        </w:rPr>
        <w:t xml:space="preserve">  月</w:t>
      </w:r>
      <w:r>
        <w:rPr>
          <w:rFonts w:hAnsi="宋体"/>
          <w:color w:val="auto"/>
          <w:sz w:val="30"/>
          <w:szCs w:val="30"/>
          <w:highlight w:val="none"/>
        </w:rPr>
        <w:t xml:space="preserve">     </w:t>
      </w:r>
      <w:r>
        <w:rPr>
          <w:rFonts w:hint="eastAsia" w:hAnsi="宋体"/>
          <w:color w:val="auto"/>
          <w:sz w:val="30"/>
          <w:szCs w:val="30"/>
          <w:highlight w:val="none"/>
        </w:rPr>
        <w:t>日</w:t>
      </w:r>
    </w:p>
    <w:p>
      <w:pPr>
        <w:pStyle w:val="20"/>
        <w:jc w:val="center"/>
        <w:rPr>
          <w:rFonts w:ascii="Times New Roman" w:eastAsia="黑体"/>
          <w:b/>
          <w:color w:val="auto"/>
          <w:sz w:val="30"/>
          <w:szCs w:val="30"/>
          <w:highlight w:val="none"/>
        </w:rPr>
      </w:pPr>
      <w:r>
        <w:rPr>
          <w:rFonts w:hint="eastAsia" w:hAnsi="宋体" w:cs="宋体"/>
          <w:color w:val="auto"/>
          <w:szCs w:val="21"/>
          <w:highlight w:val="none"/>
        </w:rPr>
        <w:br w:type="page"/>
      </w:r>
      <w:r>
        <w:rPr>
          <w:rFonts w:hint="eastAsia" w:ascii="Times New Roman" w:eastAsia="黑体"/>
          <w:b/>
          <w:color w:val="auto"/>
          <w:sz w:val="30"/>
          <w:szCs w:val="30"/>
          <w:highlight w:val="none"/>
        </w:rPr>
        <w:t>一、合同前文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根据《中华人民共和国民法典》等有关法律法规规定，</w:t>
      </w:r>
      <w:r>
        <w:rPr>
          <w:rFonts w:hint="eastAsia"/>
          <w:color w:val="auto"/>
          <w:highlight w:val="none"/>
        </w:rPr>
        <w:t>按照采购文件规定采购方式、条款和成交供应商的承诺，甲乙双方经协商一致同意签订本合同</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下列文件是构成本合同不可分割的部分：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(1)采购项目需求、磋商文件规定的合同条款；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(2)报价表；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(3)响应文件技术部分和商务部分；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(4)甲、乙双方商定确认后的补充协议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(5)其他(根据实际情况需要增加的内容)。</w:t>
      </w:r>
    </w:p>
    <w:p>
      <w:pPr>
        <w:pStyle w:val="2"/>
        <w:rPr>
          <w:color w:val="auto"/>
          <w:highlight w:val="none"/>
        </w:rPr>
      </w:pPr>
    </w:p>
    <w:p>
      <w:pPr>
        <w:numPr>
          <w:ilvl w:val="0"/>
          <w:numId w:val="2"/>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合同标的(根据实际情况填写)</w:t>
      </w:r>
    </w:p>
    <w:p>
      <w:pPr>
        <w:pStyle w:val="2"/>
        <w:ind w:firstLine="420" w:firstLineChars="200"/>
        <w:rPr>
          <w:color w:val="auto"/>
          <w:highlight w:val="none"/>
        </w:rPr>
      </w:pPr>
      <w:r>
        <w:rPr>
          <w:rFonts w:hint="eastAsia"/>
          <w:color w:val="auto"/>
          <w:highlight w:val="none"/>
        </w:rPr>
        <w:t>乙方应按照合同的规定，提供本项目采购文件中要求的服务（详见附件：服务内容一览表）。</w:t>
      </w:r>
    </w:p>
    <w:p>
      <w:pPr>
        <w:pStyle w:val="2"/>
        <w:ind w:firstLine="420" w:firstLineChars="200"/>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3.合同金额</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本合同服务时间为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年，合同单价为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元/年，合同总金额为人民币______元(______)。本合同项下所有服务的全部税费均已包含于合同价中，甲方不再另行支付。</w:t>
      </w:r>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4.合同签订地</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广西壮族自治区玉林市</w:t>
      </w:r>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5.合同生效</w:t>
      </w:r>
    </w:p>
    <w:p>
      <w:pPr>
        <w:spacing w:line="360" w:lineRule="auto"/>
        <w:ind w:firstLine="420" w:firstLineChars="200"/>
        <w:rPr>
          <w:rFonts w:ascii="宋体" w:hAnsi="宋体" w:cs="宋体"/>
          <w:color w:val="auto"/>
          <w:kern w:val="0"/>
          <w:szCs w:val="21"/>
          <w:highlight w:val="none"/>
        </w:rPr>
      </w:pPr>
      <w:r>
        <w:rPr>
          <w:rFonts w:hint="eastAsia"/>
          <w:color w:val="auto"/>
          <w:highlight w:val="none"/>
        </w:rPr>
        <w:t>本合同一式六份，具有同等法律效力，甲方三份，乙方二份，采购代理机构一份（可根据需要另增加）。</w:t>
      </w:r>
      <w:r>
        <w:rPr>
          <w:rFonts w:hint="eastAsia" w:ascii="宋体" w:hAnsi="宋体" w:cs="宋体"/>
          <w:color w:val="auto"/>
          <w:kern w:val="0"/>
          <w:szCs w:val="21"/>
          <w:highlight w:val="none"/>
        </w:rPr>
        <w:t>经甲乙双方法定代表人（负责人）或其授权代表签字盖章后生效。</w:t>
      </w:r>
    </w:p>
    <w:p>
      <w:pPr>
        <w:spacing w:line="360" w:lineRule="auto"/>
        <w:ind w:firstLine="420" w:firstLineChars="200"/>
        <w:rPr>
          <w:rFonts w:ascii="宋体" w:hAnsi="宋体" w:cs="宋体"/>
          <w:color w:val="auto"/>
          <w:kern w:val="0"/>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甲方（盖章）：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ascii="宋体" w:hAnsi="宋体" w:cs="宋体"/>
          <w:color w:val="auto"/>
          <w:szCs w:val="21"/>
          <w:highlight w:val="none"/>
        </w:rPr>
        <w:t xml:space="preserve">     法定代表人（负责人）或其授权代表签字(或签章)：</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乙方（盖章）：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ascii="宋体" w:hAnsi="宋体" w:cs="宋体"/>
          <w:color w:val="auto"/>
          <w:szCs w:val="21"/>
          <w:highlight w:val="none"/>
        </w:rPr>
        <w:t xml:space="preserve">     法定代表人（负责人）或其授权代表签字(或签章)：</w:t>
      </w:r>
    </w:p>
    <w:p>
      <w:pPr>
        <w:jc w:val="center"/>
        <w:rPr>
          <w:rFonts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二、合同前附表</w:t>
      </w:r>
    </w:p>
    <w:p>
      <w:pPr>
        <w:jc w:val="center"/>
        <w:rPr>
          <w:rFonts w:ascii="宋体" w:hAnsi="宋体" w:cs="宋体"/>
          <w:b/>
          <w:color w:val="auto"/>
          <w:kern w:val="0"/>
          <w:sz w:val="28"/>
          <w:szCs w:val="21"/>
          <w:highlight w:val="none"/>
        </w:rPr>
      </w:pP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94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94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合同名称：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spacing w:line="360" w:lineRule="auto"/>
              <w:jc w:val="center"/>
              <w:rPr>
                <w:rFonts w:ascii="宋体" w:hAnsi="宋体" w:cs="宋体"/>
                <w:color w:val="auto"/>
                <w:szCs w:val="21"/>
                <w:highlight w:val="none"/>
              </w:rPr>
            </w:pP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甲方地址：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spacing w:line="360" w:lineRule="auto"/>
              <w:jc w:val="center"/>
              <w:rPr>
                <w:rFonts w:ascii="宋体" w:hAnsi="宋体" w:cs="宋体"/>
                <w:color w:val="auto"/>
                <w:szCs w:val="21"/>
                <w:highlight w:val="none"/>
              </w:rPr>
            </w:pP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甲方联系人：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spacing w:line="360" w:lineRule="auto"/>
              <w:jc w:val="center"/>
              <w:rPr>
                <w:rFonts w:ascii="宋体" w:hAnsi="宋体" w:cs="宋体"/>
                <w:color w:val="auto"/>
                <w:szCs w:val="21"/>
                <w:highlight w:val="none"/>
              </w:rPr>
            </w:pP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甲方开户银行名称：</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spacing w:line="360" w:lineRule="auto"/>
              <w:jc w:val="center"/>
              <w:rPr>
                <w:rFonts w:ascii="宋体" w:hAnsi="宋体" w:cs="宋体"/>
                <w:color w:val="auto"/>
                <w:szCs w:val="21"/>
                <w:highlight w:val="none"/>
              </w:rPr>
            </w:pP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spacing w:line="360" w:lineRule="auto"/>
              <w:jc w:val="center"/>
              <w:rPr>
                <w:rFonts w:ascii="宋体" w:hAnsi="宋体" w:cs="宋体"/>
                <w:color w:val="auto"/>
                <w:szCs w:val="21"/>
                <w:highlight w:val="none"/>
              </w:rPr>
            </w:pP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乙方联系人：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spacing w:line="360" w:lineRule="auto"/>
              <w:jc w:val="center"/>
              <w:rPr>
                <w:rFonts w:ascii="宋体" w:hAnsi="宋体" w:cs="宋体"/>
                <w:color w:val="auto"/>
                <w:szCs w:val="21"/>
                <w:highlight w:val="none"/>
              </w:rPr>
            </w:pP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乙方开户银行名称：</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20"/>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7941" w:type="dxa"/>
            <w:vAlign w:val="center"/>
          </w:tcPr>
          <w:p>
            <w:pPr>
              <w:pStyle w:val="20"/>
              <w:spacing w:line="360" w:lineRule="auto"/>
              <w:jc w:val="left"/>
              <w:rPr>
                <w:rFonts w:hAnsi="宋体" w:cs="宋体"/>
                <w:color w:val="auto"/>
                <w:sz w:val="21"/>
                <w:szCs w:val="21"/>
                <w:highlight w:val="none"/>
              </w:rPr>
            </w:pPr>
            <w:r>
              <w:rPr>
                <w:rFonts w:hint="eastAsia" w:hAnsi="宋体" w:cs="宋体"/>
                <w:color w:val="auto"/>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服务时间、履行期：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年（月）或合同签订之日起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个日历天内实施完毕，具体时间从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日止，即自合同生效之日起至合同全部权利义务履行完毕之日止。</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941" w:type="dxa"/>
            <w:vAlign w:val="center"/>
          </w:tcPr>
          <w:p>
            <w:pPr>
              <w:spacing w:line="360" w:lineRule="auto"/>
              <w:jc w:val="left"/>
              <w:rPr>
                <w:rFonts w:ascii="宋体" w:hAnsi="宋体" w:cs="宋体"/>
                <w:color w:val="auto"/>
                <w:szCs w:val="21"/>
                <w:highlight w:val="none"/>
              </w:rPr>
            </w:pPr>
            <w:r>
              <w:rPr>
                <w:rFonts w:hint="eastAsia"/>
                <w:color w:val="auto"/>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验收方式及标准：按照采购需求、磋商(响应)文件及国家、行业规定的技术标准及规范，双方到场共同验收。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7941" w:type="dxa"/>
            <w:vAlign w:val="center"/>
          </w:tcPr>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付款方式</w:t>
            </w:r>
            <w:r>
              <w:rPr>
                <w:rFonts w:hint="eastAsia"/>
                <w:color w:val="auto"/>
                <w:highlight w:val="none"/>
              </w:rPr>
              <w:t>： 服务费以采购最终成交价为准，支付方式按完成工作任务的次月10日前拨付上月服务费，拨付金额数为中标成交价分7个月平均数。乙方需在次月5日前提供上月的服务费合法发票给甲方。</w:t>
            </w:r>
          </w:p>
          <w:p>
            <w:pPr>
              <w:spacing w:line="360" w:lineRule="auto"/>
              <w:rPr>
                <w:rFonts w:ascii="宋体" w:hAnsi="宋体" w:cs="宋体"/>
                <w:color w:val="auto"/>
                <w:szCs w:val="21"/>
                <w:highlight w:val="none"/>
              </w:rPr>
            </w:pPr>
            <w:r>
              <w:rPr>
                <w:rFonts w:hint="eastAsia" w:ascii="宋体" w:hAnsi="宋体" w:cs="宋体"/>
                <w:b/>
                <w:i/>
                <w:color w:val="auto"/>
                <w:szCs w:val="21"/>
                <w:highlight w:val="none"/>
              </w:rPr>
              <w:t>备注：该付款方式缴纳、比例和缴纳方式具体由采购人根据采购需求和实际情况制定。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941" w:type="dxa"/>
            <w:vAlign w:val="center"/>
          </w:tcPr>
          <w:p>
            <w:pPr>
              <w:spacing w:line="360" w:lineRule="auto"/>
              <w:jc w:val="left"/>
              <w:rPr>
                <w:rFonts w:ascii="宋体" w:hAnsi="宋体" w:cs="宋体"/>
                <w:b/>
                <w:i/>
                <w:color w:val="auto"/>
                <w:szCs w:val="21"/>
                <w:highlight w:val="none"/>
              </w:rPr>
            </w:pPr>
            <w:r>
              <w:rPr>
                <w:rFonts w:hint="eastAsia" w:ascii="宋体" w:hAnsi="宋体" w:cs="宋体"/>
                <w:color w:val="auto"/>
                <w:szCs w:val="21"/>
                <w:highlight w:val="none"/>
              </w:rPr>
              <w:t>履约保证金及其返还：本项目</w:t>
            </w:r>
            <w:r>
              <w:rPr>
                <w:rFonts w:hint="eastAsia"/>
                <w:color w:val="auto"/>
                <w:highlight w:val="none"/>
              </w:rPr>
              <w:t>无需交纳履约保证金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违约金约定：1.乙方违约或无正当理由造成解除合同的，按合同价款的10%计算。逾期退回款项及违约金的，每逾期一天，按应退款项及违约金总额的0.5%计算违约金。2.其它违约行为按违约服务款额5%收取违约金。</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误期赔偿费约定：如果乙方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7941" w:type="dxa"/>
            <w:vAlign w:val="center"/>
          </w:tcPr>
          <w:p>
            <w:pPr>
              <w:spacing w:line="360" w:lineRule="auto"/>
              <w:jc w:val="left"/>
              <w:rPr>
                <w:rFonts w:ascii="宋体" w:hAnsi="宋体" w:cs="宋体"/>
                <w:color w:val="auto"/>
                <w:szCs w:val="21"/>
                <w:highlight w:val="none"/>
              </w:rPr>
            </w:pPr>
            <w:r>
              <w:rPr>
                <w:rFonts w:hint="eastAsia" w:hAnsi="宋体"/>
                <w:color w:val="auto"/>
                <w:highlight w:val="none"/>
              </w:rPr>
              <w:t>罚责条款：项目建设和运维过程中，因系统在对接、运行等服务中，导致其他系统受到影响的，由乙方负责组织相关服务厂商共同排查，明确问题根源、责任并报告甲方。乙方无法判定问题根源的，由乙方承担全部责任。甲方将根据问题的轻重、乙方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5" w:type="dxa"/>
            <w:vAlign w:val="center"/>
          </w:tcPr>
          <w:p>
            <w:pPr>
              <w:pStyle w:val="20"/>
              <w:spacing w:line="360" w:lineRule="auto"/>
              <w:jc w:val="center"/>
              <w:rPr>
                <w:rFonts w:hAnsi="宋体" w:cs="宋体"/>
                <w:color w:val="auto"/>
                <w:sz w:val="21"/>
                <w:szCs w:val="21"/>
                <w:highlight w:val="none"/>
              </w:rPr>
            </w:pPr>
            <w:r>
              <w:rPr>
                <w:rFonts w:hint="eastAsia" w:hAnsi="宋体" w:cs="宋体"/>
                <w:color w:val="auto"/>
                <w:sz w:val="21"/>
                <w:szCs w:val="21"/>
                <w:highlight w:val="none"/>
              </w:rPr>
              <w:t>13</w:t>
            </w:r>
          </w:p>
        </w:tc>
        <w:tc>
          <w:tcPr>
            <w:tcW w:w="7941" w:type="dxa"/>
            <w:vAlign w:val="center"/>
          </w:tcPr>
          <w:p>
            <w:pPr>
              <w:pStyle w:val="20"/>
              <w:spacing w:line="360" w:lineRule="auto"/>
              <w:jc w:val="left"/>
              <w:rPr>
                <w:rFonts w:hAnsi="宋体" w:cs="宋体"/>
                <w:color w:val="auto"/>
                <w:sz w:val="21"/>
                <w:szCs w:val="21"/>
                <w:highlight w:val="none"/>
              </w:rPr>
            </w:pPr>
            <w:r>
              <w:rPr>
                <w:rFonts w:hint="eastAsia" w:hAnsi="宋体" w:cs="宋体"/>
                <w:color w:val="auto"/>
                <w:sz w:val="21"/>
                <w:szCs w:val="21"/>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7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794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合同纠纷的解决方式：</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首先通过双方协商解决，协商解决不成，则通过以下途径之一解决纠纷(请在方框内画“√”选择)：</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提请______仲裁委员会按照仲裁程序在______(仲裁地)仲裁</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向人民法院提起诉讼</w:t>
            </w:r>
          </w:p>
        </w:tc>
      </w:tr>
    </w:tbl>
    <w:p>
      <w:pPr>
        <w:ind w:firstLine="420" w:firstLineChars="200"/>
        <w:rPr>
          <w:rFonts w:ascii="宋体" w:hAnsi="宋体" w:cs="宋体"/>
          <w:color w:val="auto"/>
          <w:szCs w:val="21"/>
          <w:highlight w:val="none"/>
        </w:rPr>
      </w:pPr>
    </w:p>
    <w:p>
      <w:pPr>
        <w:ind w:firstLine="422" w:firstLineChars="200"/>
        <w:jc w:val="center"/>
        <w:rPr>
          <w:rFonts w:ascii="宋体" w:hAnsi="宋体" w:cs="宋体"/>
          <w:b/>
          <w:color w:val="auto"/>
          <w:szCs w:val="21"/>
          <w:highlight w:val="none"/>
        </w:rPr>
      </w:pPr>
    </w:p>
    <w:p>
      <w:pPr>
        <w:spacing w:line="360" w:lineRule="auto"/>
        <w:ind w:firstLine="643" w:firstLineChars="200"/>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r>
        <w:rPr>
          <w:rFonts w:hint="eastAsia" w:ascii="黑体" w:hAnsi="黑体" w:eastAsia="黑体" w:cs="黑体"/>
          <w:b/>
          <w:color w:val="auto"/>
          <w:sz w:val="32"/>
          <w:szCs w:val="32"/>
          <w:highlight w:val="none"/>
        </w:rPr>
        <w:t>三、合同通用条款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本合同下列术语应解释为：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“甲方”是指采购人。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“乙方”是指成交供应商。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“合同”系指甲乙双方签署的、载明甲乙双方权利义务所达成的协议，包括所有的附件、附录和上述文件所提到的构成合同的所有文件。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　“服务”是指乙方按照采购、响应文件要求，向采购人提供的技术支持服务。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　“项目现场”是指甲方指定的最终服务地点。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　“天”除非特别指出，“天”均为自然天。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乙方为甲方交付的服务应符合采购文件和乙方的响应文件所述的内容，如果没有提及适用标准，则应符合相应的国家标准。这些标准必须是有关机构发布的最新版本的标准。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除非技术要求中另有规定，计量单位均采用中华人民共和国法定计量单位。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乙方应按照合同的规定，提供下列服务甲方提供符合要求的服务。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4.知识产权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　乙方应保证所提供的服务免受第三方提出侵犯其知识产权(专利权、商标权、版权等)的起诉。因侵害他人知识产权而产生的法律责任，全部由乙方承担。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甲方委托乙方开发的产品，甲方享有知识产权，未经甲方许可不得转让任何第三人。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禁止乙方另行开发本项目业务需求范围内、供纳税人缴费人使用的软件，对违反合约条款的，纳入税务系统信息化服务商失信行为记录名单。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5.保密条款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(1)应以审慎态度避免泄露、公开或传播甲方的信息；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(2)未经甲方书面许可，不得对有关信息进行修改、补充、复制；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(3)未经甲方书面许可，不得将信息以任何方式(如E－mail)携带出甲方场所；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(4)未经甲方书面许可，不得将信息透露给任何其他人；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(5)甲方以书面形式提出的其他保密措施。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甲乙双方如出现泄密行为，泄密方应承担相关的法律责任，包括但是不限于对由此给对方造成的经济损失进行赔偿。</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5.5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6.服务质量保证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　乙方应保证所提供的服务，符合合同规定的技术要求。如不符时，乙方应负全责并尽快处理解决，由此造成的损失和相关费用由乙方负责，甲方保留终止合同及索赔的权利。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乙方应保证通过执行合同中全部方案后，可以取得本合同规定的结果，达到本合同规定的预期目标。对任何情况下出现问题的，应尽快提出解决方案。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乙方应在签署合同前，</w:t>
      </w:r>
      <w:r>
        <w:rPr>
          <w:rFonts w:hint="eastAsia" w:ascii="宋体" w:hAnsi="宋体" w:cs="宋体"/>
          <w:color w:val="auto"/>
          <w:highlight w:val="none"/>
        </w:rPr>
        <w:t>以支票、汇票、本票或者金融机构、担保机构出具的保函等非现金形式向甲方提供</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履约保证金具体金额及返还要求见合同条款前附表。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如乙方未能履行合同规定的义务，甲方有权按照本合同的约定从履约保证金中进行相应扣除。乙方应在甲方扣除履约保证金后15天内，及时补充扣除部分金额。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8.服务时间、地点与验收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服务地点：合同条款前附表指定地点。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　服务时间：合同条款前附表指定时间。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　甲方应在乙方完成相关服务工作后及时对服务质量、技术指标、服务成果进行验收。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　服务缺陷的补救措施和索赔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(1)如果乙方提供的服务不符合本合同约定以及采购文件、响应文件关于服务的要求和承诺，乙方应按照甲方同意的下列一种或几种方式结合起来解决索赔事宜：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①乙方同意将服务款项退还给甲方，由此发生的一切费用和损失由乙方承担。如甲方以适当的条件和方法购买与未履约标的相类似的服务，乙方应负担新购买类似服务所超出的费用。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②根据服务的质量状况以及甲方所遭受的损失，经过甲乙双方商定降低服务的价格。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　迟延履约的违约责任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(1)乙方应按照本合同规定的时间、地点提供服务。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　未履行合同义务的违约责任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(1)守约方有权终止全部或部分合同。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(2)不予退还全额履约保证金。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(3)由违约一方支付违约金，违约金标准见合同条款前附表(各单位可根据实际情况自行约定)。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(4)违约金不足以弥补守约方实际损失、可预见或者应当预见的损失，由违约方全额予以赔偿。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10.不可抗力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　如果合同双方因不可抗力而导致合同实施延误或合同无法实施，不应该承担误期赔偿或不能履行合同义务的责任。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　本条所述的“不可抗力”系指那些双方不可预见、不可避免、不可克服的客观情况，但不包括双方的违约或疏忽。这些事件包括但不限于：战争、严重火灾、洪水、台风、地震等。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11.合同纠纷的解决方式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合同各方应通过友好协商，解决在执行合同过程中所发生的或与合同有关的一切争端。如协商30日内(根据实际情况设定)不能解决，可以按合同规定的方式提起仲裁或诉讼。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仲裁裁决应为最终裁决，对双方均具有约束力。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仲裁费除仲裁机关另有裁决外应由败诉方负担。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诉讼应由服务所在地人民法院管辖。诉讼费除人民法院另有判决外应由败诉方负担。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如仲裁或诉讼事项不影响合同其他部分的履行，则在仲裁或诉讼期间，除正在进行仲裁或诉讼的部分外，合同的其他部分应继续执行。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12.合同修改或变更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如无重大变故，甲方双方不得擅自变更合同。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如确需变更合同，甲乙双方应签署书面变更协议。变更协议为本合同不可分割的一部分。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13.合同中止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14.违约终止合同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若出现如下情况，在甲方对乙方违约行为而采取的任何补救措施不受影响的情况下，甲方可向乙方发出书面通知书，提出终止部分或全部合同。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14.1.1　如果乙方未能在合同规定的期限或甲方同意延长的期限内提供服务；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14.1.2　因乙方技术人员自身技术能力、经验不足等原因造成甲方硬件设备、应用系统发生重大紧急故障或应用系统数据丢失，带来重大影响和损失的；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14.1.3　乙方对甲方硬件设备、应用系统重大紧急故障没有及时响应，或不能在规定时间内解决处理故障，恢复系统正常运行的；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14.1.4　不能满足本项目技术需求的管理要求和规范，且经多次（3次及以上）整改无明显改进，仍然不能满足要求的；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14.1.5　在合同规定的每个服务年度(12个自然月)内，在运行维护支持服务过程中，出现2次经甲乙双方确认的违规操作的。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15.破产终止合同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　如果乙方破产或无清偿能力，甲方可在任何时候以书面形式通知乙方终止合同而不给乙方补偿。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该终止协议将不损害或影响甲方已经采取或将要采取的任何行动或补救措施的权利。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16.其他情况的终止合同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若合同继续履行将给甲方造成重大损失的，甲方可以终止合同而不给予乙方任何补偿。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乙方在执行合同的过程中发生重大事故，对履行合同有直接影响的，甲方可以终止合同而不给予乙方任何补偿。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甲方因重大变故取消或部分取消原来的采购任务，导致合同全部或部分内容无须继续履行的，可以终止合同而不给予乙方任何补偿。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17.合同转让和分包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乙方不得以任何形式将合同转包，或部分或全部转让其应履行的合同义务。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除经甲方事先书面同意外，乙方不得以任何形式将合同分包。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18.适用法律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本合同适用中华人民共和国现行法律、行政法规和规章，如合同条款与法律、行政法规和规章不一致的，按照法律、行政法规和规章修改本合同。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19.合同语言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本合同语言为中文。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双方交换的与合同有关的信件和其他文件应用合同语言书写。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20.合同生效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　本合同应在双方签字盖章后生效。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21.合同效力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除本合同和甲乙双方书面签署的补充协议外，其他任何形式的双方约定和往来函件均不具有合同效力，对本项目无约束。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22.检查和审计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22.1在本合同的履行过程中，甲方有权对乙方的合同履约情况进行阶段性检查，并对乙方响应时提供的相关资料进行复核。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spacing w:line="360" w:lineRule="auto"/>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r>
        <w:rPr>
          <w:rFonts w:hint="eastAsia" w:ascii="宋体" w:hAnsi="宋体" w:cs="宋体"/>
          <w:color w:val="auto"/>
          <w:szCs w:val="21"/>
          <w:highlight w:val="none"/>
        </w:rPr>
        <w:br w:type="page"/>
      </w:r>
    </w:p>
    <w:p>
      <w:pPr>
        <w:numPr>
          <w:ilvl w:val="0"/>
          <w:numId w:val="3"/>
        </w:numPr>
        <w:spacing w:line="460" w:lineRule="exact"/>
        <w:jc w:val="center"/>
        <w:rPr>
          <w:rFonts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合同补充条款（双方据实商定）</w:t>
      </w:r>
    </w:p>
    <w:p>
      <w:pPr>
        <w:spacing w:line="460" w:lineRule="exact"/>
        <w:rPr>
          <w:rFonts w:ascii="宋体" w:hAnsi="宋体" w:cs="宋体"/>
          <w:b/>
          <w:color w:val="auto"/>
          <w:kern w:val="0"/>
          <w:sz w:val="24"/>
          <w:szCs w:val="21"/>
          <w:highlight w:val="none"/>
        </w:rPr>
      </w:pPr>
    </w:p>
    <w:p>
      <w:pPr>
        <w:spacing w:line="460" w:lineRule="exact"/>
        <w:rPr>
          <w:rFonts w:ascii="宋体" w:hAnsi="宋体" w:cs="宋体"/>
          <w:b/>
          <w:color w:val="auto"/>
          <w:kern w:val="0"/>
          <w:sz w:val="24"/>
          <w:szCs w:val="21"/>
          <w:highlight w:val="none"/>
        </w:rPr>
      </w:pPr>
    </w:p>
    <w:p>
      <w:pPr>
        <w:widowControl/>
        <w:spacing w:line="360" w:lineRule="auto"/>
        <w:jc w:val="center"/>
        <w:rPr>
          <w:rFonts w:ascii="黑体" w:hAnsi="黑体" w:eastAsia="黑体" w:cs="黑体"/>
          <w:bCs/>
          <w:color w:val="auto"/>
          <w:sz w:val="30"/>
          <w:szCs w:val="30"/>
          <w:highlight w:val="none"/>
        </w:rPr>
      </w:pPr>
      <w:r>
        <w:rPr>
          <w:rFonts w:hint="eastAsia" w:ascii="黑体" w:hAnsi="黑体" w:eastAsia="黑体" w:cs="黑体"/>
          <w:b/>
          <w:color w:val="auto"/>
          <w:sz w:val="30"/>
          <w:szCs w:val="30"/>
          <w:highlight w:val="none"/>
        </w:rPr>
        <w:t>五、合同附件（与正件装订成册）</w:t>
      </w:r>
    </w:p>
    <w:p>
      <w:pPr>
        <w:spacing w:line="360" w:lineRule="auto"/>
        <w:ind w:left="1050" w:leftChars="500"/>
        <w:rPr>
          <w:rFonts w:ascii="宋体" w:hAnsi="宋体" w:cs="宋体"/>
          <w:bCs/>
          <w:color w:val="auto"/>
          <w:sz w:val="24"/>
          <w:szCs w:val="21"/>
          <w:highlight w:val="none"/>
        </w:rPr>
      </w:pPr>
      <w:r>
        <w:rPr>
          <w:rFonts w:hint="eastAsia" w:ascii="宋体" w:hAnsi="宋体" w:cs="宋体"/>
          <w:bCs/>
          <w:color w:val="auto"/>
          <w:sz w:val="24"/>
          <w:szCs w:val="21"/>
          <w:highlight w:val="none"/>
        </w:rPr>
        <w:t>（一）服务内容一览表（乙方填制）；</w:t>
      </w:r>
    </w:p>
    <w:p>
      <w:pPr>
        <w:spacing w:line="360" w:lineRule="auto"/>
        <w:ind w:left="1050" w:leftChars="500"/>
        <w:rPr>
          <w:rFonts w:ascii="宋体" w:hAnsi="宋体" w:cs="宋体"/>
          <w:bCs/>
          <w:color w:val="auto"/>
          <w:sz w:val="24"/>
          <w:szCs w:val="21"/>
          <w:highlight w:val="none"/>
        </w:rPr>
      </w:pPr>
      <w:r>
        <w:rPr>
          <w:rFonts w:hint="eastAsia" w:ascii="宋体" w:hAnsi="宋体" w:cs="宋体"/>
          <w:bCs/>
          <w:color w:val="auto"/>
          <w:sz w:val="24"/>
          <w:szCs w:val="21"/>
          <w:highlight w:val="none"/>
        </w:rPr>
        <w:t>（二）响应文件报价表部分（乙方提供）；</w:t>
      </w:r>
    </w:p>
    <w:p>
      <w:pPr>
        <w:spacing w:line="360" w:lineRule="auto"/>
        <w:ind w:left="1050" w:leftChars="500"/>
        <w:rPr>
          <w:rFonts w:ascii="宋体" w:hAnsi="宋体" w:cs="宋体"/>
          <w:bCs/>
          <w:color w:val="auto"/>
          <w:sz w:val="24"/>
          <w:szCs w:val="21"/>
          <w:highlight w:val="none"/>
        </w:rPr>
      </w:pPr>
      <w:r>
        <w:rPr>
          <w:rFonts w:hint="eastAsia" w:ascii="宋体" w:hAnsi="宋体" w:cs="宋体"/>
          <w:bCs/>
          <w:color w:val="auto"/>
          <w:sz w:val="24"/>
          <w:szCs w:val="21"/>
          <w:highlight w:val="none"/>
        </w:rPr>
        <w:t>（三）响应文件技术部分和商务部分（乙方提供）；</w:t>
      </w:r>
    </w:p>
    <w:p>
      <w:pPr>
        <w:spacing w:line="360" w:lineRule="auto"/>
        <w:ind w:left="1050" w:leftChars="500"/>
        <w:rPr>
          <w:rFonts w:ascii="宋体" w:hAnsi="宋体" w:cs="宋体"/>
          <w:bCs/>
          <w:color w:val="auto"/>
          <w:sz w:val="24"/>
          <w:szCs w:val="21"/>
          <w:highlight w:val="none"/>
        </w:rPr>
      </w:pPr>
      <w:r>
        <w:rPr>
          <w:rFonts w:hint="eastAsia" w:ascii="宋体" w:hAnsi="宋体" w:cs="宋体"/>
          <w:bCs/>
          <w:color w:val="auto"/>
          <w:sz w:val="24"/>
          <w:szCs w:val="21"/>
          <w:highlight w:val="none"/>
        </w:rPr>
        <w:t>（四）采购需求（与采购文件一致）；</w:t>
      </w:r>
    </w:p>
    <w:p>
      <w:pPr>
        <w:spacing w:line="360" w:lineRule="auto"/>
        <w:ind w:left="1050" w:leftChars="500"/>
        <w:rPr>
          <w:rFonts w:ascii="宋体" w:hAnsi="宋体" w:cs="宋体"/>
          <w:bCs/>
          <w:color w:val="auto"/>
          <w:sz w:val="24"/>
          <w:szCs w:val="21"/>
          <w:highlight w:val="none"/>
        </w:rPr>
      </w:pPr>
      <w:r>
        <w:rPr>
          <w:rFonts w:hint="eastAsia" w:ascii="宋体" w:hAnsi="宋体" w:cs="宋体"/>
          <w:bCs/>
          <w:color w:val="auto"/>
          <w:sz w:val="24"/>
          <w:szCs w:val="21"/>
          <w:highlight w:val="none"/>
        </w:rPr>
        <w:t>（五）合同验收书格式（验收时填制，供参考）；</w:t>
      </w:r>
    </w:p>
    <w:p>
      <w:pPr>
        <w:spacing w:line="360" w:lineRule="auto"/>
        <w:ind w:left="1050" w:leftChars="500"/>
        <w:rPr>
          <w:rFonts w:ascii="宋体" w:hAnsi="宋体" w:cs="宋体"/>
          <w:color w:val="auto"/>
          <w:szCs w:val="21"/>
          <w:highlight w:val="none"/>
        </w:rPr>
      </w:pPr>
      <w:r>
        <w:rPr>
          <w:rFonts w:hint="eastAsia" w:ascii="宋体" w:hAnsi="宋体" w:cs="宋体"/>
          <w:bCs/>
          <w:color w:val="auto"/>
          <w:sz w:val="24"/>
          <w:szCs w:val="21"/>
          <w:highlight w:val="none"/>
        </w:rPr>
        <w:t>（六）采购项目履约保证金或质量保证金退付意见书（供参考）。</w:t>
      </w:r>
    </w:p>
    <w:p>
      <w:pPr>
        <w:spacing w:line="360" w:lineRule="auto"/>
        <w:rPr>
          <w:rFonts w:ascii="宋体" w:hAnsi="宋体" w:cs="宋体"/>
          <w:color w:val="auto"/>
          <w:szCs w:val="21"/>
          <w:highlight w:val="none"/>
        </w:rPr>
      </w:pPr>
    </w:p>
    <w:p>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(一)服务内容一览表（乙方填制）</w:t>
      </w:r>
    </w:p>
    <w:p>
      <w:pPr>
        <w:spacing w:line="360" w:lineRule="auto"/>
        <w:ind w:firstLine="480" w:firstLineChars="200"/>
        <w:rPr>
          <w:rFonts w:ascii="宋体" w:hAnsi="宋体" w:cs="宋体"/>
          <w:color w:val="auto"/>
          <w:sz w:val="24"/>
          <w:szCs w:val="21"/>
          <w:highlight w:val="none"/>
        </w:rPr>
      </w:pP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83"/>
        <w:gridCol w:w="883"/>
        <w:gridCol w:w="110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8" w:type="dxa"/>
            <w:vAlign w:val="center"/>
          </w:tcPr>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服务名称</w:t>
            </w:r>
          </w:p>
        </w:tc>
        <w:tc>
          <w:tcPr>
            <w:tcW w:w="983" w:type="dxa"/>
            <w:vAlign w:val="center"/>
          </w:tcPr>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单位</w:t>
            </w:r>
          </w:p>
        </w:tc>
        <w:tc>
          <w:tcPr>
            <w:tcW w:w="883" w:type="dxa"/>
            <w:vAlign w:val="center"/>
          </w:tcPr>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数量</w:t>
            </w:r>
          </w:p>
        </w:tc>
        <w:tc>
          <w:tcPr>
            <w:tcW w:w="1100" w:type="dxa"/>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金额</w:t>
            </w:r>
          </w:p>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（元）</w:t>
            </w:r>
          </w:p>
        </w:tc>
        <w:tc>
          <w:tcPr>
            <w:tcW w:w="4252" w:type="dxa"/>
            <w:vAlign w:val="center"/>
          </w:tcPr>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8" w:type="dxa"/>
            <w:vAlign w:val="center"/>
          </w:tcPr>
          <w:p>
            <w:pPr>
              <w:spacing w:line="360" w:lineRule="auto"/>
              <w:jc w:val="center"/>
              <w:rPr>
                <w:rFonts w:ascii="宋体" w:hAnsi="宋体" w:cs="宋体"/>
                <w:color w:val="auto"/>
                <w:sz w:val="24"/>
                <w:szCs w:val="21"/>
                <w:highlight w:val="none"/>
              </w:rPr>
            </w:pPr>
          </w:p>
        </w:tc>
        <w:tc>
          <w:tcPr>
            <w:tcW w:w="983" w:type="dxa"/>
            <w:vAlign w:val="center"/>
          </w:tcPr>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项</w:t>
            </w:r>
          </w:p>
        </w:tc>
        <w:tc>
          <w:tcPr>
            <w:tcW w:w="883" w:type="dxa"/>
            <w:vAlign w:val="center"/>
          </w:tcPr>
          <w:p>
            <w:pPr>
              <w:spacing w:line="360" w:lineRule="auto"/>
              <w:jc w:val="center"/>
              <w:rPr>
                <w:rFonts w:ascii="宋体" w:hAnsi="宋体" w:cs="宋体"/>
                <w:color w:val="auto"/>
                <w:sz w:val="24"/>
                <w:szCs w:val="21"/>
                <w:highlight w:val="none"/>
              </w:rPr>
            </w:pPr>
          </w:p>
        </w:tc>
        <w:tc>
          <w:tcPr>
            <w:tcW w:w="1100" w:type="dxa"/>
            <w:vAlign w:val="center"/>
          </w:tcPr>
          <w:p>
            <w:pPr>
              <w:spacing w:line="360" w:lineRule="auto"/>
              <w:jc w:val="center"/>
              <w:rPr>
                <w:rFonts w:ascii="宋体" w:hAnsi="宋体" w:cs="宋体"/>
                <w:color w:val="auto"/>
                <w:sz w:val="24"/>
                <w:szCs w:val="21"/>
                <w:highlight w:val="none"/>
              </w:rPr>
            </w:pPr>
          </w:p>
        </w:tc>
        <w:tc>
          <w:tcPr>
            <w:tcW w:w="4252" w:type="dxa"/>
            <w:vAlign w:val="center"/>
          </w:tcPr>
          <w:p>
            <w:pPr>
              <w:spacing w:line="360" w:lineRule="auto"/>
              <w:jc w:val="center"/>
              <w:rPr>
                <w:rFonts w:ascii="宋体" w:hAnsi="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8" w:type="dxa"/>
            <w:vAlign w:val="center"/>
          </w:tcPr>
          <w:p>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w:t>
            </w:r>
          </w:p>
        </w:tc>
        <w:tc>
          <w:tcPr>
            <w:tcW w:w="983" w:type="dxa"/>
            <w:vAlign w:val="center"/>
          </w:tcPr>
          <w:p>
            <w:pPr>
              <w:spacing w:line="360" w:lineRule="auto"/>
              <w:jc w:val="center"/>
              <w:rPr>
                <w:rFonts w:ascii="宋体" w:hAnsi="宋体" w:cs="宋体"/>
                <w:color w:val="auto"/>
                <w:sz w:val="24"/>
                <w:szCs w:val="21"/>
                <w:highlight w:val="none"/>
              </w:rPr>
            </w:pPr>
          </w:p>
        </w:tc>
        <w:tc>
          <w:tcPr>
            <w:tcW w:w="883" w:type="dxa"/>
            <w:vAlign w:val="center"/>
          </w:tcPr>
          <w:p>
            <w:pPr>
              <w:spacing w:line="360" w:lineRule="auto"/>
              <w:jc w:val="center"/>
              <w:rPr>
                <w:rFonts w:ascii="宋体" w:hAnsi="宋体" w:cs="宋体"/>
                <w:color w:val="auto"/>
                <w:sz w:val="24"/>
                <w:szCs w:val="21"/>
                <w:highlight w:val="none"/>
              </w:rPr>
            </w:pPr>
          </w:p>
        </w:tc>
        <w:tc>
          <w:tcPr>
            <w:tcW w:w="1100" w:type="dxa"/>
            <w:vAlign w:val="center"/>
          </w:tcPr>
          <w:p>
            <w:pPr>
              <w:spacing w:line="360" w:lineRule="auto"/>
              <w:jc w:val="center"/>
              <w:rPr>
                <w:rFonts w:ascii="宋体" w:hAnsi="宋体" w:cs="宋体"/>
                <w:color w:val="auto"/>
                <w:sz w:val="24"/>
                <w:szCs w:val="21"/>
                <w:highlight w:val="none"/>
              </w:rPr>
            </w:pPr>
          </w:p>
        </w:tc>
        <w:tc>
          <w:tcPr>
            <w:tcW w:w="4252" w:type="dxa"/>
            <w:vAlign w:val="center"/>
          </w:tcPr>
          <w:p>
            <w:pPr>
              <w:spacing w:line="360" w:lineRule="auto"/>
              <w:jc w:val="center"/>
              <w:rPr>
                <w:rFonts w:ascii="宋体" w:hAnsi="宋体" w:cs="宋体"/>
                <w:color w:val="auto"/>
                <w:sz w:val="24"/>
                <w:szCs w:val="21"/>
                <w:highlight w:val="none"/>
              </w:rPr>
            </w:pPr>
          </w:p>
        </w:tc>
      </w:tr>
    </w:tbl>
    <w:p>
      <w:pPr>
        <w:spacing w:line="460" w:lineRule="exact"/>
        <w:rPr>
          <w:rFonts w:ascii="宋体" w:hAnsi="宋体" w:cs="宋体"/>
          <w:color w:val="auto"/>
          <w:sz w:val="24"/>
          <w:szCs w:val="21"/>
          <w:highlight w:val="none"/>
        </w:rPr>
      </w:pPr>
    </w:p>
    <w:p>
      <w:pPr>
        <w:spacing w:line="460" w:lineRule="exact"/>
        <w:rPr>
          <w:rFonts w:ascii="宋体" w:hAnsi="宋体" w:cs="宋体"/>
          <w:color w:val="auto"/>
          <w:sz w:val="24"/>
          <w:szCs w:val="21"/>
          <w:highlight w:val="none"/>
        </w:rPr>
      </w:pPr>
    </w:p>
    <w:p>
      <w:pPr>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(二)</w:t>
      </w:r>
      <w:r>
        <w:rPr>
          <w:rFonts w:hint="eastAsia" w:ascii="宋体" w:hAnsi="宋体" w:cs="宋体"/>
          <w:b/>
          <w:bCs/>
          <w:color w:val="auto"/>
          <w:highlight w:val="none"/>
        </w:rPr>
        <w:t xml:space="preserve"> </w:t>
      </w:r>
      <w:r>
        <w:rPr>
          <w:rFonts w:hint="eastAsia" w:ascii="宋体" w:hAnsi="宋体" w:cs="宋体"/>
          <w:b/>
          <w:bCs/>
          <w:color w:val="auto"/>
          <w:sz w:val="24"/>
          <w:szCs w:val="21"/>
          <w:highlight w:val="none"/>
        </w:rPr>
        <w:t>响应文件报价表部分（乙方提供）</w:t>
      </w:r>
    </w:p>
    <w:p>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由乙方按照响应文件提供，并保持与响应文件一致。</w:t>
      </w:r>
    </w:p>
    <w:p>
      <w:pPr>
        <w:spacing w:line="360" w:lineRule="auto"/>
        <w:rPr>
          <w:rFonts w:ascii="宋体" w:hAnsi="宋体" w:cs="宋体"/>
          <w:color w:val="auto"/>
          <w:sz w:val="24"/>
          <w:szCs w:val="21"/>
          <w:highlight w:val="none"/>
        </w:rPr>
      </w:pPr>
    </w:p>
    <w:p>
      <w:pPr>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(三)响应文件技术部分和商务部分（乙方提供）</w:t>
      </w:r>
    </w:p>
    <w:p>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由乙方按照响应文件提供，并保持与响应文件一致。</w:t>
      </w:r>
    </w:p>
    <w:p>
      <w:pPr>
        <w:spacing w:line="360" w:lineRule="auto"/>
        <w:rPr>
          <w:rFonts w:ascii="宋体" w:hAnsi="宋体" w:cs="宋体"/>
          <w:color w:val="auto"/>
          <w:sz w:val="24"/>
          <w:szCs w:val="21"/>
          <w:highlight w:val="none"/>
        </w:rPr>
      </w:pPr>
    </w:p>
    <w:p>
      <w:pPr>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(四)采购需求（与采购文件一致）</w:t>
      </w:r>
    </w:p>
    <w:p>
      <w:pPr>
        <w:rPr>
          <w:rFonts w:ascii="宋体" w:hAnsi="宋体" w:cs="宋体"/>
          <w:b/>
          <w:color w:val="auto"/>
          <w:sz w:val="24"/>
          <w:szCs w:val="21"/>
          <w:highlight w:val="none"/>
        </w:rPr>
      </w:pPr>
    </w:p>
    <w:p>
      <w:pPr>
        <w:rPr>
          <w:rFonts w:ascii="宋体" w:hAnsi="宋体" w:cs="宋体"/>
          <w:b/>
          <w:color w:val="auto"/>
          <w:szCs w:val="21"/>
          <w:highlight w:val="none"/>
        </w:rPr>
      </w:pPr>
    </w:p>
    <w:p>
      <w:pPr>
        <w:rPr>
          <w:rFonts w:ascii="宋体" w:hAnsi="宋体" w:cs="宋体"/>
          <w:color w:val="auto"/>
          <w:szCs w:val="21"/>
          <w:highlight w:val="none"/>
        </w:rPr>
      </w:pPr>
      <w:r>
        <w:rPr>
          <w:rFonts w:hint="eastAsia" w:ascii="宋体" w:hAnsi="宋体" w:cs="宋体"/>
          <w:b/>
          <w:bCs/>
          <w:color w:val="auto"/>
          <w:sz w:val="24"/>
          <w:szCs w:val="21"/>
          <w:highlight w:val="none"/>
        </w:rPr>
        <w:br w:type="page"/>
      </w:r>
      <w:r>
        <w:rPr>
          <w:rFonts w:hint="eastAsia" w:ascii="宋体" w:hAnsi="宋体" w:cs="宋体"/>
          <w:b/>
          <w:bCs/>
          <w:color w:val="auto"/>
          <w:sz w:val="24"/>
          <w:szCs w:val="21"/>
          <w:highlight w:val="none"/>
        </w:rPr>
        <w:t>(五)合同验收书格式</w:t>
      </w:r>
      <w:r>
        <w:rPr>
          <w:rFonts w:hint="eastAsia" w:ascii="宋体" w:hAnsi="宋体" w:cs="宋体"/>
          <w:color w:val="auto"/>
          <w:sz w:val="24"/>
          <w:szCs w:val="21"/>
          <w:highlight w:val="none"/>
        </w:rPr>
        <w:t>（验收时填制，供参考）</w:t>
      </w:r>
    </w:p>
    <w:p>
      <w:pPr>
        <w:jc w:val="center"/>
        <w:rPr>
          <w:rFonts w:ascii="宋体" w:hAnsi="宋体" w:cs="宋体"/>
          <w:color w:val="auto"/>
          <w:szCs w:val="21"/>
          <w:highlight w:val="none"/>
        </w:rPr>
      </w:pPr>
    </w:p>
    <w:p>
      <w:pPr>
        <w:pStyle w:val="191"/>
        <w:adjustRightInd w:val="0"/>
        <w:spacing w:line="560" w:lineRule="exact"/>
        <w:ind w:firstLineChars="0"/>
        <w:jc w:val="center"/>
        <w:rPr>
          <w:rFonts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项目验收书（付款时提供）</w:t>
      </w:r>
    </w:p>
    <w:p>
      <w:pPr>
        <w:pStyle w:val="191"/>
        <w:adjustRightInd w:val="0"/>
        <w:spacing w:line="560" w:lineRule="exact"/>
        <w:ind w:firstLineChars="0"/>
        <w:jc w:val="center"/>
        <w:rPr>
          <w:rFonts w:ascii="仿宋_GB2312" w:hAnsi="仿宋_GB2312" w:eastAsia="仿宋_GB2312" w:cs="仿宋_GB2312"/>
          <w:b/>
          <w:color w:val="auto"/>
          <w:sz w:val="28"/>
          <w:szCs w:val="28"/>
          <w:highlight w:val="none"/>
        </w:rPr>
      </w:pP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一、项目基本情况</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（一）项目名称及编号</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（二）合同名称及编号</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（三）乙方名称、乙方联系人及联系方式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（四）合同金额</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（五）历次验收及已付款情况等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二、项目基本内容</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（一）合同约定的主要内容</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（二）本次付款对应的合同内容和所属阶段</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三、组织验收情况</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（一）验收情况，包括验收内容、验收期限等</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（二）验收评价及结论，包括项目执行情况、是否通过验收等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四、其他需要说明的情况</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五、应支付合同款情况</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依据验收结论，本次验收后应支付合同第几次付款及付款金额等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项目负责人签字：</w:t>
      </w:r>
    </w:p>
    <w:p>
      <w:pPr>
        <w:spacing w:line="560" w:lineRule="exact"/>
        <w:rPr>
          <w:rStyle w:val="45"/>
          <w:rFonts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kern w:val="0"/>
          <w:sz w:val="32"/>
          <w:szCs w:val="32"/>
          <w:highlight w:val="none"/>
          <w:lang w:bidi="ar"/>
        </w:rPr>
        <w:t>　　验收牵头部门</w:t>
      </w:r>
      <w:r>
        <w:rPr>
          <w:rFonts w:hint="eastAsia" w:ascii="仿宋_GB2312" w:hAnsi="仿宋_GB2312" w:eastAsia="仿宋_GB2312" w:cs="仿宋_GB2312"/>
          <w:color w:val="auto"/>
          <w:sz w:val="32"/>
          <w:szCs w:val="32"/>
          <w:highlight w:val="none"/>
        </w:rPr>
        <w:t>领导签字：</w:t>
      </w:r>
      <w:r>
        <w:rPr>
          <w:rStyle w:val="45"/>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5"/>
          <w:rFonts w:ascii="仿宋_GB2312" w:hAnsi="仿宋_GB2312" w:eastAsia="仿宋_GB2312" w:cs="仿宋_GB2312"/>
          <w:b w:val="0"/>
          <w:color w:val="auto"/>
          <w:sz w:val="32"/>
          <w:szCs w:val="32"/>
          <w:highlight w:val="none"/>
        </w:rPr>
      </w:pPr>
      <w:r>
        <w:rPr>
          <w:rStyle w:val="45"/>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5"/>
          <w:rFonts w:ascii="仿宋_GB2312" w:hAnsi="仿宋_GB2312" w:eastAsia="仿宋_GB2312" w:cs="仿宋_GB2312"/>
          <w:b w:val="0"/>
          <w:color w:val="auto"/>
          <w:sz w:val="32"/>
          <w:szCs w:val="32"/>
          <w:highlight w:val="none"/>
        </w:rPr>
        <w:sectPr>
          <w:footerReference r:id="rId4" w:type="first"/>
          <w:footerReference r:id="rId3" w:type="default"/>
          <w:pgSz w:w="11906" w:h="16838"/>
          <w:pgMar w:top="1270" w:right="1474" w:bottom="1157" w:left="1587" w:header="851" w:footer="992" w:gutter="0"/>
          <w:pgNumType w:start="1"/>
          <w:cols w:space="720" w:num="1"/>
          <w:docGrid w:type="lines" w:linePitch="312" w:charSpace="0"/>
        </w:sectPr>
      </w:pPr>
      <w:r>
        <w:rPr>
          <w:rStyle w:val="45"/>
          <w:rFonts w:hint="eastAsia" w:ascii="仿宋_GB2312" w:hAnsi="仿宋_GB2312" w:eastAsia="仿宋_GB2312" w:cs="仿宋_GB2312"/>
          <w:b w:val="0"/>
          <w:color w:val="auto"/>
          <w:sz w:val="32"/>
          <w:szCs w:val="32"/>
          <w:highlight w:val="none"/>
        </w:rPr>
        <w:t>年   月   日</w:t>
      </w:r>
    </w:p>
    <w:p>
      <w:pPr>
        <w:rPr>
          <w:rFonts w:ascii="宋体" w:hAnsi="宋体" w:cs="宋体"/>
          <w:bCs/>
          <w:color w:val="auto"/>
          <w:sz w:val="32"/>
          <w:szCs w:val="32"/>
          <w:highlight w:val="none"/>
        </w:rPr>
      </w:pPr>
      <w:r>
        <w:rPr>
          <w:rFonts w:hint="eastAsia" w:ascii="宋体" w:hAnsi="宋体" w:cs="宋体"/>
          <w:b/>
          <w:color w:val="auto"/>
          <w:sz w:val="30"/>
          <w:szCs w:val="30"/>
          <w:highlight w:val="none"/>
        </w:rPr>
        <w:t>(六)</w:t>
      </w:r>
      <w:r>
        <w:rPr>
          <w:rFonts w:hint="eastAsia" w:ascii="宋体" w:hAnsi="宋体" w:cs="宋体"/>
          <w:b/>
          <w:color w:val="auto"/>
          <w:sz w:val="32"/>
          <w:szCs w:val="32"/>
          <w:highlight w:val="none"/>
        </w:rPr>
        <w:t>采购项目履约保证金或质量保证金退付意见书</w:t>
      </w:r>
      <w:r>
        <w:rPr>
          <w:rFonts w:hint="eastAsia" w:ascii="宋体" w:hAnsi="宋体" w:cs="宋体"/>
          <w:bCs/>
          <w:color w:val="auto"/>
          <w:sz w:val="32"/>
          <w:szCs w:val="32"/>
          <w:highlight w:val="none"/>
        </w:rPr>
        <w:t>（供参考）</w:t>
      </w:r>
    </w:p>
    <w:p>
      <w:pPr>
        <w:rPr>
          <w:rFonts w:ascii="宋体" w:hAnsi="宋体" w:cs="宋体"/>
          <w:color w:val="auto"/>
          <w:sz w:val="32"/>
          <w:szCs w:val="32"/>
          <w:highlight w:val="none"/>
        </w:rPr>
      </w:pPr>
    </w:p>
    <w:tbl>
      <w:tblPr>
        <w:tblStyle w:val="4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供</w:t>
            </w:r>
          </w:p>
          <w:p>
            <w:pPr>
              <w:jc w:val="center"/>
              <w:rPr>
                <w:rFonts w:ascii="宋体" w:hAnsi="宋体" w:cs="宋体"/>
                <w:color w:val="auto"/>
                <w:sz w:val="24"/>
                <w:highlight w:val="none"/>
              </w:rPr>
            </w:pPr>
            <w:r>
              <w:rPr>
                <w:rFonts w:hint="eastAsia" w:ascii="宋体" w:hAnsi="宋体" w:cs="宋体"/>
                <w:color w:val="auto"/>
                <w:sz w:val="24"/>
                <w:highlight w:val="none"/>
              </w:rPr>
              <w:t>应</w:t>
            </w:r>
          </w:p>
          <w:p>
            <w:pPr>
              <w:jc w:val="center"/>
              <w:rPr>
                <w:rFonts w:ascii="宋体" w:hAnsi="宋体" w:cs="宋体"/>
                <w:color w:val="auto"/>
                <w:sz w:val="24"/>
                <w:highlight w:val="none"/>
              </w:rPr>
            </w:pPr>
            <w:r>
              <w:rPr>
                <w:rFonts w:hint="eastAsia" w:ascii="宋体" w:hAnsi="宋体" w:cs="宋体"/>
                <w:color w:val="auto"/>
                <w:sz w:val="24"/>
                <w:highlight w:val="none"/>
              </w:rPr>
              <w:t>商</w:t>
            </w:r>
          </w:p>
          <w:p>
            <w:pPr>
              <w:jc w:val="center"/>
              <w:rPr>
                <w:rFonts w:ascii="宋体" w:hAnsi="宋体" w:cs="宋体"/>
                <w:color w:val="auto"/>
                <w:sz w:val="24"/>
                <w:highlight w:val="none"/>
              </w:rPr>
            </w:pPr>
            <w:r>
              <w:rPr>
                <w:rFonts w:hint="eastAsia" w:ascii="宋体" w:hAnsi="宋体" w:cs="宋体"/>
                <w:color w:val="auto"/>
                <w:sz w:val="24"/>
                <w:highlight w:val="none"/>
              </w:rPr>
              <w:t>申</w:t>
            </w:r>
          </w:p>
          <w:p>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206" w:type="dxa"/>
            <w:vAlign w:val="center"/>
          </w:tcPr>
          <w:p>
            <w:pPr>
              <w:rPr>
                <w:rFonts w:ascii="宋体" w:hAnsi="宋体" w:cs="宋体"/>
                <w:color w:val="auto"/>
                <w:sz w:val="24"/>
                <w:highlight w:val="none"/>
              </w:rPr>
            </w:pPr>
            <w:r>
              <w:rPr>
                <w:rFonts w:hint="eastAsia" w:ascii="宋体" w:hAnsi="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ascii="宋体" w:hAnsi="宋体" w:cs="宋体"/>
                <w:color w:val="auto"/>
                <w:sz w:val="24"/>
                <w:highlight w:val="none"/>
              </w:rPr>
            </w:pPr>
          </w:p>
        </w:tc>
        <w:tc>
          <w:tcPr>
            <w:tcW w:w="8206" w:type="dxa"/>
            <w:vAlign w:val="center"/>
          </w:tcPr>
          <w:p>
            <w:pPr>
              <w:rPr>
                <w:rFonts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ascii="宋体" w:hAnsi="宋体" w:cs="宋体"/>
                <w:color w:val="auto"/>
                <w:sz w:val="24"/>
                <w:highlight w:val="none"/>
              </w:rPr>
            </w:pPr>
          </w:p>
        </w:tc>
        <w:tc>
          <w:tcPr>
            <w:tcW w:w="8206" w:type="dxa"/>
          </w:tcPr>
          <w:p>
            <w:pPr>
              <w:rPr>
                <w:rFonts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日验收并交付使用。根据合同规定，该项目的履约保证金（或质量保证金），期限于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日已满，请将履约保证金（或质量保证金）人民币（大写）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退付到达以下帐户。</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帐   号：</w:t>
            </w:r>
          </w:p>
          <w:p>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pPr>
              <w:spacing w:line="400" w:lineRule="exact"/>
              <w:rPr>
                <w:rFonts w:ascii="宋体" w:hAnsi="宋体" w:cs="宋体"/>
                <w:color w:val="auto"/>
                <w:sz w:val="24"/>
                <w:highlight w:val="none"/>
              </w:rPr>
            </w:pP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供应商签章：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采</w:t>
            </w:r>
          </w:p>
          <w:p>
            <w:pPr>
              <w:jc w:val="center"/>
              <w:rPr>
                <w:rFonts w:ascii="宋体" w:hAnsi="宋体" w:cs="宋体"/>
                <w:color w:val="auto"/>
                <w:sz w:val="24"/>
                <w:highlight w:val="none"/>
              </w:rPr>
            </w:pPr>
            <w:r>
              <w:rPr>
                <w:rFonts w:hint="eastAsia" w:ascii="宋体" w:hAnsi="宋体" w:cs="宋体"/>
                <w:color w:val="auto"/>
                <w:sz w:val="24"/>
                <w:highlight w:val="none"/>
              </w:rPr>
              <w:t>购</w:t>
            </w:r>
          </w:p>
          <w:p>
            <w:pPr>
              <w:jc w:val="center"/>
              <w:rPr>
                <w:rFonts w:ascii="宋体" w:hAnsi="宋体" w:cs="宋体"/>
                <w:color w:val="auto"/>
                <w:sz w:val="24"/>
                <w:highlight w:val="none"/>
              </w:rPr>
            </w:pPr>
            <w:r>
              <w:rPr>
                <w:rFonts w:hint="eastAsia" w:ascii="宋体" w:hAnsi="宋体" w:cs="宋体"/>
                <w:color w:val="auto"/>
                <w:sz w:val="24"/>
                <w:highlight w:val="none"/>
              </w:rPr>
              <w:t>人</w:t>
            </w:r>
          </w:p>
          <w:p>
            <w:pPr>
              <w:jc w:val="center"/>
              <w:rPr>
                <w:rFonts w:ascii="宋体" w:hAnsi="宋体" w:cs="宋体"/>
                <w:color w:val="auto"/>
                <w:sz w:val="24"/>
                <w:highlight w:val="none"/>
              </w:rPr>
            </w:pPr>
            <w:r>
              <w:rPr>
                <w:rFonts w:hint="eastAsia" w:ascii="宋体" w:hAnsi="宋体" w:cs="宋体"/>
                <w:color w:val="auto"/>
                <w:sz w:val="24"/>
                <w:highlight w:val="none"/>
              </w:rPr>
              <w:t>意</w:t>
            </w:r>
          </w:p>
          <w:p>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206"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退付意见：（是否同意退付履约保证金或质量保证金及退付金额）</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520" w:lineRule="exact"/>
              <w:jc w:val="center"/>
              <w:rPr>
                <w:rFonts w:ascii="宋体" w:hAnsi="宋体" w:cs="宋体"/>
                <w:color w:val="auto"/>
                <w:sz w:val="24"/>
                <w:highlight w:val="none"/>
              </w:rPr>
            </w:pPr>
          </w:p>
        </w:tc>
      </w:tr>
    </w:tbl>
    <w:p>
      <w:pPr>
        <w:rPr>
          <w:rFonts w:ascii="宋体" w:hAnsi="宋体" w:cs="宋体"/>
          <w:color w:val="auto"/>
          <w:szCs w:val="21"/>
          <w:highlight w:val="none"/>
        </w:rPr>
      </w:pPr>
    </w:p>
    <w:p>
      <w:pPr>
        <w:spacing w:line="400" w:lineRule="exact"/>
        <w:jc w:val="center"/>
        <w:outlineLvl w:val="0"/>
        <w:rPr>
          <w:rFonts w:ascii="宋体" w:hAnsi="宋体" w:cs="宋体"/>
          <w:b/>
          <w:color w:val="auto"/>
          <w:sz w:val="28"/>
          <w:szCs w:val="28"/>
          <w:highlight w:val="none"/>
        </w:rPr>
      </w:pPr>
      <w:r>
        <w:rPr>
          <w:rFonts w:hint="eastAsia" w:ascii="宋体" w:hAnsi="宋体" w:cs="宋体"/>
          <w:b/>
          <w:color w:val="auto"/>
          <w:spacing w:val="20"/>
          <w:szCs w:val="22"/>
          <w:highlight w:val="none"/>
        </w:rPr>
        <w:br w:type="page"/>
      </w:r>
      <w:bookmarkStart w:id="75" w:name="_Toc3633"/>
      <w:bookmarkStart w:id="76" w:name="_Toc3075"/>
      <w:bookmarkStart w:id="77" w:name="_Toc4114"/>
      <w:r>
        <w:rPr>
          <w:rFonts w:hint="eastAsia" w:ascii="宋体" w:hAnsi="宋体" w:cs="宋体"/>
          <w:b/>
          <w:color w:val="auto"/>
          <w:sz w:val="28"/>
          <w:szCs w:val="28"/>
          <w:highlight w:val="none"/>
        </w:rPr>
        <w:t>第五章 响应文件组成</w:t>
      </w:r>
      <w:bookmarkEnd w:id="75"/>
      <w:bookmarkEnd w:id="76"/>
      <w:bookmarkEnd w:id="77"/>
    </w:p>
    <w:p>
      <w:pPr>
        <w:pStyle w:val="20"/>
        <w:spacing w:line="380" w:lineRule="exact"/>
        <w:jc w:val="center"/>
        <w:rPr>
          <w:rFonts w:hAnsi="宋体" w:cs="宋体"/>
          <w:b/>
          <w:color w:val="auto"/>
          <w:sz w:val="32"/>
          <w:szCs w:val="32"/>
          <w:highlight w:val="none"/>
        </w:rPr>
      </w:pPr>
    </w:p>
    <w:p>
      <w:pPr>
        <w:pStyle w:val="20"/>
        <w:spacing w:line="380" w:lineRule="exact"/>
        <w:jc w:val="center"/>
        <w:rPr>
          <w:rFonts w:hAnsi="宋体" w:cs="宋体"/>
          <w:b/>
          <w:color w:val="auto"/>
          <w:sz w:val="32"/>
          <w:szCs w:val="32"/>
          <w:highlight w:val="none"/>
        </w:rPr>
      </w:pPr>
    </w:p>
    <w:p>
      <w:pPr>
        <w:pStyle w:val="20"/>
        <w:spacing w:line="380" w:lineRule="exact"/>
        <w:jc w:val="center"/>
        <w:rPr>
          <w:rFonts w:hAnsi="宋体" w:cs="宋体"/>
          <w:b/>
          <w:color w:val="auto"/>
          <w:sz w:val="32"/>
          <w:szCs w:val="32"/>
          <w:highlight w:val="none"/>
        </w:rPr>
      </w:pPr>
    </w:p>
    <w:p>
      <w:pPr>
        <w:spacing w:line="400" w:lineRule="exact"/>
        <w:ind w:left="421" w:leftChars="172" w:hanging="60" w:hangingChars="25"/>
        <w:rPr>
          <w:rFonts w:ascii="宋体" w:hAnsi="宋体" w:cs="宋体"/>
          <w:b/>
          <w:color w:val="auto"/>
          <w:sz w:val="24"/>
          <w:szCs w:val="28"/>
          <w:highlight w:val="none"/>
        </w:rPr>
      </w:pPr>
      <w:r>
        <w:rPr>
          <w:rFonts w:hint="eastAsia" w:ascii="宋体" w:hAnsi="宋体" w:cs="宋体"/>
          <w:b/>
          <w:color w:val="auto"/>
          <w:sz w:val="24"/>
          <w:szCs w:val="28"/>
          <w:highlight w:val="none"/>
        </w:rPr>
        <w:t>响应文件的</w:t>
      </w:r>
      <w:r>
        <w:rPr>
          <w:rFonts w:hint="eastAsia" w:ascii="宋体" w:hAnsi="宋体" w:cs="宋体"/>
          <w:b/>
          <w:color w:val="auto"/>
          <w:sz w:val="32"/>
          <w:szCs w:val="28"/>
          <w:highlight w:val="none"/>
        </w:rPr>
        <w:t>外层包装封套</w:t>
      </w:r>
      <w:r>
        <w:rPr>
          <w:rFonts w:hint="eastAsia" w:ascii="宋体" w:hAnsi="宋体" w:cs="宋体"/>
          <w:b/>
          <w:color w:val="auto"/>
          <w:sz w:val="24"/>
          <w:szCs w:val="28"/>
          <w:highlight w:val="none"/>
        </w:rPr>
        <w:t>格式：</w:t>
      </w:r>
    </w:p>
    <w:p>
      <w:pPr>
        <w:spacing w:line="400" w:lineRule="exact"/>
        <w:ind w:left="441" w:leftChars="172" w:hanging="80" w:hangingChars="25"/>
        <w:rPr>
          <w:rFonts w:ascii="宋体" w:hAnsi="宋体" w:cs="宋体"/>
          <w:b/>
          <w:color w:val="auto"/>
          <w:sz w:val="32"/>
          <w:szCs w:val="28"/>
          <w:highlight w:val="none"/>
        </w:rPr>
      </w:pPr>
    </w:p>
    <w:p>
      <w:pPr>
        <w:spacing w:line="400" w:lineRule="exact"/>
        <w:ind w:left="441" w:leftChars="172" w:hanging="80" w:hangingChars="25"/>
        <w:rPr>
          <w:rFonts w:ascii="宋体" w:hAnsi="宋体" w:cs="宋体"/>
          <w:b/>
          <w:color w:val="auto"/>
          <w:sz w:val="32"/>
          <w:szCs w:val="28"/>
          <w:highlight w:val="none"/>
        </w:rPr>
      </w:pPr>
    </w:p>
    <w:p>
      <w:pPr>
        <w:spacing w:line="400" w:lineRule="exact"/>
        <w:ind w:left="441" w:leftChars="172" w:hanging="80" w:hangingChars="25"/>
        <w:rPr>
          <w:rFonts w:ascii="宋体" w:hAnsi="宋体" w:cs="宋体"/>
          <w:b/>
          <w:color w:val="auto"/>
          <w:sz w:val="32"/>
          <w:szCs w:val="28"/>
          <w:highlight w:val="none"/>
        </w:rPr>
      </w:pPr>
    </w:p>
    <w:p>
      <w:pPr>
        <w:spacing w:line="360" w:lineRule="auto"/>
        <w:ind w:left="413" w:leftChars="172" w:hanging="52" w:hangingChars="25"/>
        <w:jc w:val="left"/>
        <w:rPr>
          <w:rFonts w:ascii="宋体" w:hAnsi="宋体" w:cs="宋体"/>
          <w:color w:val="auto"/>
          <w:szCs w:val="21"/>
          <w:highlight w:val="none"/>
        </w:rPr>
      </w:pPr>
    </w:p>
    <w:p>
      <w:pPr>
        <w:spacing w:line="720" w:lineRule="auto"/>
        <w:jc w:val="center"/>
        <w:rPr>
          <w:rFonts w:ascii="宋体" w:hAnsi="宋体" w:cs="宋体"/>
          <w:color w:val="auto"/>
          <w:sz w:val="32"/>
          <w:szCs w:val="21"/>
          <w:highlight w:val="none"/>
        </w:rPr>
      </w:pPr>
      <w:r>
        <w:rPr>
          <w:rFonts w:hint="eastAsia" w:ascii="宋体" w:hAnsi="宋体" w:cs="宋体"/>
          <w:color w:val="auto"/>
          <w:sz w:val="32"/>
          <w:szCs w:val="21"/>
          <w:highlight w:val="none"/>
        </w:rPr>
        <w:t>___________________(项目名称)响应文件</w:t>
      </w:r>
    </w:p>
    <w:p>
      <w:pPr>
        <w:spacing w:line="720" w:lineRule="auto"/>
        <w:jc w:val="center"/>
        <w:rPr>
          <w:rFonts w:ascii="宋体" w:hAnsi="宋体" w:cs="宋体"/>
          <w:color w:val="auto"/>
          <w:sz w:val="32"/>
          <w:szCs w:val="21"/>
          <w:highlight w:val="none"/>
        </w:rPr>
      </w:pPr>
      <w:r>
        <w:rPr>
          <w:rFonts w:hint="eastAsia" w:ascii="宋体" w:hAnsi="宋体" w:cs="宋体"/>
          <w:color w:val="auto"/>
          <w:sz w:val="32"/>
          <w:szCs w:val="21"/>
          <w:highlight w:val="none"/>
        </w:rPr>
        <w:t>项目编号：____________________</w:t>
      </w:r>
    </w:p>
    <w:p>
      <w:pPr>
        <w:spacing w:line="720" w:lineRule="auto"/>
        <w:jc w:val="center"/>
        <w:rPr>
          <w:rFonts w:ascii="宋体" w:hAnsi="宋体" w:cs="宋体"/>
          <w:color w:val="auto"/>
          <w:sz w:val="32"/>
          <w:szCs w:val="21"/>
          <w:highlight w:val="none"/>
        </w:rPr>
      </w:pPr>
      <w:r>
        <w:rPr>
          <w:rFonts w:hint="eastAsia" w:ascii="宋体" w:hAnsi="宋体" w:cs="宋体"/>
          <w:color w:val="auto"/>
          <w:sz w:val="32"/>
          <w:szCs w:val="21"/>
          <w:highlight w:val="none"/>
        </w:rPr>
        <w:t>在______年____月____日____时____分之前不得启封</w:t>
      </w:r>
    </w:p>
    <w:p>
      <w:pPr>
        <w:spacing w:line="720" w:lineRule="auto"/>
        <w:jc w:val="center"/>
        <w:rPr>
          <w:rFonts w:ascii="宋体" w:hAnsi="宋体" w:cs="宋体"/>
          <w:color w:val="auto"/>
          <w:sz w:val="32"/>
          <w:szCs w:val="21"/>
          <w:highlight w:val="none"/>
        </w:rPr>
      </w:pPr>
      <w:r>
        <w:rPr>
          <w:rFonts w:hint="eastAsia" w:ascii="宋体" w:hAnsi="宋体" w:cs="宋体"/>
          <w:color w:val="auto"/>
          <w:sz w:val="32"/>
          <w:szCs w:val="21"/>
          <w:highlight w:val="none"/>
        </w:rPr>
        <w:t>供应商名称：____________________</w:t>
      </w:r>
    </w:p>
    <w:p>
      <w:pPr>
        <w:spacing w:line="720" w:lineRule="auto"/>
        <w:ind w:left="441" w:leftChars="172" w:hanging="80" w:hangingChars="25"/>
        <w:jc w:val="center"/>
        <w:rPr>
          <w:rFonts w:ascii="宋体" w:hAnsi="宋体" w:cs="宋体"/>
          <w:b/>
          <w:color w:val="auto"/>
          <w:sz w:val="44"/>
          <w:szCs w:val="21"/>
          <w:highlight w:val="none"/>
        </w:rPr>
      </w:pPr>
      <w:r>
        <w:rPr>
          <w:rFonts w:hint="eastAsia" w:ascii="宋体" w:hAnsi="宋体" w:cs="宋体"/>
          <w:color w:val="auto"/>
          <w:sz w:val="32"/>
          <w:highlight w:val="none"/>
        </w:rPr>
        <w:t>其他____________________</w:t>
      </w:r>
    </w:p>
    <w:p>
      <w:pPr>
        <w:spacing w:line="720" w:lineRule="auto"/>
        <w:ind w:left="461" w:leftChars="172" w:hanging="100" w:hangingChars="25"/>
        <w:jc w:val="center"/>
        <w:rPr>
          <w:rFonts w:ascii="宋体" w:hAnsi="宋体" w:cs="宋体"/>
          <w:b/>
          <w:color w:val="auto"/>
          <w:sz w:val="40"/>
          <w:szCs w:val="21"/>
          <w:highlight w:val="none"/>
        </w:rPr>
      </w:pPr>
      <w:r>
        <w:rPr>
          <w:rFonts w:hint="eastAsia" w:ascii="宋体" w:hAnsi="宋体" w:cs="宋体"/>
          <w:b/>
          <w:color w:val="auto"/>
          <w:sz w:val="40"/>
          <w:szCs w:val="21"/>
          <w:highlight w:val="none"/>
        </w:rPr>
        <w:t>（加盖公章）</w:t>
      </w:r>
    </w:p>
    <w:p>
      <w:pPr>
        <w:pStyle w:val="20"/>
        <w:spacing w:line="480" w:lineRule="auto"/>
        <w:jc w:val="center"/>
        <w:rPr>
          <w:rFonts w:hAnsi="宋体" w:cs="宋体"/>
          <w:color w:val="auto"/>
          <w:sz w:val="24"/>
          <w:szCs w:val="21"/>
          <w:highlight w:val="none"/>
        </w:rPr>
      </w:pPr>
    </w:p>
    <w:p>
      <w:pPr>
        <w:pStyle w:val="20"/>
        <w:spacing w:line="380" w:lineRule="exact"/>
        <w:jc w:val="center"/>
        <w:rPr>
          <w:rFonts w:hAnsi="宋体" w:cs="宋体"/>
          <w:b/>
          <w:color w:val="auto"/>
          <w:sz w:val="32"/>
          <w:szCs w:val="32"/>
          <w:highlight w:val="none"/>
        </w:rPr>
      </w:pPr>
    </w:p>
    <w:p>
      <w:pPr>
        <w:pStyle w:val="20"/>
        <w:spacing w:line="380" w:lineRule="exact"/>
        <w:jc w:val="center"/>
        <w:rPr>
          <w:rFonts w:hAnsi="宋体" w:cs="宋体"/>
          <w:b/>
          <w:color w:val="auto"/>
          <w:sz w:val="32"/>
          <w:szCs w:val="32"/>
          <w:highlight w:val="none"/>
        </w:rPr>
      </w:pPr>
    </w:p>
    <w:p>
      <w:pPr>
        <w:spacing w:line="400" w:lineRule="exact"/>
        <w:ind w:left="441" w:leftChars="172" w:hanging="80" w:hangingChars="25"/>
        <w:jc w:val="center"/>
        <w:rPr>
          <w:rFonts w:ascii="宋体" w:hAnsi="宋体" w:cs="宋体"/>
          <w:b/>
          <w:color w:val="auto"/>
          <w:sz w:val="32"/>
          <w:szCs w:val="28"/>
          <w:highlight w:val="none"/>
        </w:rPr>
      </w:pPr>
      <w:r>
        <w:rPr>
          <w:rFonts w:hint="eastAsia" w:ascii="宋体" w:hAnsi="宋体" w:cs="宋体"/>
          <w:b/>
          <w:color w:val="auto"/>
          <w:sz w:val="32"/>
          <w:szCs w:val="28"/>
          <w:highlight w:val="none"/>
        </w:rPr>
        <w:br w:type="page"/>
      </w:r>
    </w:p>
    <w:p>
      <w:pPr>
        <w:spacing w:line="400" w:lineRule="exact"/>
        <w:ind w:left="421" w:leftChars="172" w:hanging="60" w:hangingChars="25"/>
        <w:rPr>
          <w:rFonts w:ascii="宋体" w:hAnsi="宋体" w:cs="宋体"/>
          <w:b/>
          <w:color w:val="auto"/>
          <w:sz w:val="24"/>
          <w:szCs w:val="28"/>
          <w:highlight w:val="none"/>
        </w:rPr>
      </w:pPr>
      <w:r>
        <w:rPr>
          <w:rFonts w:hint="eastAsia" w:ascii="宋体" w:hAnsi="宋体" w:cs="宋体"/>
          <w:b/>
          <w:color w:val="auto"/>
          <w:sz w:val="24"/>
          <w:szCs w:val="28"/>
          <w:highlight w:val="none"/>
        </w:rPr>
        <w:t>响应文件的封面格式：</w:t>
      </w:r>
    </w:p>
    <w:p>
      <w:pPr>
        <w:spacing w:line="400" w:lineRule="exact"/>
        <w:ind w:left="441" w:leftChars="172" w:hanging="80" w:hangingChars="25"/>
        <w:jc w:val="center"/>
        <w:rPr>
          <w:rFonts w:ascii="宋体" w:hAnsi="宋体" w:cs="宋体"/>
          <w:b/>
          <w:color w:val="auto"/>
          <w:sz w:val="32"/>
          <w:szCs w:val="28"/>
          <w:highlight w:val="none"/>
        </w:rPr>
      </w:pPr>
    </w:p>
    <w:p>
      <w:pPr>
        <w:spacing w:line="400" w:lineRule="exact"/>
        <w:ind w:left="441" w:leftChars="172" w:hanging="80" w:hangingChars="25"/>
        <w:jc w:val="center"/>
        <w:rPr>
          <w:rFonts w:ascii="宋体" w:hAnsi="宋体" w:cs="宋体"/>
          <w:b/>
          <w:color w:val="auto"/>
          <w:sz w:val="32"/>
          <w:szCs w:val="28"/>
          <w:highlight w:val="none"/>
        </w:rPr>
      </w:pPr>
    </w:p>
    <w:p>
      <w:pPr>
        <w:spacing w:line="400" w:lineRule="exact"/>
        <w:ind w:left="441" w:leftChars="172" w:hanging="80" w:hangingChars="25"/>
        <w:jc w:val="center"/>
        <w:rPr>
          <w:rFonts w:ascii="宋体" w:hAnsi="宋体" w:cs="宋体"/>
          <w:b/>
          <w:color w:val="auto"/>
          <w:sz w:val="32"/>
          <w:szCs w:val="28"/>
          <w:highlight w:val="none"/>
        </w:rPr>
      </w:pPr>
      <w:r>
        <w:rPr>
          <w:rFonts w:hint="eastAsia" w:ascii="宋体" w:hAnsi="宋体" w:cs="宋体"/>
          <w:b/>
          <w:color w:val="auto"/>
          <w:sz w:val="32"/>
          <w:szCs w:val="28"/>
          <w:highlight w:val="none"/>
        </w:rPr>
        <w:t xml:space="preserve">                                     正本/副本</w:t>
      </w:r>
    </w:p>
    <w:p>
      <w:pPr>
        <w:spacing w:line="400" w:lineRule="exact"/>
        <w:ind w:left="441" w:leftChars="172" w:hanging="80" w:hangingChars="25"/>
        <w:jc w:val="center"/>
        <w:rPr>
          <w:rFonts w:ascii="宋体" w:hAnsi="宋体" w:cs="宋体"/>
          <w:b/>
          <w:color w:val="auto"/>
          <w:sz w:val="32"/>
          <w:szCs w:val="28"/>
          <w:highlight w:val="none"/>
        </w:rPr>
      </w:pPr>
    </w:p>
    <w:p>
      <w:pPr>
        <w:spacing w:line="400" w:lineRule="exact"/>
        <w:ind w:left="441" w:leftChars="172" w:hanging="80" w:hangingChars="25"/>
        <w:jc w:val="center"/>
        <w:rPr>
          <w:rFonts w:ascii="宋体" w:hAnsi="宋体" w:cs="宋体"/>
          <w:b/>
          <w:color w:val="auto"/>
          <w:sz w:val="32"/>
          <w:szCs w:val="28"/>
          <w:highlight w:val="none"/>
        </w:rPr>
      </w:pPr>
    </w:p>
    <w:p>
      <w:pPr>
        <w:spacing w:line="400" w:lineRule="exact"/>
        <w:ind w:left="451" w:leftChars="172" w:hanging="90" w:hangingChars="25"/>
        <w:jc w:val="center"/>
        <w:rPr>
          <w:rFonts w:ascii="宋体" w:hAnsi="宋体" w:cs="宋体"/>
          <w:b/>
          <w:color w:val="auto"/>
          <w:sz w:val="36"/>
          <w:szCs w:val="28"/>
          <w:highlight w:val="none"/>
        </w:rPr>
      </w:pPr>
      <w:r>
        <w:rPr>
          <w:rFonts w:hint="eastAsia" w:ascii="宋体" w:hAnsi="宋体" w:cs="宋体"/>
          <w:b/>
          <w:color w:val="auto"/>
          <w:sz w:val="36"/>
          <w:szCs w:val="28"/>
          <w:highlight w:val="none"/>
        </w:rPr>
        <w:t>响应文件</w:t>
      </w:r>
    </w:p>
    <w:p>
      <w:pPr>
        <w:spacing w:line="360" w:lineRule="auto"/>
        <w:ind w:left="413" w:leftChars="172" w:hanging="52" w:hangingChars="25"/>
        <w:jc w:val="left"/>
        <w:rPr>
          <w:rFonts w:ascii="宋体" w:hAnsi="宋体" w:cs="宋体"/>
          <w:color w:val="auto"/>
          <w:szCs w:val="21"/>
          <w:highlight w:val="none"/>
        </w:rPr>
      </w:pPr>
    </w:p>
    <w:p>
      <w:pPr>
        <w:spacing w:line="360" w:lineRule="auto"/>
        <w:ind w:left="413" w:leftChars="172" w:hanging="52" w:hangingChars="25"/>
        <w:jc w:val="left"/>
        <w:rPr>
          <w:rFonts w:ascii="宋体" w:hAnsi="宋体" w:cs="宋体"/>
          <w:color w:val="auto"/>
          <w:szCs w:val="21"/>
          <w:highlight w:val="none"/>
        </w:rPr>
      </w:pPr>
    </w:p>
    <w:p>
      <w:pPr>
        <w:spacing w:line="360" w:lineRule="auto"/>
        <w:ind w:left="413" w:leftChars="172" w:hanging="52" w:hangingChars="25"/>
        <w:jc w:val="left"/>
        <w:rPr>
          <w:rFonts w:ascii="宋体" w:hAnsi="宋体" w:cs="宋体"/>
          <w:color w:val="auto"/>
          <w:szCs w:val="21"/>
          <w:highlight w:val="none"/>
        </w:rPr>
      </w:pPr>
    </w:p>
    <w:p>
      <w:pPr>
        <w:spacing w:line="480" w:lineRule="auto"/>
        <w:ind w:left="421" w:leftChars="172" w:hanging="60" w:hangingChars="25"/>
        <w:jc w:val="left"/>
        <w:rPr>
          <w:rFonts w:ascii="宋体" w:hAnsi="宋体" w:cs="宋体"/>
          <w:color w:val="auto"/>
          <w:sz w:val="24"/>
          <w:szCs w:val="21"/>
          <w:highlight w:val="none"/>
        </w:rPr>
      </w:pPr>
      <w:r>
        <w:rPr>
          <w:rFonts w:hint="eastAsia" w:ascii="宋体" w:hAnsi="宋体" w:cs="宋体"/>
          <w:color w:val="auto"/>
          <w:sz w:val="24"/>
          <w:szCs w:val="21"/>
          <w:highlight w:val="none"/>
        </w:rPr>
        <w:t>项目编号：</w:t>
      </w:r>
    </w:p>
    <w:p>
      <w:pPr>
        <w:spacing w:line="480" w:lineRule="auto"/>
        <w:ind w:left="421" w:leftChars="172" w:hanging="60" w:hangingChars="25"/>
        <w:jc w:val="left"/>
        <w:rPr>
          <w:rFonts w:ascii="宋体" w:hAnsi="宋体" w:cs="宋体"/>
          <w:color w:val="auto"/>
          <w:sz w:val="24"/>
          <w:szCs w:val="21"/>
          <w:highlight w:val="none"/>
        </w:rPr>
      </w:pPr>
      <w:r>
        <w:rPr>
          <w:rFonts w:hint="eastAsia" w:ascii="宋体" w:hAnsi="宋体" w:cs="宋体"/>
          <w:color w:val="auto"/>
          <w:sz w:val="24"/>
          <w:szCs w:val="21"/>
          <w:highlight w:val="none"/>
        </w:rPr>
        <w:t>项目名称：</w:t>
      </w:r>
    </w:p>
    <w:p>
      <w:pPr>
        <w:spacing w:line="480" w:lineRule="auto"/>
        <w:ind w:left="421" w:leftChars="172" w:hanging="60" w:hangingChars="25"/>
        <w:jc w:val="left"/>
        <w:rPr>
          <w:rFonts w:ascii="宋体" w:hAnsi="宋体" w:cs="宋体"/>
          <w:color w:val="auto"/>
          <w:sz w:val="24"/>
          <w:szCs w:val="21"/>
          <w:highlight w:val="none"/>
        </w:rPr>
      </w:pPr>
      <w:r>
        <w:rPr>
          <w:rFonts w:hint="eastAsia" w:ascii="宋体" w:hAnsi="宋体" w:cs="宋体"/>
          <w:color w:val="auto"/>
          <w:sz w:val="24"/>
          <w:szCs w:val="21"/>
          <w:highlight w:val="none"/>
        </w:rPr>
        <w:t>供应商名称：</w:t>
      </w:r>
    </w:p>
    <w:p>
      <w:pPr>
        <w:spacing w:line="480" w:lineRule="auto"/>
        <w:ind w:left="421" w:leftChars="172" w:hanging="60" w:hangingChars="25"/>
        <w:jc w:val="left"/>
        <w:rPr>
          <w:rFonts w:ascii="宋体" w:hAnsi="宋体" w:cs="宋体"/>
          <w:color w:val="auto"/>
          <w:sz w:val="24"/>
          <w:szCs w:val="21"/>
          <w:highlight w:val="none"/>
        </w:rPr>
      </w:pPr>
      <w:r>
        <w:rPr>
          <w:rFonts w:hint="eastAsia" w:ascii="宋体" w:hAnsi="宋体" w:cs="宋体"/>
          <w:color w:val="auto"/>
          <w:sz w:val="24"/>
          <w:szCs w:val="21"/>
          <w:highlight w:val="none"/>
        </w:rPr>
        <w:t>供应商地址：</w:t>
      </w:r>
    </w:p>
    <w:p>
      <w:pPr>
        <w:spacing w:line="480" w:lineRule="auto"/>
        <w:ind w:left="421" w:leftChars="172" w:hanging="60" w:hangingChars="25"/>
        <w:jc w:val="left"/>
        <w:rPr>
          <w:rFonts w:ascii="宋体" w:hAnsi="宋体" w:cs="宋体"/>
          <w:color w:val="auto"/>
          <w:sz w:val="24"/>
          <w:szCs w:val="21"/>
          <w:highlight w:val="none"/>
        </w:rPr>
      </w:pPr>
    </w:p>
    <w:p>
      <w:pPr>
        <w:spacing w:line="480" w:lineRule="auto"/>
        <w:ind w:left="421" w:leftChars="172" w:hanging="60" w:hangingChars="25"/>
        <w:jc w:val="center"/>
        <w:rPr>
          <w:rFonts w:ascii="宋体" w:hAnsi="宋体" w:cs="宋体"/>
          <w:b/>
          <w:color w:val="auto"/>
          <w:sz w:val="24"/>
          <w:szCs w:val="21"/>
          <w:highlight w:val="none"/>
        </w:rPr>
      </w:pPr>
      <w:r>
        <w:rPr>
          <w:rFonts w:hint="eastAsia" w:ascii="宋体" w:hAnsi="宋体" w:cs="宋体"/>
          <w:b/>
          <w:color w:val="auto"/>
          <w:sz w:val="24"/>
          <w:szCs w:val="21"/>
          <w:highlight w:val="none"/>
        </w:rPr>
        <w:t>（加盖公章）</w:t>
      </w:r>
    </w:p>
    <w:p>
      <w:pPr>
        <w:pStyle w:val="20"/>
        <w:spacing w:line="480" w:lineRule="auto"/>
        <w:ind w:firstLine="4320" w:firstLineChars="1800"/>
        <w:rPr>
          <w:rFonts w:hAnsi="宋体" w:cs="宋体"/>
          <w:color w:val="auto"/>
          <w:sz w:val="24"/>
          <w:szCs w:val="21"/>
          <w:highlight w:val="none"/>
        </w:rPr>
      </w:pPr>
      <w:r>
        <w:rPr>
          <w:rFonts w:hint="eastAsia" w:hAnsi="宋体" w:cs="宋体"/>
          <w:color w:val="auto"/>
          <w:sz w:val="24"/>
          <w:szCs w:val="21"/>
          <w:highlight w:val="none"/>
        </w:rPr>
        <w:t>年   月    日</w:t>
      </w:r>
    </w:p>
    <w:p>
      <w:pPr>
        <w:pStyle w:val="20"/>
        <w:spacing w:line="480" w:lineRule="auto"/>
        <w:jc w:val="center"/>
        <w:rPr>
          <w:rFonts w:hAnsi="宋体" w:cs="宋体"/>
          <w:color w:val="auto"/>
          <w:sz w:val="24"/>
          <w:szCs w:val="21"/>
          <w:highlight w:val="none"/>
        </w:rPr>
      </w:pPr>
    </w:p>
    <w:p>
      <w:pPr>
        <w:pStyle w:val="20"/>
        <w:spacing w:line="380" w:lineRule="exact"/>
        <w:jc w:val="center"/>
        <w:rPr>
          <w:rFonts w:hAnsi="宋体" w:cs="宋体"/>
          <w:color w:val="auto"/>
          <w:szCs w:val="21"/>
          <w:highlight w:val="none"/>
        </w:rPr>
      </w:pPr>
    </w:p>
    <w:p>
      <w:pPr>
        <w:pStyle w:val="20"/>
        <w:ind w:firstLine="562" w:firstLineChars="200"/>
        <w:jc w:val="center"/>
        <w:rPr>
          <w:rFonts w:hAnsi="宋体" w:cs="宋体"/>
          <w:b/>
          <w:color w:val="auto"/>
          <w:sz w:val="28"/>
          <w:szCs w:val="28"/>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第一部分　商务部分</w:t>
      </w:r>
    </w:p>
    <w:p>
      <w:pPr>
        <w:pStyle w:val="20"/>
        <w:spacing w:line="360" w:lineRule="auto"/>
        <w:ind w:firstLine="482" w:firstLineChars="200"/>
        <w:jc w:val="center"/>
        <w:rPr>
          <w:rFonts w:hAnsi="宋体" w:cs="宋体"/>
          <w:b/>
          <w:color w:val="auto"/>
          <w:sz w:val="24"/>
          <w:szCs w:val="28"/>
          <w:highlight w:val="none"/>
        </w:rPr>
      </w:pPr>
    </w:p>
    <w:p>
      <w:pPr>
        <w:numPr>
          <w:ilvl w:val="0"/>
          <w:numId w:val="4"/>
        </w:numPr>
        <w:spacing w:line="360" w:lineRule="auto"/>
        <w:rPr>
          <w:rFonts w:ascii="宋体" w:hAnsi="宋体" w:cs="宋体"/>
          <w:color w:val="auto"/>
          <w:kern w:val="0"/>
          <w:sz w:val="24"/>
          <w:szCs w:val="28"/>
          <w:highlight w:val="none"/>
        </w:rPr>
      </w:pPr>
      <w:r>
        <w:rPr>
          <w:rFonts w:hint="eastAsia" w:ascii="宋体" w:hAnsi="宋体" w:cs="宋体"/>
          <w:color w:val="auto"/>
          <w:kern w:val="0"/>
          <w:sz w:val="24"/>
          <w:szCs w:val="28"/>
          <w:highlight w:val="none"/>
        </w:rPr>
        <w:t>磋商响应声明</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附件1－1　法定代表人（负责人）身份证明复印件(法定代表人（负责人）参加磋商)</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附件1－2　法定代表人（负责人）授权书(授权代表参加磋商)</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附件1－3：授权委托书(自然人提供)</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二、报价一览表、分项价格表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附件2－1　报价一览表(服务类)</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附件2－2　分项价格表(服务类)</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附件2－3　最终报价承诺书</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三、商务条款偏离表(格式附后)</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lang w:eastAsia="zh-CN"/>
        </w:rPr>
        <w:t>四</w:t>
      </w:r>
      <w:r>
        <w:rPr>
          <w:rFonts w:hint="eastAsia" w:ascii="宋体" w:hAnsi="宋体" w:cs="宋体"/>
          <w:color w:val="auto"/>
          <w:kern w:val="0"/>
          <w:sz w:val="24"/>
          <w:szCs w:val="28"/>
          <w:highlight w:val="none"/>
        </w:rPr>
        <w:t>、供应商的资格证明材料</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★①供应商基本情况表（格式见第五章）</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★②有效的新版“营业执照”或《事业单位法人证书》或其他依法成立组织的证明文件（必须具有，如能够在线查询的材料，请提供国家有关部门规定查询的网址链接，原件备查）。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★③有效的税务登记证（必须具有，如能够在线查询的材料，请提供国家有关部门规定查询的网址链接，原件备查）；（若已经取得“三证合一”的可不提供）</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★④法定代表人（负责人）完整有效的身份证复印件（第二代身份证必须提供正反面复印件）。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★⑤法定代表人（负责人）授权委托书(格式见第五章) 和委托代理人完整有效的身份证复印件（委托代理时必须提供。第二代身份证必须提供正反面复印件）。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★⑥供应商参加本项目磋商时上一年度（2021年）的年度财务报告复印件（如供应商为参加本项目磋商当年新成立公司的，应提供于公司成立之日后的财务报表），原件备查；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⑦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⑧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★⑨参加本采购活动前三年内在经营活动中没有重大违法记录的书面声明（格式见第五章）。</w:t>
      </w:r>
    </w:p>
    <w:p>
      <w:pPr>
        <w:spacing w:line="360" w:lineRule="auto"/>
        <w:ind w:left="420" w:left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fldChar w:fldCharType="begin"/>
      </w:r>
      <w:r>
        <w:rPr>
          <w:rFonts w:hint="eastAsia" w:ascii="宋体" w:hAnsi="宋体" w:cs="宋体"/>
          <w:color w:val="auto"/>
          <w:kern w:val="0"/>
          <w:sz w:val="24"/>
          <w:szCs w:val="28"/>
          <w:highlight w:val="none"/>
        </w:rPr>
        <w:instrText xml:space="preserve"> = 10 \* GB3 \* MERGEFORMAT </w:instrText>
      </w:r>
      <w:r>
        <w:rPr>
          <w:rFonts w:hint="eastAsia" w:ascii="宋体" w:hAnsi="宋体" w:cs="宋体"/>
          <w:color w:val="auto"/>
          <w:kern w:val="0"/>
          <w:sz w:val="24"/>
          <w:szCs w:val="28"/>
          <w:highlight w:val="none"/>
        </w:rPr>
        <w:fldChar w:fldCharType="separate"/>
      </w:r>
      <w:r>
        <w:rPr>
          <w:color w:val="auto"/>
          <w:highlight w:val="none"/>
        </w:rPr>
        <w:t>⑩</w:t>
      </w:r>
      <w:r>
        <w:rPr>
          <w:rFonts w:hint="eastAsia" w:ascii="宋体" w:hAnsi="宋体" w:cs="宋体"/>
          <w:color w:val="auto"/>
          <w:kern w:val="0"/>
          <w:sz w:val="24"/>
          <w:szCs w:val="28"/>
          <w:highlight w:val="none"/>
        </w:rPr>
        <w:fldChar w:fldCharType="end"/>
      </w:r>
      <w:r>
        <w:rPr>
          <w:rFonts w:hint="eastAsia" w:ascii="宋体" w:hAnsi="宋体" w:cs="宋体"/>
          <w:color w:val="auto"/>
          <w:kern w:val="0"/>
          <w:sz w:val="24"/>
          <w:szCs w:val="28"/>
          <w:highlight w:val="none"/>
        </w:rPr>
        <w:t>符合磋商文件要求的供应商特定资格条件的证明材料：无。</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⑪符合相关扶持政策的证明材料：</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10.联合体协议(格式附后)</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lang w:eastAsia="zh-CN"/>
        </w:rPr>
        <w:t>五</w:t>
      </w:r>
      <w:r>
        <w:rPr>
          <w:rFonts w:hint="eastAsia" w:ascii="宋体" w:hAnsi="宋体" w:cs="宋体"/>
          <w:color w:val="auto"/>
          <w:kern w:val="0"/>
          <w:sz w:val="24"/>
          <w:szCs w:val="28"/>
          <w:highlight w:val="none"/>
        </w:rPr>
        <w:t>、磋商须知前附表要求供应商提供的其他资料（格式附后）</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lang w:eastAsia="zh-CN"/>
        </w:rPr>
        <w:t>六</w:t>
      </w:r>
      <w:r>
        <w:rPr>
          <w:rFonts w:hint="eastAsia" w:ascii="宋体" w:hAnsi="宋体" w:cs="宋体"/>
          <w:color w:val="auto"/>
          <w:kern w:val="0"/>
          <w:sz w:val="24"/>
          <w:szCs w:val="28"/>
          <w:highlight w:val="none"/>
        </w:rPr>
        <w:t>、供应商认为需提供的其他资料</w:t>
      </w:r>
    </w:p>
    <w:p>
      <w:pPr>
        <w:ind w:firstLine="480" w:firstLineChars="200"/>
        <w:jc w:val="center"/>
        <w:rPr>
          <w:rFonts w:ascii="宋体" w:hAnsi="宋体" w:cs="宋体"/>
          <w:color w:val="auto"/>
          <w:kern w:val="0"/>
          <w:sz w:val="24"/>
          <w:szCs w:val="28"/>
          <w:highlight w:val="none"/>
        </w:rPr>
      </w:pPr>
    </w:p>
    <w:p>
      <w:pPr>
        <w:ind w:firstLine="480" w:firstLineChars="200"/>
        <w:jc w:val="center"/>
        <w:rPr>
          <w:rFonts w:ascii="宋体" w:hAnsi="宋体" w:cs="宋体"/>
          <w:color w:val="auto"/>
          <w:kern w:val="0"/>
          <w:sz w:val="24"/>
          <w:szCs w:val="28"/>
          <w:highlight w:val="none"/>
        </w:rPr>
      </w:pPr>
    </w:p>
    <w:p>
      <w:pPr>
        <w:ind w:firstLine="480" w:firstLineChars="200"/>
        <w:jc w:val="center"/>
        <w:rPr>
          <w:rFonts w:ascii="宋体" w:hAnsi="宋体" w:cs="宋体"/>
          <w:b/>
          <w:color w:val="auto"/>
          <w:kern w:val="0"/>
          <w:sz w:val="28"/>
          <w:szCs w:val="28"/>
          <w:highlight w:val="none"/>
        </w:rPr>
      </w:pPr>
      <w:r>
        <w:rPr>
          <w:rFonts w:hint="eastAsia" w:ascii="宋体" w:hAnsi="宋体" w:cs="宋体"/>
          <w:color w:val="auto"/>
          <w:kern w:val="0"/>
          <w:sz w:val="24"/>
          <w:szCs w:val="28"/>
          <w:highlight w:val="none"/>
        </w:rPr>
        <w:br w:type="page"/>
      </w:r>
      <w:r>
        <w:rPr>
          <w:rFonts w:hint="eastAsia" w:ascii="宋体" w:hAnsi="宋体" w:cs="宋体"/>
          <w:b/>
          <w:color w:val="auto"/>
          <w:kern w:val="0"/>
          <w:sz w:val="28"/>
          <w:szCs w:val="28"/>
          <w:highlight w:val="none"/>
        </w:rPr>
        <w:t>第二部分　技术部分</w:t>
      </w:r>
    </w:p>
    <w:p>
      <w:pPr>
        <w:ind w:firstLine="482" w:firstLineChars="200"/>
        <w:jc w:val="center"/>
        <w:rPr>
          <w:rFonts w:ascii="宋体" w:hAnsi="宋体" w:cs="宋体"/>
          <w:b/>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一、服务方案</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二、技术条款偏离表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三、供应商服务承诺（应包含售后服务承诺）</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四、用于本项目人员简历表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五、磋商标的物符合磋商文件要求的相关证明文件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六、其他资料</w:t>
      </w:r>
    </w:p>
    <w:p>
      <w:pPr>
        <w:spacing w:line="360" w:lineRule="auto"/>
        <w:ind w:firstLine="480" w:firstLineChars="200"/>
        <w:jc w:val="center"/>
        <w:rPr>
          <w:rFonts w:ascii="宋体" w:hAnsi="宋体" w:cs="宋体"/>
          <w:b/>
          <w:color w:val="auto"/>
          <w:kern w:val="0"/>
          <w:sz w:val="32"/>
          <w:szCs w:val="32"/>
          <w:highlight w:val="none"/>
        </w:rPr>
      </w:pPr>
      <w:r>
        <w:rPr>
          <w:rFonts w:hint="eastAsia" w:ascii="宋体" w:hAnsi="宋体" w:cs="宋体"/>
          <w:color w:val="auto"/>
          <w:kern w:val="0"/>
          <w:sz w:val="24"/>
          <w:szCs w:val="28"/>
          <w:highlight w:val="none"/>
        </w:rPr>
        <w:br w:type="page"/>
      </w:r>
      <w:r>
        <w:rPr>
          <w:rFonts w:hint="eastAsia" w:ascii="宋体" w:hAnsi="宋体" w:cs="宋体"/>
          <w:b/>
          <w:color w:val="auto"/>
          <w:kern w:val="0"/>
          <w:sz w:val="32"/>
          <w:szCs w:val="32"/>
          <w:highlight w:val="none"/>
        </w:rPr>
        <w:t>第一部分　商务部分</w:t>
      </w:r>
    </w:p>
    <w:p>
      <w:pPr>
        <w:ind w:firstLine="482" w:firstLineChars="200"/>
        <w:rPr>
          <w:rFonts w:ascii="宋体" w:hAnsi="宋体" w:cs="宋体"/>
          <w:b/>
          <w:color w:val="auto"/>
          <w:kern w:val="0"/>
          <w:sz w:val="24"/>
          <w:szCs w:val="28"/>
          <w:highlight w:val="none"/>
        </w:rPr>
      </w:pPr>
      <w:r>
        <w:rPr>
          <w:rFonts w:hint="eastAsia" w:ascii="宋体" w:hAnsi="宋体" w:cs="宋体"/>
          <w:b/>
          <w:color w:val="auto"/>
          <w:kern w:val="0"/>
          <w:sz w:val="24"/>
          <w:szCs w:val="28"/>
          <w:highlight w:val="none"/>
        </w:rPr>
        <w:t>一、磋商响应声明</w:t>
      </w:r>
    </w:p>
    <w:p>
      <w:pPr>
        <w:keepNext/>
        <w:keepLines/>
        <w:spacing w:before="240" w:after="64" w:line="319" w:lineRule="auto"/>
        <w:jc w:val="center"/>
        <w:outlineLvl w:val="5"/>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磋商响应声明</w:t>
      </w:r>
    </w:p>
    <w:p>
      <w:pPr>
        <w:spacing w:line="360" w:lineRule="auto"/>
        <w:rPr>
          <w:rFonts w:ascii="宋体" w:hAnsi="宋体" w:cs="宋体"/>
          <w:color w:val="auto"/>
          <w:kern w:val="0"/>
          <w:sz w:val="24"/>
          <w:szCs w:val="28"/>
          <w:highlight w:val="none"/>
        </w:rPr>
      </w:pPr>
    </w:p>
    <w:p>
      <w:pPr>
        <w:spacing w:line="360" w:lineRule="auto"/>
        <w:rPr>
          <w:rFonts w:ascii="宋体" w:hAnsi="宋体" w:cs="宋体"/>
          <w:color w:val="auto"/>
          <w:kern w:val="0"/>
          <w:sz w:val="24"/>
          <w:szCs w:val="28"/>
          <w:highlight w:val="none"/>
        </w:rPr>
      </w:pPr>
      <w:r>
        <w:rPr>
          <w:rFonts w:hint="eastAsia" w:ascii="宋体" w:hAnsi="宋体" w:cs="宋体"/>
          <w:color w:val="auto"/>
          <w:kern w:val="0"/>
          <w:sz w:val="24"/>
          <w:szCs w:val="28"/>
          <w:highlight w:val="none"/>
        </w:rPr>
        <w:t>致____________(采购人或采购代理机构)：</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一、我方同意在磋商响应有效期内遵守本响应文件中的承诺，且在此期限期满之前均具有法律约束力。</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二、我方提交纸质响应文件正本______份和副本______份，并保证响应文件提供的数据和材料是真实、准确的。</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三、我方愿意向贵方提供任何与本项采购有关的数据、情况和技术资料。若贵方需要，我方愿意提供我方作出的一切承诺的证明材料。</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四、我方愿意按磋商文件规定和磋商小组要求重新提交响应文件和最后报价。</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五、我方保证在获得成交资格后，按照磋商文件确定的事项签订采购合同，履行双方所签订的合同，并承担合同规定的责任和义务。</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附件1－1：法定代表人（负责人）身份证明复印件(法定代表人（负责人）参加磋商)</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附件1－2：法定代表人（负责人）授权书(授权代表参加磋商)</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附件1－3：授权委托书(自然人提供)</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法定代表人（负责人）或授权代表(签字或盖章)：____________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日期：______年____月____日</w:t>
      </w:r>
    </w:p>
    <w:p>
      <w:pPr>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br w:type="page"/>
      </w:r>
      <w:r>
        <w:rPr>
          <w:rFonts w:hint="eastAsia" w:ascii="宋体" w:hAnsi="宋体" w:cs="宋体"/>
          <w:color w:val="auto"/>
          <w:kern w:val="0"/>
          <w:sz w:val="24"/>
          <w:szCs w:val="28"/>
          <w:highlight w:val="none"/>
        </w:rPr>
        <w:t>　附件1－1　法定代表人（负责人）身份证明复印件(法定代表人（负责人）参加磋商)</w:t>
      </w:r>
    </w:p>
    <w:p>
      <w:pPr>
        <w:ind w:firstLine="480" w:firstLineChars="200"/>
        <w:rPr>
          <w:rFonts w:ascii="宋体" w:hAnsi="宋体" w:cs="宋体"/>
          <w:color w:val="auto"/>
          <w:kern w:val="0"/>
          <w:sz w:val="24"/>
          <w:szCs w:val="28"/>
          <w:highlight w:val="none"/>
        </w:rPr>
      </w:pPr>
    </w:p>
    <w:tbl>
      <w:tblPr>
        <w:tblStyle w:val="43"/>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8" w:hRule="atLeast"/>
          <w:jc w:val="center"/>
        </w:trPr>
        <w:tc>
          <w:tcPr>
            <w:tcW w:w="4983" w:type="dxa"/>
            <w:tcBorders>
              <w:top w:val="single" w:color="auto" w:sz="4" w:space="0"/>
              <w:bottom w:val="single" w:color="auto" w:sz="4" w:space="0"/>
            </w:tcBorders>
            <w:vAlign w:val="center"/>
          </w:tcPr>
          <w:p>
            <w:pPr>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法定代表人（负责人）身份证明复印件</w:t>
            </w:r>
          </w:p>
          <w:p>
            <w:pPr>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第二代身份证必须提供正反面复印件</w:t>
            </w:r>
          </w:p>
        </w:tc>
      </w:tr>
    </w:tbl>
    <w:p>
      <w:pPr>
        <w:ind w:firstLine="480" w:firstLineChars="200"/>
        <w:rPr>
          <w:rFonts w:ascii="宋体" w:hAnsi="宋体" w:cs="宋体"/>
          <w:color w:val="auto"/>
          <w:kern w:val="0"/>
          <w:sz w:val="24"/>
          <w:szCs w:val="28"/>
          <w:highlight w:val="none"/>
        </w:rPr>
      </w:pPr>
    </w:p>
    <w:p>
      <w:pPr>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附件1－2</w:t>
      </w:r>
    </w:p>
    <w:p>
      <w:pPr>
        <w:keepNext/>
        <w:keepLines/>
        <w:spacing w:before="240" w:after="64" w:line="319" w:lineRule="auto"/>
        <w:jc w:val="center"/>
        <w:outlineLvl w:val="5"/>
        <w:rPr>
          <w:rFonts w:ascii="宋体" w:hAnsi="宋体" w:cs="宋体"/>
          <w:b/>
          <w:bCs/>
          <w:color w:val="auto"/>
          <w:kern w:val="0"/>
          <w:sz w:val="24"/>
          <w:szCs w:val="28"/>
          <w:highlight w:val="none"/>
        </w:rPr>
      </w:pPr>
      <w:r>
        <w:rPr>
          <w:rFonts w:hint="eastAsia" w:ascii="宋体" w:hAnsi="宋体" w:cs="宋体"/>
          <w:b/>
          <w:bCs/>
          <w:color w:val="auto"/>
          <w:kern w:val="0"/>
          <w:sz w:val="24"/>
          <w:szCs w:val="28"/>
          <w:highlight w:val="none"/>
        </w:rPr>
        <w:t>法定代表人（负责人）授权委托书</w:t>
      </w:r>
    </w:p>
    <w:p>
      <w:pPr>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致：____________(采购人或采购代理机构)</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____________(供应商名称)的法定代表人（负责人）(姓名、职务)授权____________(磋商代表姓名、职务)为本公司的磋商代表，就____________(项目名称)磋商及相关事务代表本公司处理与之有关的一切事务。</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委托期限：____________________。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代理人无转委托权。</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本授权书于______年____月____日签字生效，特此声明。</w:t>
      </w:r>
    </w:p>
    <w:p>
      <w:pPr>
        <w:ind w:firstLine="480" w:firstLineChars="200"/>
        <w:rPr>
          <w:rFonts w:ascii="宋体" w:hAnsi="宋体" w:cs="宋体"/>
          <w:color w:val="auto"/>
          <w:kern w:val="0"/>
          <w:sz w:val="24"/>
          <w:szCs w:val="28"/>
          <w:highlight w:val="none"/>
        </w:rPr>
      </w:pPr>
    </w:p>
    <w:tbl>
      <w:tblPr>
        <w:tblStyle w:val="43"/>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ascii="宋体" w:hAnsi="宋体" w:cs="宋体"/>
                <w:color w:val="auto"/>
                <w:sz w:val="24"/>
                <w:szCs w:val="28"/>
                <w:highlight w:val="none"/>
              </w:rPr>
            </w:pPr>
            <w:r>
              <w:rPr>
                <w:rFonts w:hint="eastAsia" w:ascii="宋体" w:hAnsi="宋体" w:cs="宋体"/>
                <w:color w:val="auto"/>
                <w:sz w:val="24"/>
                <w:szCs w:val="28"/>
                <w:highlight w:val="none"/>
              </w:rPr>
              <w:t>被授权代表身份证正反面复印件</w:t>
            </w:r>
          </w:p>
        </w:tc>
      </w:tr>
    </w:tbl>
    <w:p>
      <w:pPr>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法定代表人（负责人）(签字或盖章)：____________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授权代表(签字或签章)：____________</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jc w:val="right"/>
        <w:rPr>
          <w:rFonts w:ascii="宋体" w:hAnsi="宋体" w:cs="宋体"/>
          <w:color w:val="auto"/>
          <w:kern w:val="0"/>
          <w:sz w:val="24"/>
          <w:szCs w:val="28"/>
          <w:highlight w:val="none"/>
        </w:rPr>
      </w:pPr>
      <w:r>
        <w:rPr>
          <w:rFonts w:hint="eastAsia" w:ascii="宋体" w:hAnsi="宋体" w:cs="宋体"/>
          <w:color w:val="auto"/>
          <w:kern w:val="0"/>
          <w:sz w:val="24"/>
          <w:szCs w:val="28"/>
          <w:highlight w:val="none"/>
        </w:rPr>
        <w:t>______年____月____日</w:t>
      </w:r>
    </w:p>
    <w:p>
      <w:pPr>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br w:type="page"/>
      </w:r>
      <w:r>
        <w:rPr>
          <w:rFonts w:hint="eastAsia" w:ascii="宋体" w:hAnsi="宋体" w:cs="宋体"/>
          <w:color w:val="auto"/>
          <w:kern w:val="0"/>
          <w:sz w:val="24"/>
          <w:szCs w:val="28"/>
          <w:highlight w:val="none"/>
        </w:rPr>
        <w:t>二、报价一览表及分项价格表</w:t>
      </w:r>
    </w:p>
    <w:p>
      <w:pPr>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xml:space="preserve"> 　　附件2－1</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报价一览表</w:t>
      </w:r>
    </w:p>
    <w:p>
      <w:pPr>
        <w:spacing w:line="360" w:lineRule="auto"/>
        <w:ind w:firstLine="480" w:firstLineChars="200"/>
        <w:jc w:val="center"/>
        <w:rPr>
          <w:rFonts w:ascii="宋体" w:hAnsi="宋体" w:cs="宋体"/>
          <w:color w:val="auto"/>
          <w:kern w:val="0"/>
          <w:sz w:val="24"/>
          <w:szCs w:val="28"/>
          <w:highlight w:val="none"/>
        </w:rPr>
      </w:pPr>
    </w:p>
    <w:tbl>
      <w:tblPr>
        <w:tblStyle w:val="4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序号</w:t>
            </w:r>
          </w:p>
        </w:tc>
        <w:tc>
          <w:tcPr>
            <w:tcW w:w="1559"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项目名称</w:t>
            </w:r>
          </w:p>
        </w:tc>
        <w:tc>
          <w:tcPr>
            <w:tcW w:w="3109" w:type="dxa"/>
            <w:vAlign w:val="center"/>
          </w:tcPr>
          <w:p>
            <w:pPr>
              <w:spacing w:line="360" w:lineRule="auto"/>
              <w:jc w:val="center"/>
              <w:rPr>
                <w:rFonts w:ascii="宋体" w:hAnsi="宋体" w:cs="宋体"/>
                <w:color w:val="auto"/>
                <w:kern w:val="0"/>
                <w:sz w:val="24"/>
                <w:szCs w:val="28"/>
                <w:highlight w:val="none"/>
              </w:rPr>
            </w:pPr>
          </w:p>
        </w:tc>
        <w:tc>
          <w:tcPr>
            <w:tcW w:w="1236"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项目编号</w:t>
            </w:r>
          </w:p>
        </w:tc>
        <w:tc>
          <w:tcPr>
            <w:tcW w:w="1724"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1</w:t>
            </w:r>
          </w:p>
        </w:tc>
        <w:tc>
          <w:tcPr>
            <w:tcW w:w="1559"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包号</w:t>
            </w:r>
          </w:p>
        </w:tc>
        <w:tc>
          <w:tcPr>
            <w:tcW w:w="6069" w:type="dxa"/>
            <w:gridSpan w:val="3"/>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2</w:t>
            </w:r>
          </w:p>
        </w:tc>
        <w:tc>
          <w:tcPr>
            <w:tcW w:w="1559"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报价</w:t>
            </w:r>
          </w:p>
        </w:tc>
        <w:tc>
          <w:tcPr>
            <w:tcW w:w="6069" w:type="dxa"/>
            <w:gridSpan w:val="3"/>
            <w:vAlign w:val="center"/>
          </w:tcPr>
          <w:p>
            <w:pPr>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大写：人民币______元</w:t>
            </w:r>
          </w:p>
          <w:p>
            <w:pPr>
              <w:spacing w:line="360" w:lineRule="auto"/>
              <w:jc w:val="left"/>
              <w:rPr>
                <w:color w:val="auto"/>
                <w:highlight w:val="none"/>
              </w:rPr>
            </w:pPr>
            <w:r>
              <w:rPr>
                <w:rFonts w:hint="eastAsia" w:ascii="宋体" w:hAnsi="宋体" w:cs="宋体"/>
                <w:color w:val="auto"/>
                <w:kern w:val="0"/>
                <w:sz w:val="24"/>
                <w:szCs w:val="28"/>
                <w:highlight w:val="none"/>
              </w:rPr>
              <w:t>小写：¥______（小写请保留至小数点后两位）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3</w:t>
            </w:r>
          </w:p>
        </w:tc>
        <w:tc>
          <w:tcPr>
            <w:tcW w:w="1559"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服务期限</w:t>
            </w:r>
          </w:p>
        </w:tc>
        <w:tc>
          <w:tcPr>
            <w:tcW w:w="6069" w:type="dxa"/>
            <w:gridSpan w:val="3"/>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4</w:t>
            </w:r>
          </w:p>
        </w:tc>
        <w:tc>
          <w:tcPr>
            <w:tcW w:w="1559"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w:t>
            </w:r>
          </w:p>
        </w:tc>
        <w:tc>
          <w:tcPr>
            <w:tcW w:w="6069" w:type="dxa"/>
            <w:gridSpan w:val="3"/>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宋体" w:hAnsi="宋体" w:cs="宋体"/>
                <w:color w:val="auto"/>
                <w:kern w:val="0"/>
                <w:sz w:val="24"/>
                <w:szCs w:val="28"/>
                <w:highlight w:val="none"/>
              </w:rPr>
            </w:pPr>
          </w:p>
        </w:tc>
        <w:tc>
          <w:tcPr>
            <w:tcW w:w="1559"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备注</w:t>
            </w:r>
          </w:p>
        </w:tc>
        <w:tc>
          <w:tcPr>
            <w:tcW w:w="6069" w:type="dxa"/>
            <w:gridSpan w:val="3"/>
            <w:vAlign w:val="center"/>
          </w:tcPr>
          <w:p>
            <w:pPr>
              <w:spacing w:line="360" w:lineRule="auto"/>
              <w:jc w:val="center"/>
              <w:rPr>
                <w:rFonts w:ascii="宋体" w:hAnsi="宋体" w:cs="宋体"/>
                <w:color w:val="auto"/>
                <w:kern w:val="0"/>
                <w:sz w:val="24"/>
                <w:szCs w:val="28"/>
                <w:highlight w:val="none"/>
              </w:rPr>
            </w:pPr>
          </w:p>
        </w:tc>
      </w:tr>
    </w:tbl>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说明：</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1.所有价格均用人民币表示，单位为元，精确到小数点后两位数。</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2.此表的总报价是所有需采购方支付的本次采购标的金额总数，即磋商总价。磋商总价须包含完成用户需求要求所有内容的全部费用。</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法定代表人（负责人）或其授权代表(签字或盖章)：____________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日期：______年____月____日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br w:type="page"/>
      </w:r>
      <w:r>
        <w:rPr>
          <w:rFonts w:hint="eastAsia" w:ascii="宋体" w:hAnsi="宋体" w:cs="宋体"/>
          <w:color w:val="auto"/>
          <w:kern w:val="0"/>
          <w:sz w:val="24"/>
          <w:szCs w:val="28"/>
          <w:highlight w:val="none"/>
        </w:rPr>
        <w:t>　　附件2－2</w:t>
      </w:r>
    </w:p>
    <w:p>
      <w:pPr>
        <w:spacing w:line="360" w:lineRule="auto"/>
        <w:ind w:firstLine="480" w:firstLineChars="200"/>
        <w:rPr>
          <w:rFonts w:ascii="宋体" w:hAnsi="宋体" w:cs="宋体"/>
          <w:color w:val="auto"/>
          <w:kern w:val="0"/>
          <w:sz w:val="24"/>
          <w:szCs w:val="28"/>
          <w:highlight w:val="none"/>
        </w:rPr>
      </w:pPr>
    </w:p>
    <w:p>
      <w:pPr>
        <w:spacing w:line="360" w:lineRule="auto"/>
        <w:ind w:firstLine="602" w:firstLineChars="200"/>
        <w:jc w:val="center"/>
        <w:rPr>
          <w:rFonts w:ascii="宋体" w:hAnsi="宋体" w:cs="宋体"/>
          <w:color w:val="auto"/>
          <w:kern w:val="0"/>
          <w:sz w:val="24"/>
          <w:szCs w:val="28"/>
          <w:highlight w:val="none"/>
        </w:rPr>
      </w:pPr>
      <w:r>
        <w:rPr>
          <w:rFonts w:hint="eastAsia" w:ascii="宋体" w:hAnsi="宋体" w:cs="宋体"/>
          <w:b/>
          <w:bCs/>
          <w:color w:val="auto"/>
          <w:kern w:val="0"/>
          <w:sz w:val="30"/>
          <w:szCs w:val="30"/>
          <w:highlight w:val="none"/>
        </w:rPr>
        <w:t>分项价格表</w:t>
      </w:r>
    </w:p>
    <w:p>
      <w:pPr>
        <w:spacing w:line="360" w:lineRule="auto"/>
        <w:ind w:firstLine="480" w:firstLineChars="200"/>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(服务类项目适用)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项目名称：</w:t>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项目编号：　</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包号：</w:t>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 xml:space="preserve">   金额单位：元</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序号</w:t>
            </w:r>
          </w:p>
        </w:tc>
        <w:tc>
          <w:tcPr>
            <w:tcW w:w="1843"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服务内容</w:t>
            </w:r>
          </w:p>
        </w:tc>
        <w:tc>
          <w:tcPr>
            <w:tcW w:w="2552"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报价</w:t>
            </w:r>
          </w:p>
        </w:tc>
        <w:tc>
          <w:tcPr>
            <w:tcW w:w="3546"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备注</w:t>
            </w:r>
          </w:p>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1</w:t>
            </w:r>
          </w:p>
        </w:tc>
        <w:tc>
          <w:tcPr>
            <w:tcW w:w="1843" w:type="dxa"/>
            <w:vAlign w:val="center"/>
          </w:tcPr>
          <w:p>
            <w:pPr>
              <w:spacing w:line="360" w:lineRule="auto"/>
              <w:jc w:val="center"/>
              <w:rPr>
                <w:rFonts w:ascii="宋体" w:hAnsi="宋体" w:cs="宋体"/>
                <w:color w:val="auto"/>
                <w:kern w:val="0"/>
                <w:sz w:val="24"/>
                <w:szCs w:val="28"/>
                <w:highlight w:val="none"/>
              </w:rPr>
            </w:pPr>
          </w:p>
        </w:tc>
        <w:tc>
          <w:tcPr>
            <w:tcW w:w="2552" w:type="dxa"/>
            <w:vAlign w:val="center"/>
          </w:tcPr>
          <w:p>
            <w:pPr>
              <w:spacing w:line="360" w:lineRule="auto"/>
              <w:jc w:val="center"/>
              <w:rPr>
                <w:rFonts w:ascii="宋体" w:hAnsi="宋体" w:cs="宋体"/>
                <w:color w:val="auto"/>
                <w:kern w:val="0"/>
                <w:sz w:val="24"/>
                <w:szCs w:val="28"/>
                <w:highlight w:val="none"/>
              </w:rPr>
            </w:pPr>
          </w:p>
        </w:tc>
        <w:tc>
          <w:tcPr>
            <w:tcW w:w="354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2</w:t>
            </w:r>
          </w:p>
        </w:tc>
        <w:tc>
          <w:tcPr>
            <w:tcW w:w="1843" w:type="dxa"/>
            <w:vAlign w:val="center"/>
          </w:tcPr>
          <w:p>
            <w:pPr>
              <w:spacing w:line="360" w:lineRule="auto"/>
              <w:jc w:val="center"/>
              <w:rPr>
                <w:rFonts w:ascii="宋体" w:hAnsi="宋体" w:cs="宋体"/>
                <w:color w:val="auto"/>
                <w:kern w:val="0"/>
                <w:sz w:val="24"/>
                <w:szCs w:val="28"/>
                <w:highlight w:val="none"/>
              </w:rPr>
            </w:pPr>
          </w:p>
        </w:tc>
        <w:tc>
          <w:tcPr>
            <w:tcW w:w="2552" w:type="dxa"/>
            <w:vAlign w:val="center"/>
          </w:tcPr>
          <w:p>
            <w:pPr>
              <w:spacing w:line="360" w:lineRule="auto"/>
              <w:jc w:val="center"/>
              <w:rPr>
                <w:rFonts w:ascii="宋体" w:hAnsi="宋体" w:cs="宋体"/>
                <w:color w:val="auto"/>
                <w:kern w:val="0"/>
                <w:sz w:val="24"/>
                <w:szCs w:val="28"/>
                <w:highlight w:val="none"/>
              </w:rPr>
            </w:pPr>
          </w:p>
        </w:tc>
        <w:tc>
          <w:tcPr>
            <w:tcW w:w="354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3</w:t>
            </w:r>
          </w:p>
        </w:tc>
        <w:tc>
          <w:tcPr>
            <w:tcW w:w="1843" w:type="dxa"/>
            <w:vAlign w:val="center"/>
          </w:tcPr>
          <w:p>
            <w:pPr>
              <w:spacing w:line="360" w:lineRule="auto"/>
              <w:jc w:val="center"/>
              <w:rPr>
                <w:rFonts w:ascii="宋体" w:hAnsi="宋体" w:cs="宋体"/>
                <w:color w:val="auto"/>
                <w:kern w:val="0"/>
                <w:sz w:val="24"/>
                <w:szCs w:val="28"/>
                <w:highlight w:val="none"/>
              </w:rPr>
            </w:pPr>
          </w:p>
        </w:tc>
        <w:tc>
          <w:tcPr>
            <w:tcW w:w="2552" w:type="dxa"/>
            <w:vAlign w:val="center"/>
          </w:tcPr>
          <w:p>
            <w:pPr>
              <w:spacing w:line="360" w:lineRule="auto"/>
              <w:jc w:val="center"/>
              <w:rPr>
                <w:rFonts w:ascii="宋体" w:hAnsi="宋体" w:cs="宋体"/>
                <w:color w:val="auto"/>
                <w:kern w:val="0"/>
                <w:sz w:val="24"/>
                <w:szCs w:val="28"/>
                <w:highlight w:val="none"/>
              </w:rPr>
            </w:pPr>
          </w:p>
        </w:tc>
        <w:tc>
          <w:tcPr>
            <w:tcW w:w="354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4</w:t>
            </w:r>
          </w:p>
        </w:tc>
        <w:tc>
          <w:tcPr>
            <w:tcW w:w="1843" w:type="dxa"/>
            <w:vAlign w:val="center"/>
          </w:tcPr>
          <w:p>
            <w:pPr>
              <w:spacing w:line="360" w:lineRule="auto"/>
              <w:jc w:val="center"/>
              <w:rPr>
                <w:rFonts w:ascii="宋体" w:hAnsi="宋体" w:cs="宋体"/>
                <w:color w:val="auto"/>
                <w:kern w:val="0"/>
                <w:sz w:val="24"/>
                <w:szCs w:val="28"/>
                <w:highlight w:val="none"/>
              </w:rPr>
            </w:pPr>
          </w:p>
        </w:tc>
        <w:tc>
          <w:tcPr>
            <w:tcW w:w="2552" w:type="dxa"/>
            <w:vAlign w:val="center"/>
          </w:tcPr>
          <w:p>
            <w:pPr>
              <w:spacing w:line="360" w:lineRule="auto"/>
              <w:jc w:val="center"/>
              <w:rPr>
                <w:rFonts w:ascii="宋体" w:hAnsi="宋体" w:cs="宋体"/>
                <w:color w:val="auto"/>
                <w:kern w:val="0"/>
                <w:sz w:val="24"/>
                <w:szCs w:val="28"/>
                <w:highlight w:val="none"/>
              </w:rPr>
            </w:pPr>
          </w:p>
        </w:tc>
        <w:tc>
          <w:tcPr>
            <w:tcW w:w="354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总计</w:t>
            </w:r>
          </w:p>
        </w:tc>
        <w:tc>
          <w:tcPr>
            <w:tcW w:w="6098" w:type="dxa"/>
            <w:gridSpan w:val="2"/>
            <w:vAlign w:val="center"/>
          </w:tcPr>
          <w:p>
            <w:pPr>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大写：人民币____________________元</w:t>
            </w:r>
          </w:p>
          <w:p>
            <w:pPr>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小写：¥__________________元</w:t>
            </w:r>
          </w:p>
        </w:tc>
      </w:tr>
    </w:tbl>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1.如本表格不适合供应商的实际情况，可根据本表格式自行制表填写。</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2.磋商报价包含实施和完成本项目需求要求所有内容的全部费用，此表报价总计应与“报价一览表”报价相一致。</w:t>
      </w:r>
    </w:p>
    <w:p>
      <w:pPr>
        <w:ind w:firstLine="562" w:firstLineChars="200"/>
        <w:rPr>
          <w:color w:val="auto"/>
          <w:highlight w:val="none"/>
        </w:rPr>
      </w:pPr>
      <w:r>
        <w:rPr>
          <w:rFonts w:hint="eastAsia" w:ascii="仿宋" w:hAnsi="仿宋" w:eastAsia="仿宋"/>
          <w:b/>
          <w:i/>
          <w:color w:val="auto"/>
          <w:sz w:val="28"/>
          <w:szCs w:val="28"/>
          <w:highlight w:val="none"/>
        </w:rPr>
        <w:t>采购单价的项目，应备注：预算单价和总额为采购控制价，供应商某一项项目内容超过单价上限和总额上限的，视为响应无效。</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法定代表人（负责人）或其授权代表(签字或盖章)：____________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日期：______年____月____日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br w:type="page"/>
      </w:r>
      <w:r>
        <w:rPr>
          <w:rFonts w:hint="eastAsia" w:ascii="宋体" w:hAnsi="宋体" w:cs="宋体"/>
          <w:color w:val="auto"/>
          <w:kern w:val="0"/>
          <w:sz w:val="24"/>
          <w:szCs w:val="28"/>
          <w:highlight w:val="none"/>
        </w:rPr>
        <w:t>　　　三、商务条款偏离表</w:t>
      </w:r>
    </w:p>
    <w:p>
      <w:pPr>
        <w:spacing w:line="360" w:lineRule="auto"/>
        <w:ind w:firstLine="480" w:firstLineChars="200"/>
        <w:rPr>
          <w:rFonts w:ascii="宋体" w:hAnsi="宋体" w:cs="宋体"/>
          <w:color w:val="auto"/>
          <w:kern w:val="0"/>
          <w:sz w:val="24"/>
          <w:szCs w:val="28"/>
          <w:highlight w:val="none"/>
        </w:rPr>
      </w:pPr>
    </w:p>
    <w:p>
      <w:pPr>
        <w:spacing w:line="360" w:lineRule="auto"/>
        <w:ind w:firstLine="602" w:firstLineChars="200"/>
        <w:jc w:val="center"/>
        <w:rPr>
          <w:rFonts w:ascii="宋体" w:hAnsi="宋体" w:cs="宋体"/>
          <w:color w:val="auto"/>
          <w:kern w:val="0"/>
          <w:sz w:val="24"/>
          <w:szCs w:val="28"/>
          <w:highlight w:val="none"/>
        </w:rPr>
      </w:pPr>
      <w:r>
        <w:rPr>
          <w:rFonts w:hint="eastAsia" w:ascii="宋体" w:hAnsi="宋体" w:cs="宋体"/>
          <w:b/>
          <w:bCs/>
          <w:color w:val="auto"/>
          <w:kern w:val="0"/>
          <w:sz w:val="30"/>
          <w:szCs w:val="30"/>
          <w:highlight w:val="none"/>
        </w:rPr>
        <w:t>商务条款偏离表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项目名称：</w:t>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项目编号：</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包号：</w:t>
      </w:r>
    </w:p>
    <w:tbl>
      <w:tblPr>
        <w:tblStyle w:val="4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序号</w:t>
            </w:r>
          </w:p>
        </w:tc>
        <w:tc>
          <w:tcPr>
            <w:tcW w:w="1861"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磋商文件条目号</w:t>
            </w:r>
          </w:p>
        </w:tc>
        <w:tc>
          <w:tcPr>
            <w:tcW w:w="1861"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磋商文件的商务条款</w:t>
            </w:r>
          </w:p>
        </w:tc>
        <w:tc>
          <w:tcPr>
            <w:tcW w:w="1861"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响应文件的商务条款</w:t>
            </w:r>
          </w:p>
        </w:tc>
        <w:tc>
          <w:tcPr>
            <w:tcW w:w="816"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偏离</w:t>
            </w:r>
          </w:p>
        </w:tc>
        <w:tc>
          <w:tcPr>
            <w:tcW w:w="816"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0"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1861"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c>
          <w:tcPr>
            <w:tcW w:w="816" w:type="dxa"/>
            <w:vAlign w:val="center"/>
          </w:tcPr>
          <w:p>
            <w:pPr>
              <w:spacing w:line="360" w:lineRule="auto"/>
              <w:jc w:val="center"/>
              <w:rPr>
                <w:rFonts w:ascii="宋体" w:hAnsi="宋体" w:cs="宋体"/>
                <w:color w:val="auto"/>
                <w:kern w:val="0"/>
                <w:sz w:val="24"/>
                <w:szCs w:val="28"/>
                <w:highlight w:val="none"/>
              </w:rPr>
            </w:pPr>
          </w:p>
        </w:tc>
      </w:tr>
    </w:tbl>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说明：（1）供应商应按项目采购需求中的商务条款要求，结合自身磋商情况对商务条款逐条响应。（2）当响应文件响应的商务内容完全响应采购文件要求时，供应商应注明“无偏离”；低于采购文件要求时，应注明“负偏离”；优于采购文件要求的，应注明“正偏离”。</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法定代表人（负责人）或授权代表(签字或盖章)：________________________</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jc w:val="right"/>
        <w:rPr>
          <w:rFonts w:ascii="宋体" w:hAnsi="宋体" w:cs="宋体"/>
          <w:color w:val="auto"/>
          <w:kern w:val="0"/>
          <w:sz w:val="24"/>
          <w:szCs w:val="28"/>
          <w:highlight w:val="none"/>
        </w:rPr>
      </w:pPr>
      <w:r>
        <w:rPr>
          <w:rFonts w:hint="eastAsia" w:ascii="宋体" w:hAnsi="宋体" w:cs="宋体"/>
          <w:color w:val="auto"/>
          <w:kern w:val="0"/>
          <w:sz w:val="24"/>
          <w:szCs w:val="28"/>
          <w:highlight w:val="none"/>
        </w:rPr>
        <w:t>______年____月____日</w:t>
      </w:r>
    </w:p>
    <w:p>
      <w:pPr>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br w:type="page"/>
      </w:r>
      <w:r>
        <w:rPr>
          <w:rFonts w:hint="eastAsia" w:ascii="宋体" w:hAnsi="宋体" w:cs="宋体"/>
          <w:color w:val="auto"/>
          <w:kern w:val="0"/>
          <w:sz w:val="24"/>
          <w:szCs w:val="28"/>
          <w:highlight w:val="none"/>
          <w:lang w:eastAsia="zh-CN"/>
        </w:rPr>
        <w:t>四</w:t>
      </w:r>
      <w:r>
        <w:rPr>
          <w:rFonts w:hint="eastAsia" w:ascii="宋体" w:hAnsi="宋体" w:cs="宋体"/>
          <w:color w:val="auto"/>
          <w:kern w:val="0"/>
          <w:sz w:val="24"/>
          <w:szCs w:val="28"/>
          <w:highlight w:val="none"/>
        </w:rPr>
        <w:t>、供应商的资格证明材料</w:t>
      </w:r>
    </w:p>
    <w:p>
      <w:pPr>
        <w:ind w:firstLine="480" w:firstLineChars="200"/>
        <w:rPr>
          <w:rFonts w:ascii="宋体" w:hAnsi="宋体" w:cs="宋体"/>
          <w:color w:val="auto"/>
          <w:kern w:val="0"/>
          <w:sz w:val="24"/>
          <w:szCs w:val="28"/>
          <w:highlight w:val="none"/>
        </w:rPr>
      </w:pPr>
    </w:p>
    <w:p>
      <w:pPr>
        <w:ind w:firstLine="602" w:firstLineChars="200"/>
        <w:jc w:val="center"/>
        <w:rPr>
          <w:rFonts w:ascii="宋体" w:hAnsi="宋体" w:cs="宋体"/>
          <w:b/>
          <w:color w:val="auto"/>
          <w:kern w:val="0"/>
          <w:sz w:val="24"/>
          <w:szCs w:val="28"/>
          <w:highlight w:val="none"/>
        </w:rPr>
      </w:pPr>
      <w:r>
        <w:rPr>
          <w:rFonts w:hint="eastAsia" w:ascii="宋体" w:hAnsi="宋体" w:cs="宋体"/>
          <w:b/>
          <w:color w:val="auto"/>
          <w:kern w:val="0"/>
          <w:sz w:val="30"/>
          <w:szCs w:val="30"/>
          <w:highlight w:val="none"/>
        </w:rPr>
        <w:t>供应商基本情况表</w:t>
      </w:r>
    </w:p>
    <w:p>
      <w:pPr>
        <w:pStyle w:val="20"/>
        <w:spacing w:line="360" w:lineRule="auto"/>
        <w:ind w:firstLine="480" w:firstLineChars="200"/>
        <w:rPr>
          <w:rFonts w:hAnsi="宋体"/>
          <w:color w:val="auto"/>
          <w:sz w:val="21"/>
          <w:szCs w:val="21"/>
          <w:highlight w:val="none"/>
        </w:rPr>
      </w:pPr>
      <w:r>
        <w:rPr>
          <w:rFonts w:hint="eastAsia" w:hAnsi="宋体" w:cs="宋体"/>
          <w:color w:val="auto"/>
          <w:sz w:val="24"/>
          <w:szCs w:val="28"/>
          <w:highlight w:val="none"/>
        </w:rPr>
        <w:t>　</w:t>
      </w:r>
      <w:r>
        <w:rPr>
          <w:rFonts w:hint="eastAsia" w:hAnsi="宋体"/>
          <w:color w:val="auto"/>
          <w:sz w:val="21"/>
          <w:szCs w:val="21"/>
          <w:highlight w:val="none"/>
        </w:rPr>
        <w:t>供应商：</w:t>
      </w:r>
      <w:r>
        <w:rPr>
          <w:rFonts w:hAnsi="宋体"/>
          <w:b/>
          <w:bCs/>
          <w:color w:val="auto"/>
          <w:sz w:val="21"/>
          <w:szCs w:val="21"/>
          <w:highlight w:val="none"/>
        </w:rPr>
        <w:t>(</w:t>
      </w:r>
      <w:r>
        <w:rPr>
          <w:rFonts w:hint="eastAsia" w:hAnsi="宋体"/>
          <w:b/>
          <w:bCs/>
          <w:color w:val="auto"/>
          <w:sz w:val="21"/>
          <w:szCs w:val="21"/>
          <w:highlight w:val="none"/>
        </w:rPr>
        <w:t>公章</w:t>
      </w:r>
      <w:r>
        <w:rPr>
          <w:rFonts w:hAnsi="宋体"/>
          <w:b/>
          <w:bCs/>
          <w:color w:val="auto"/>
          <w:sz w:val="21"/>
          <w:szCs w:val="21"/>
          <w:highlight w:val="none"/>
        </w:rPr>
        <w:t>)</w:t>
      </w:r>
    </w:p>
    <w:tbl>
      <w:tblPr>
        <w:tblStyle w:val="4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上年营业收入（2020年）</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olor w:val="auto"/>
                <w:kern w:val="2"/>
                <w:sz w:val="21"/>
                <w:szCs w:val="21"/>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olor w:val="auto"/>
                <w:kern w:val="2"/>
                <w:sz w:val="21"/>
                <w:szCs w:val="21"/>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bCs/>
                <w:color w:val="auto"/>
                <w:sz w:val="21"/>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r>
              <w:rPr>
                <w:rFonts w:hint="eastAsia" w:hAnsi="宋体" w:cs="宋体"/>
                <w:color w:val="auto"/>
                <w:kern w:val="2"/>
                <w:sz w:val="21"/>
                <w:szCs w:val="21"/>
                <w:highlight w:val="none"/>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center"/>
              <w:rPr>
                <w:rFonts w:hAnsi="宋体"/>
                <w:color w:val="auto"/>
                <w:kern w:val="2"/>
                <w:sz w:val="21"/>
                <w:szCs w:val="21"/>
                <w:highlight w:val="none"/>
              </w:rPr>
            </w:pPr>
          </w:p>
        </w:tc>
      </w:tr>
    </w:tbl>
    <w:p>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2.管理关系：是指不具有出资持股关系的其他单位之间存在的管理与被管理关系，如一些上下级关系的事业单位和团体组织。本表所指的管理关系仅限于直接管理关系，不包括间接的管理关系。</w:t>
      </w:r>
    </w:p>
    <w:p>
      <w:pPr>
        <w:pStyle w:val="2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3.供应商不存在直接控股股东或管理关系的，则填“无”。</w:t>
      </w:r>
    </w:p>
    <w:p>
      <w:pPr>
        <w:ind w:firstLine="480" w:firstLineChars="200"/>
        <w:rPr>
          <w:rFonts w:ascii="宋体" w:hAnsi="宋体" w:cs="宋体"/>
          <w:color w:val="auto"/>
          <w:kern w:val="0"/>
          <w:sz w:val="24"/>
          <w:szCs w:val="28"/>
          <w:highlight w:val="none"/>
        </w:rPr>
      </w:pP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备注：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★1.有效的新版“营业执照”或《事业单位法人证书》或其他依法成立组织的证明文件（必须具有，如能够在线查询的材料，请提供国家有关部门规定查询的网址链接，原件备查）。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★2.有效的税务登记证（必须具有，如能够在线查询的材料，请提供国家有关部门规定查询的网址链接，原件备查）；（若已经取得“三证合一”的可不提供）</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★3.法定代表人（负责人）完整有效的身份证复印件（第二代身份证必须提供正反面复印件）。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★4.法定代表人（负责人）授权委托书(格式见第五章) 和委托代理人完整有效的身份证复印件（委托代理时必须提供。第二代身份证必须提供正反面复印件）。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★5.供应商参加本项目磋商时上一年度（2021年）的年度财务报告复印件（如供应商为参加本项目磋商当年新成立公司的，应提供于公司成立之日后的财务报表），原件备查；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6.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7.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★8.参加本采购活动前三年内在经营活动中没有重大违法记录的书面声明（格式见第五章）。</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9.符合磋商文件要求的供应商特定资格条件的证明材料：无。</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10.符合相关扶持政策的证明材料：</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80" w:firstLineChars="200"/>
        <w:rPr>
          <w:rFonts w:ascii="宋体" w:hAnsi="宋体" w:cs="宋体"/>
          <w:color w:val="auto"/>
          <w:kern w:val="0"/>
          <w:sz w:val="24"/>
          <w:szCs w:val="28"/>
          <w:highlight w:val="none"/>
        </w:rPr>
      </w:pPr>
    </w:p>
    <w:p>
      <w:pPr>
        <w:keepNext/>
        <w:keepLines/>
        <w:spacing w:line="360" w:lineRule="auto"/>
        <w:outlineLvl w:val="5"/>
        <w:rPr>
          <w:rFonts w:ascii="宋体" w:hAnsi="宋体" w:cs="Calibri"/>
          <w:b/>
          <w:color w:val="auto"/>
          <w:sz w:val="28"/>
          <w:szCs w:val="22"/>
          <w:highlight w:val="none"/>
        </w:rPr>
      </w:pPr>
      <w:r>
        <w:rPr>
          <w:rFonts w:hint="eastAsia" w:ascii="宋体" w:hAnsi="宋体" w:cs="宋体"/>
          <w:b/>
          <w:color w:val="auto"/>
          <w:sz w:val="24"/>
          <w:highlight w:val="none"/>
        </w:rPr>
        <w:t>参加本采购活动前三年内在经营活动中没有重大违法记录的书面声明格式：</w:t>
      </w:r>
    </w:p>
    <w:p>
      <w:pPr>
        <w:keepNext/>
        <w:keepLines/>
        <w:spacing w:line="360" w:lineRule="auto"/>
        <w:jc w:val="center"/>
        <w:outlineLvl w:val="5"/>
        <w:rPr>
          <w:rFonts w:ascii="宋体" w:hAnsi="宋体" w:cs="Calibri"/>
          <w:b/>
          <w:color w:val="auto"/>
          <w:sz w:val="28"/>
          <w:szCs w:val="22"/>
          <w:highlight w:val="none"/>
        </w:rPr>
      </w:pPr>
    </w:p>
    <w:p>
      <w:pPr>
        <w:keepNext/>
        <w:keepLines/>
        <w:spacing w:line="360" w:lineRule="auto"/>
        <w:jc w:val="center"/>
        <w:outlineLvl w:val="5"/>
        <w:rPr>
          <w:rFonts w:ascii="宋体" w:hAnsi="宋体" w:cs="Calibri"/>
          <w:b/>
          <w:color w:val="auto"/>
          <w:sz w:val="32"/>
          <w:highlight w:val="none"/>
        </w:rPr>
      </w:pPr>
      <w:r>
        <w:rPr>
          <w:rFonts w:hint="eastAsia" w:ascii="宋体" w:hAnsi="宋体" w:cs="Calibri"/>
          <w:b/>
          <w:color w:val="auto"/>
          <w:sz w:val="32"/>
          <w:highlight w:val="none"/>
        </w:rPr>
        <w:t>参加采购活动前三年内在经营活动中</w:t>
      </w:r>
    </w:p>
    <w:p>
      <w:pPr>
        <w:keepNext/>
        <w:keepLines/>
        <w:spacing w:line="360" w:lineRule="auto"/>
        <w:jc w:val="center"/>
        <w:outlineLvl w:val="5"/>
        <w:rPr>
          <w:rFonts w:ascii="宋体" w:hAnsi="宋体" w:cs="Calibri"/>
          <w:b/>
          <w:color w:val="auto"/>
          <w:sz w:val="32"/>
          <w:highlight w:val="none"/>
        </w:rPr>
      </w:pPr>
      <w:r>
        <w:rPr>
          <w:rFonts w:hint="eastAsia" w:ascii="宋体" w:hAnsi="宋体" w:cs="Calibri"/>
          <w:b/>
          <w:color w:val="auto"/>
          <w:sz w:val="32"/>
          <w:highlight w:val="none"/>
        </w:rPr>
        <w:t>没有重大违法记录的书面声明</w:t>
      </w:r>
    </w:p>
    <w:p>
      <w:pPr>
        <w:keepNext/>
        <w:keepLines/>
        <w:spacing w:line="360" w:lineRule="auto"/>
        <w:jc w:val="center"/>
        <w:outlineLvl w:val="5"/>
        <w:rPr>
          <w:rFonts w:ascii="宋体" w:hAnsi="宋体" w:cs="Calibri"/>
          <w:b/>
          <w:color w:val="auto"/>
          <w:sz w:val="32"/>
          <w:highlight w:val="none"/>
        </w:rPr>
      </w:pPr>
    </w:p>
    <w:p>
      <w:pPr>
        <w:spacing w:line="360" w:lineRule="auto"/>
        <w:rPr>
          <w:rFonts w:ascii="宋体" w:hAnsi="宋体"/>
          <w:color w:val="auto"/>
          <w:sz w:val="24"/>
          <w:highlight w:val="none"/>
        </w:rPr>
      </w:pPr>
      <w:r>
        <w:rPr>
          <w:rFonts w:hint="eastAsia" w:ascii="宋体" w:hAnsi="宋体" w:cs="宋体"/>
          <w:color w:val="auto"/>
          <w:sz w:val="24"/>
          <w:highlight w:val="none"/>
        </w:rPr>
        <w:t>本单位郑重声明：</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我单位在参加采购活动前三年内在经营活动中没有《政府采购法》第二十二条第一款第</w:t>
      </w:r>
      <w:r>
        <w:rPr>
          <w:rFonts w:ascii="宋体" w:hAnsi="宋体"/>
          <w:color w:val="auto"/>
          <w:sz w:val="24"/>
          <w:highlight w:val="none"/>
        </w:rPr>
        <w:t>(</w:t>
      </w:r>
      <w:r>
        <w:rPr>
          <w:rFonts w:hint="eastAsia" w:ascii="宋体" w:hAnsi="宋体" w:cs="宋体"/>
          <w:color w:val="auto"/>
          <w:sz w:val="24"/>
          <w:highlight w:val="none"/>
        </w:rPr>
        <w:t>五</w:t>
      </w:r>
      <w:r>
        <w:rPr>
          <w:rFonts w:ascii="宋体" w:hAnsi="宋体"/>
          <w:color w:val="auto"/>
          <w:sz w:val="24"/>
          <w:highlight w:val="none"/>
        </w:rPr>
        <w:t>)</w:t>
      </w:r>
      <w:r>
        <w:rPr>
          <w:rFonts w:hint="eastAsia" w:ascii="宋体" w:hAnsi="宋体" w:cs="宋体"/>
          <w:color w:val="auto"/>
          <w:sz w:val="24"/>
          <w:highlight w:val="none"/>
        </w:rPr>
        <w:t>项所称重大违法记录</w:t>
      </w:r>
      <w:r>
        <w:rPr>
          <w:rFonts w:hint="eastAsia" w:ascii="宋体" w:hAnsi="宋体" w:cs="MingLiU_HKSCS"/>
          <w:color w:val="auto"/>
          <w:sz w:val="24"/>
          <w:highlight w:val="none"/>
        </w:rPr>
        <w:t>，</w:t>
      </w:r>
      <w:r>
        <w:rPr>
          <w:rFonts w:hint="eastAsia" w:ascii="宋体" w:hAnsi="宋体" w:cs="宋体"/>
          <w:color w:val="auto"/>
          <w:sz w:val="24"/>
          <w:highlight w:val="none"/>
        </w:rPr>
        <w:t>包括：</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我单位或者其法定代表人（负责人）、董事、监事、高级管理人员未因经营活动中的违法行为受到刑事处罚或者责令停产停业、吊销许可证或者执照、较大数额罚款等行政处罚。</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特此声明！</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供应商名称</w:t>
      </w:r>
      <w:r>
        <w:rPr>
          <w:rFonts w:ascii="宋体" w:hAnsi="宋体"/>
          <w:color w:val="auto"/>
          <w:sz w:val="24"/>
          <w:highlight w:val="none"/>
        </w:rPr>
        <w:t>(</w:t>
      </w:r>
      <w:r>
        <w:rPr>
          <w:rFonts w:hint="eastAsia" w:ascii="宋体" w:hAnsi="宋体" w:cs="宋体"/>
          <w:color w:val="auto"/>
          <w:sz w:val="24"/>
          <w:highlight w:val="none"/>
        </w:rPr>
        <w:t>公章</w:t>
      </w:r>
      <w:r>
        <w:rPr>
          <w:rFonts w:ascii="宋体" w:hAnsi="宋体"/>
          <w:color w:val="auto"/>
          <w:sz w:val="24"/>
          <w:highlight w:val="none"/>
        </w:rPr>
        <w:t>)</w:t>
      </w:r>
      <w:r>
        <w:rPr>
          <w:rFonts w:hint="eastAsia" w:ascii="宋体" w:hAnsi="宋体" w:cs="宋体"/>
          <w:color w:val="auto"/>
          <w:sz w:val="24"/>
          <w:highlight w:val="none"/>
        </w:rPr>
        <w:t>：</w:t>
      </w:r>
      <w:r>
        <w:rPr>
          <w:rFonts w:ascii="宋体" w:hAnsi="宋体"/>
          <w:color w:val="auto"/>
          <w:sz w:val="24"/>
          <w:highlight w:val="none"/>
        </w:rPr>
        <w:t>____________</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法定代表人（负责人）或其授权代表</w:t>
      </w:r>
      <w:r>
        <w:rPr>
          <w:rFonts w:ascii="宋体" w:hAnsi="宋体"/>
          <w:color w:val="auto"/>
          <w:sz w:val="24"/>
          <w:highlight w:val="none"/>
        </w:rPr>
        <w:t>(</w:t>
      </w:r>
      <w:r>
        <w:rPr>
          <w:rFonts w:hint="eastAsia" w:ascii="宋体" w:hAnsi="宋体" w:cs="宋体"/>
          <w:color w:val="auto"/>
          <w:sz w:val="24"/>
          <w:highlight w:val="none"/>
        </w:rPr>
        <w:t>签字或盖章</w:t>
      </w:r>
      <w:r>
        <w:rPr>
          <w:rFonts w:ascii="宋体" w:hAnsi="宋体"/>
          <w:color w:val="auto"/>
          <w:sz w:val="24"/>
          <w:highlight w:val="none"/>
        </w:rPr>
        <w:t>)</w:t>
      </w:r>
      <w:r>
        <w:rPr>
          <w:rFonts w:hint="eastAsia" w:ascii="宋体" w:hAnsi="宋体" w:cs="宋体"/>
          <w:color w:val="auto"/>
          <w:sz w:val="24"/>
          <w:highlight w:val="none"/>
        </w:rPr>
        <w:t>：</w:t>
      </w:r>
      <w:r>
        <w:rPr>
          <w:rFonts w:ascii="宋体" w:hAnsi="宋体"/>
          <w:color w:val="auto"/>
          <w:sz w:val="24"/>
          <w:highlight w:val="none"/>
        </w:rPr>
        <w:t>____________</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日期：</w:t>
      </w:r>
      <w:r>
        <w:rPr>
          <w:rFonts w:ascii="宋体" w:hAnsi="宋体"/>
          <w:color w:val="auto"/>
          <w:sz w:val="24"/>
          <w:highlight w:val="none"/>
        </w:rPr>
        <w:t>______</w:t>
      </w:r>
      <w:r>
        <w:rPr>
          <w:rFonts w:hint="eastAsia" w:ascii="宋体" w:hAnsi="宋体" w:cs="宋体"/>
          <w:color w:val="auto"/>
          <w:sz w:val="24"/>
          <w:highlight w:val="none"/>
        </w:rPr>
        <w:t>年</w:t>
      </w:r>
      <w:r>
        <w:rPr>
          <w:rFonts w:ascii="宋体" w:hAnsi="宋体"/>
          <w:color w:val="auto"/>
          <w:sz w:val="24"/>
          <w:highlight w:val="none"/>
        </w:rPr>
        <w:t>____</w:t>
      </w:r>
      <w:r>
        <w:rPr>
          <w:rFonts w:hint="eastAsia" w:ascii="宋体" w:hAnsi="宋体" w:cs="宋体"/>
          <w:color w:val="auto"/>
          <w:sz w:val="24"/>
          <w:highlight w:val="none"/>
        </w:rPr>
        <w:t>月</w:t>
      </w:r>
      <w:r>
        <w:rPr>
          <w:rFonts w:ascii="宋体" w:hAnsi="宋体"/>
          <w:color w:val="auto"/>
          <w:sz w:val="24"/>
          <w:highlight w:val="none"/>
        </w:rPr>
        <w:t>____</w:t>
      </w:r>
      <w:r>
        <w:rPr>
          <w:rFonts w:hint="eastAsia" w:ascii="宋体" w:hAnsi="宋体" w:cs="宋体"/>
          <w:color w:val="auto"/>
          <w:sz w:val="24"/>
          <w:highlight w:val="none"/>
        </w:rPr>
        <w:t>日</w:t>
      </w:r>
    </w:p>
    <w:p>
      <w:pPr>
        <w:pStyle w:val="2"/>
        <w:spacing w:line="360" w:lineRule="auto"/>
        <w:rPr>
          <w:color w:val="auto"/>
          <w:highlight w:val="none"/>
        </w:rPr>
      </w:pPr>
    </w:p>
    <w:p>
      <w:pPr>
        <w:pStyle w:val="2"/>
        <w:rPr>
          <w:color w:val="auto"/>
          <w:highlight w:val="none"/>
        </w:rPr>
      </w:pPr>
    </w:p>
    <w:p>
      <w:pPr>
        <w:spacing w:line="360" w:lineRule="auto"/>
        <w:rPr>
          <w:rFonts w:ascii="宋体" w:hAnsi="宋体" w:cs="宋体"/>
          <w:color w:val="auto"/>
          <w:kern w:val="0"/>
          <w:sz w:val="24"/>
          <w:szCs w:val="28"/>
          <w:highlight w:val="none"/>
        </w:rPr>
      </w:pPr>
    </w:p>
    <w:p>
      <w:pPr>
        <w:spacing w:line="360" w:lineRule="auto"/>
        <w:rPr>
          <w:color w:val="auto"/>
          <w:highlight w:val="none"/>
        </w:rPr>
      </w:pPr>
      <w:r>
        <w:rPr>
          <w:rFonts w:hint="eastAsia" w:ascii="宋体" w:hAnsi="宋体" w:cs="宋体"/>
          <w:color w:val="auto"/>
          <w:kern w:val="0"/>
          <w:sz w:val="24"/>
          <w:szCs w:val="28"/>
          <w:highlight w:val="none"/>
        </w:rPr>
        <w:br w:type="page"/>
      </w:r>
      <w:r>
        <w:rPr>
          <w:rFonts w:hint="eastAsia" w:ascii="宋体" w:hAnsi="宋体" w:cs="宋体"/>
          <w:color w:val="auto"/>
          <w:kern w:val="0"/>
          <w:sz w:val="24"/>
          <w:szCs w:val="28"/>
          <w:highlight w:val="none"/>
        </w:rPr>
        <w:t>六、提供符合相关扶持政策的证明材料</w:t>
      </w:r>
    </w:p>
    <w:p>
      <w:pPr>
        <w:pStyle w:val="2"/>
        <w:rPr>
          <w:rFonts w:ascii="宋体" w:hAnsi="宋体" w:cs="宋体"/>
          <w:b/>
          <w:color w:val="auto"/>
          <w:sz w:val="24"/>
          <w:highlight w:val="none"/>
        </w:rPr>
      </w:pPr>
    </w:p>
    <w:p>
      <w:pPr>
        <w:pStyle w:val="2"/>
        <w:rPr>
          <w:rFonts w:ascii="宋体" w:hAnsi="宋体" w:cs="宋体"/>
          <w:b/>
          <w:color w:val="auto"/>
          <w:sz w:val="24"/>
          <w:highlight w:val="none"/>
        </w:rPr>
      </w:pPr>
      <w:r>
        <w:rPr>
          <w:rFonts w:hint="eastAsia" w:ascii="宋体" w:hAnsi="宋体" w:cs="宋体"/>
          <w:b/>
          <w:color w:val="auto"/>
          <w:sz w:val="24"/>
          <w:highlight w:val="none"/>
        </w:rPr>
        <w:t>中小企业声明函格式：</w:t>
      </w:r>
    </w:p>
    <w:p>
      <w:pPr>
        <w:pStyle w:val="2"/>
        <w:rPr>
          <w:rFonts w:ascii="宋体" w:hAnsi="宋体" w:cs="宋体"/>
          <w:b/>
          <w:color w:val="auto"/>
          <w:sz w:val="24"/>
          <w:highlight w:val="none"/>
        </w:rPr>
      </w:pPr>
    </w:p>
    <w:p>
      <w:pPr>
        <w:spacing w:line="360" w:lineRule="auto"/>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5040" w:firstLineChars="2100"/>
        <w:jc w:val="left"/>
        <w:rPr>
          <w:rFonts w:ascii="宋体" w:hAnsi="宋体" w:cs="宋体"/>
          <w:color w:val="auto"/>
          <w:sz w:val="24"/>
          <w:highlight w:val="none"/>
        </w:rPr>
      </w:pPr>
      <w:r>
        <w:rPr>
          <w:rFonts w:hint="eastAsia" w:ascii="宋体" w:hAnsi="宋体" w:cs="宋体"/>
          <w:color w:val="auto"/>
          <w:sz w:val="24"/>
          <w:highlight w:val="none"/>
        </w:rPr>
        <w:t>企业名称（盖章）：</w:t>
      </w:r>
    </w:p>
    <w:p>
      <w:pPr>
        <w:spacing w:line="360" w:lineRule="auto"/>
        <w:ind w:firstLine="5040" w:firstLineChars="2100"/>
        <w:jc w:val="left"/>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pPr>
        <w:spacing w:line="360" w:lineRule="auto"/>
        <w:ind w:firstLine="405"/>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1.从业人员、营业收入、资产总额填报上一年度（2021年）数据，无上一年度数据的新成立企业可不填报。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2.中小企业划型应按《关于印发中小企业划型标准规定的通知》（工信部联企业〔2011〕300号）规定的划型标准划分。</w:t>
      </w:r>
    </w:p>
    <w:p>
      <w:pPr>
        <w:spacing w:line="360" w:lineRule="auto"/>
        <w:ind w:firstLine="562" w:firstLineChars="200"/>
        <w:rPr>
          <w:rFonts w:ascii="宋体" w:hAnsi="宋体" w:cs="宋体"/>
          <w:b/>
          <w:bCs/>
          <w:color w:val="auto"/>
          <w:sz w:val="24"/>
          <w:highlight w:val="none"/>
          <w:u w:val="single"/>
        </w:rPr>
      </w:pPr>
      <w:r>
        <w:rPr>
          <w:rFonts w:hint="eastAsia" w:ascii="宋体" w:hAnsi="宋体" w:cs="宋体"/>
          <w:b/>
          <w:bCs/>
          <w:color w:val="auto"/>
          <w:sz w:val="28"/>
          <w:szCs w:val="28"/>
          <w:highlight w:val="none"/>
          <w:u w:val="double"/>
        </w:rPr>
        <w:t>本项目采购标的对应的中小企业划分标准所属行业为其他未列明行业。</w:t>
      </w:r>
    </w:p>
    <w:p>
      <w:pPr>
        <w:pStyle w:val="3"/>
        <w:rPr>
          <w:color w:val="auto"/>
          <w:highlight w:val="none"/>
          <w:u w:val="single"/>
        </w:rPr>
      </w:pPr>
    </w:p>
    <w:p>
      <w:pPr>
        <w:pStyle w:val="37"/>
        <w:shd w:val="clear" w:color="auto" w:fill="FFFFFF"/>
        <w:spacing w:line="432" w:lineRule="atLeast"/>
        <w:jc w:val="center"/>
        <w:rPr>
          <w:rFonts w:hAnsi="宋体" w:eastAsia="宋体" w:cs="宋体"/>
          <w:color w:val="auto"/>
          <w:highlight w:val="none"/>
        </w:rPr>
      </w:pPr>
      <w:r>
        <w:rPr>
          <w:rFonts w:hint="eastAsia" w:hAnsi="宋体" w:cs="宋体"/>
          <w:b/>
          <w:bCs/>
          <w:color w:val="auto"/>
          <w:sz w:val="28"/>
          <w:szCs w:val="28"/>
          <w:highlight w:val="none"/>
        </w:rPr>
        <w:br w:type="page"/>
      </w:r>
      <w:r>
        <w:rPr>
          <w:rFonts w:hint="eastAsia" w:hAnsi="宋体" w:eastAsia="宋体" w:cs="宋体"/>
          <w:b/>
          <w:color w:val="auto"/>
          <w:sz w:val="36"/>
          <w:szCs w:val="36"/>
          <w:highlight w:val="none"/>
          <w:shd w:val="clear" w:color="auto" w:fill="FFFFFF"/>
        </w:rPr>
        <w:t>关于印发中小企业划型标准规定的通知</w:t>
      </w:r>
      <w:r>
        <w:rPr>
          <w:rFonts w:hint="eastAsia" w:hAnsi="宋体" w:eastAsia="宋体" w:cs="宋体"/>
          <w:color w:val="auto"/>
          <w:highlight w:val="none"/>
          <w:shd w:val="clear" w:color="auto" w:fill="FFFFFF"/>
        </w:rPr>
        <w:br w:type="textWrapping"/>
      </w:r>
      <w:r>
        <w:rPr>
          <w:rFonts w:ascii="楷体_GB2312" w:hAnsi="宋体" w:eastAsia="楷体_GB2312" w:cs="楷体_GB2312"/>
          <w:color w:val="auto"/>
          <w:highlight w:val="none"/>
          <w:shd w:val="clear" w:color="auto" w:fill="FFFFFF"/>
        </w:rPr>
        <w:t>工信部联企业〔2011〕300号</w:t>
      </w:r>
    </w:p>
    <w:p>
      <w:pPr>
        <w:pStyle w:val="37"/>
        <w:shd w:val="clear" w:color="auto" w:fill="FFFFFF"/>
        <w:spacing w:line="432" w:lineRule="atLeast"/>
        <w:rPr>
          <w:rFonts w:hAnsi="宋体" w:eastAsia="宋体" w:cs="宋体"/>
          <w:color w:val="auto"/>
          <w:highlight w:val="none"/>
        </w:rPr>
      </w:pPr>
      <w:r>
        <w:rPr>
          <w:rFonts w:hint="eastAsia" w:hAnsi="宋体" w:eastAsia="宋体" w:cs="宋体"/>
          <w:color w:val="auto"/>
          <w:highlight w:val="none"/>
          <w:shd w:val="clear" w:color="auto" w:fill="FFFFFF"/>
        </w:rPr>
        <w:t>各省、自治区、直辖市人民政府，国务院各部委、各直属机构及有关单位：</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工业和信息化部　国家统计局</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国家发展和改革委员会　财政部</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二○一一年六月十八日</w:t>
      </w:r>
    </w:p>
    <w:p>
      <w:pPr>
        <w:pStyle w:val="37"/>
        <w:shd w:val="clear" w:color="auto" w:fill="FFFFFF"/>
        <w:spacing w:line="432" w:lineRule="atLeast"/>
        <w:rPr>
          <w:rFonts w:hAnsi="宋体" w:eastAsia="宋体" w:cs="宋体"/>
          <w:color w:val="auto"/>
          <w:highlight w:val="none"/>
        </w:rPr>
      </w:pPr>
      <w:r>
        <w:rPr>
          <w:rFonts w:hint="eastAsia" w:hAnsi="宋体" w:eastAsia="宋体" w:cs="宋体"/>
          <w:color w:val="auto"/>
          <w:highlight w:val="none"/>
          <w:shd w:val="clear" w:color="auto" w:fill="FFFFFF"/>
        </w:rPr>
        <w:t> </w:t>
      </w:r>
    </w:p>
    <w:p>
      <w:pPr>
        <w:pStyle w:val="37"/>
        <w:shd w:val="clear" w:color="auto" w:fill="FFFFFF"/>
        <w:spacing w:line="432" w:lineRule="atLeast"/>
        <w:jc w:val="center"/>
        <w:rPr>
          <w:rFonts w:hAnsi="宋体" w:eastAsia="宋体" w:cs="宋体"/>
          <w:color w:val="auto"/>
          <w:highlight w:val="none"/>
        </w:rPr>
      </w:pPr>
      <w:r>
        <w:rPr>
          <w:rStyle w:val="45"/>
          <w:rFonts w:hint="eastAsia" w:ascii="宋体" w:hAnsi="宋体" w:eastAsia="宋体" w:cs="宋体"/>
          <w:color w:val="auto"/>
          <w:sz w:val="36"/>
          <w:szCs w:val="36"/>
          <w:highlight w:val="none"/>
          <w:shd w:val="clear" w:color="auto" w:fill="FFFFFF"/>
        </w:rPr>
        <w:t>中小企业划型标准规定</w:t>
      </w:r>
    </w:p>
    <w:p>
      <w:pPr>
        <w:pStyle w:val="37"/>
        <w:shd w:val="clear" w:color="auto" w:fill="FFFFFF"/>
        <w:spacing w:line="432" w:lineRule="atLeast"/>
        <w:rPr>
          <w:rFonts w:hAnsi="宋体" w:eastAsia="宋体" w:cs="宋体"/>
          <w:color w:val="auto"/>
          <w:highlight w:val="none"/>
        </w:rPr>
      </w:pPr>
      <w:r>
        <w:rPr>
          <w:rFonts w:hint="eastAsia" w:hAnsi="宋体" w:eastAsia="宋体" w:cs="宋体"/>
          <w:color w:val="auto"/>
          <w:highlight w:val="none"/>
          <w:shd w:val="clear" w:color="auto" w:fill="FFFFFF"/>
        </w:rPr>
        <w:t>　　一、根据《中华人民共和国中小企业促进法》和《国务院关于进一步促进中小企业发展的若干意见》(国发〔2009〕36号)，制定本规定。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二、中小企业划分为中型、小型、微型三种类型，具体标准根据企业从业人员、营业收入、资产总额等指标，结合行业特点制定。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四、各行业划型标准为：</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五、企业类型的划分以统计部门的统计数据为依据。</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八、本规定由工业和信息化部、国家统计局会同有关部门根据《国民经济行业分类》修订情况和企业发展变化情况适时修订。</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九、本规定由工业和信息化部、国家统计局会同有关部门负责解释。</w:t>
      </w:r>
      <w:r>
        <w:rPr>
          <w:rFonts w:hint="eastAsia" w:hAnsi="宋体" w:eastAsia="宋体" w:cs="宋体"/>
          <w:color w:val="auto"/>
          <w:highlight w:val="none"/>
          <w:shd w:val="clear" w:color="auto" w:fill="FFFFFF"/>
        </w:rPr>
        <w:br w:type="textWrapping"/>
      </w:r>
      <w:r>
        <w:rPr>
          <w:rFonts w:hint="eastAsia" w:hAnsi="宋体" w:eastAsia="宋体" w:cs="宋体"/>
          <w:color w:val="auto"/>
          <w:highlight w:val="none"/>
          <w:shd w:val="clear" w:color="auto" w:fill="FFFFFF"/>
        </w:rPr>
        <w:t>　　十、本规定自发布之日起执行，原国家经贸委、原国家计委、财政部和国家统计局2003年颁布的《中小企业标准暂行规定》同时废止。</w:t>
      </w:r>
    </w:p>
    <w:p>
      <w:pPr>
        <w:rPr>
          <w:color w:val="auto"/>
          <w:highlight w:val="none"/>
        </w:rPr>
      </w:pPr>
    </w:p>
    <w:p>
      <w:pPr>
        <w:overflowPunct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残疾人福利性单位声明函格式：</w:t>
      </w:r>
    </w:p>
    <w:p>
      <w:pPr>
        <w:rPr>
          <w:rFonts w:ascii="宋体" w:hAnsi="宋体" w:cs="宋体"/>
          <w:color w:val="auto"/>
          <w:sz w:val="24"/>
          <w:highlight w:val="none"/>
        </w:rPr>
      </w:pPr>
    </w:p>
    <w:p>
      <w:pPr>
        <w:rPr>
          <w:color w:val="auto"/>
          <w:highlight w:val="none"/>
        </w:rPr>
      </w:pPr>
    </w:p>
    <w:p>
      <w:pPr>
        <w:overflowPunct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overflowPunct w:val="0"/>
        <w:spacing w:line="360" w:lineRule="auto"/>
        <w:ind w:firstLine="480" w:firstLineChars="200"/>
        <w:rPr>
          <w:rFonts w:ascii="宋体" w:hAnsi="宋体" w:cs="宋体"/>
          <w:color w:val="auto"/>
          <w:sz w:val="24"/>
          <w:highlight w:val="none"/>
        </w:rPr>
      </w:pPr>
    </w:p>
    <w:p>
      <w:pPr>
        <w:overflowPunct w:val="0"/>
        <w:spacing w:line="360" w:lineRule="auto"/>
        <w:ind w:firstLine="6720" w:firstLineChars="2800"/>
        <w:rPr>
          <w:rFonts w:ascii="宋体" w:hAnsi="宋体" w:cs="宋体"/>
          <w:color w:val="auto"/>
          <w:sz w:val="24"/>
          <w:highlight w:val="none"/>
        </w:rPr>
      </w:pPr>
      <w:r>
        <w:rPr>
          <w:rFonts w:hint="eastAsia" w:ascii="宋体" w:hAnsi="宋体" w:cs="宋体"/>
          <w:color w:val="auto"/>
          <w:sz w:val="24"/>
          <w:highlight w:val="none"/>
        </w:rPr>
        <w:t xml:space="preserve">单位名称（盖章）：             </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             </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2.成交供应商为残疾人福利性单位的，成交结果将同时公告其《残疾人福利性单位声明函》，接受社会监督。</w:t>
      </w:r>
    </w:p>
    <w:p>
      <w:pPr>
        <w:spacing w:line="360" w:lineRule="auto"/>
        <w:rPr>
          <w:rFonts w:ascii="宋体" w:hAnsi="宋体" w:cs="宋体"/>
          <w:color w:val="auto"/>
          <w:kern w:val="0"/>
          <w:sz w:val="24"/>
          <w:szCs w:val="28"/>
          <w:highlight w:val="none"/>
        </w:rPr>
      </w:pPr>
      <w:r>
        <w:rPr>
          <w:rFonts w:hint="eastAsia" w:ascii="宋体" w:hAnsi="宋体" w:cs="宋体"/>
          <w:color w:val="auto"/>
          <w:sz w:val="24"/>
          <w:highlight w:val="none"/>
        </w:rPr>
        <w:br w:type="page"/>
      </w:r>
      <w:r>
        <w:rPr>
          <w:rFonts w:hint="eastAsia" w:ascii="宋体" w:hAnsi="宋体" w:cs="宋体"/>
          <w:color w:val="auto"/>
          <w:kern w:val="0"/>
          <w:sz w:val="24"/>
          <w:szCs w:val="28"/>
          <w:highlight w:val="none"/>
        </w:rPr>
        <w:t>七、磋商须知前附表要求供应商提供的其他资料</w:t>
      </w:r>
    </w:p>
    <w:p>
      <w:pPr>
        <w:rPr>
          <w:rFonts w:ascii="宋体" w:hAnsi="宋体" w:cs="宋体"/>
          <w:color w:val="auto"/>
          <w:kern w:val="0"/>
          <w:sz w:val="24"/>
          <w:szCs w:val="28"/>
          <w:highlight w:val="none"/>
        </w:rPr>
      </w:pPr>
    </w:p>
    <w:p>
      <w:pPr>
        <w:autoSpaceDE w:val="0"/>
        <w:autoSpaceDN w:val="0"/>
        <w:adjustRightInd w:val="0"/>
        <w:spacing w:line="400" w:lineRule="exact"/>
        <w:jc w:val="left"/>
        <w:rPr>
          <w:rFonts w:ascii="宋体" w:hAnsi="宋体" w:cs="宋体"/>
          <w:b/>
          <w:color w:val="auto"/>
          <w:spacing w:val="20"/>
          <w:sz w:val="24"/>
          <w:szCs w:val="28"/>
          <w:highlight w:val="none"/>
        </w:rPr>
      </w:pPr>
      <w:r>
        <w:rPr>
          <w:rFonts w:hint="eastAsia" w:ascii="宋体" w:hAnsi="宋体" w:cs="宋体"/>
          <w:b/>
          <w:color w:val="auto"/>
          <w:spacing w:val="20"/>
          <w:sz w:val="24"/>
          <w:szCs w:val="28"/>
          <w:highlight w:val="none"/>
        </w:rPr>
        <w:t>（注意：供应商递交首次响应文件时，请同时单独递交供应商信息、响应文件签收回执，无需密封包装）</w:t>
      </w:r>
    </w:p>
    <w:p>
      <w:pPr>
        <w:autoSpaceDE w:val="0"/>
        <w:autoSpaceDN w:val="0"/>
        <w:adjustRightInd w:val="0"/>
        <w:spacing w:line="400" w:lineRule="exact"/>
        <w:jc w:val="left"/>
        <w:rPr>
          <w:rFonts w:ascii="宋体" w:hAnsi="宋体" w:cs="宋体"/>
          <w:b/>
          <w:color w:val="auto"/>
          <w:spacing w:val="20"/>
          <w:sz w:val="24"/>
          <w:szCs w:val="28"/>
          <w:highlight w:val="none"/>
        </w:rPr>
      </w:pPr>
    </w:p>
    <w:p>
      <w:pPr>
        <w:ind w:firstLine="420"/>
        <w:jc w:val="center"/>
        <w:rPr>
          <w:rFonts w:ascii="宋体" w:hAnsi="宋体" w:cs="宋体"/>
          <w:color w:val="auto"/>
          <w:kern w:val="0"/>
          <w:sz w:val="30"/>
          <w:szCs w:val="30"/>
          <w:highlight w:val="none"/>
        </w:rPr>
      </w:pPr>
      <w:r>
        <w:rPr>
          <w:rFonts w:hint="eastAsia" w:ascii="宋体" w:hAnsi="宋体" w:cs="宋体"/>
          <w:b/>
          <w:bCs/>
          <w:color w:val="auto"/>
          <w:kern w:val="0"/>
          <w:sz w:val="30"/>
          <w:szCs w:val="30"/>
          <w:highlight w:val="none"/>
        </w:rPr>
        <w:t>供应商信息</w:t>
      </w:r>
    </w:p>
    <w:p>
      <w:pPr>
        <w:autoSpaceDE w:val="0"/>
        <w:autoSpaceDN w:val="0"/>
        <w:adjustRightInd w:val="0"/>
        <w:spacing w:line="480" w:lineRule="auto"/>
        <w:jc w:val="left"/>
        <w:rPr>
          <w:rFonts w:ascii="宋体" w:hAnsi="宋体" w:cs="宋体"/>
          <w:b/>
          <w:color w:val="auto"/>
          <w:kern w:val="0"/>
          <w:sz w:val="24"/>
          <w:szCs w:val="28"/>
          <w:highlight w:val="none"/>
        </w:rPr>
      </w:pPr>
      <w:r>
        <w:rPr>
          <w:rFonts w:hint="eastAsia" w:ascii="宋体" w:hAnsi="宋体" w:cs="宋体"/>
          <w:b/>
          <w:color w:val="auto"/>
          <w:kern w:val="0"/>
          <w:sz w:val="24"/>
          <w:szCs w:val="28"/>
          <w:highlight w:val="none"/>
        </w:rPr>
        <w:t>供应商信息：</w:t>
      </w:r>
    </w:p>
    <w:p>
      <w:pPr>
        <w:snapToGrid w:val="0"/>
        <w:spacing w:line="480" w:lineRule="auto"/>
        <w:ind w:firstLine="484" w:firstLineChars="202"/>
        <w:rPr>
          <w:rFonts w:ascii="宋体" w:hAnsi="宋体" w:cs="宋体"/>
          <w:color w:val="auto"/>
          <w:sz w:val="24"/>
          <w:szCs w:val="28"/>
          <w:highlight w:val="none"/>
        </w:rPr>
      </w:pPr>
      <w:r>
        <w:rPr>
          <w:rFonts w:hint="eastAsia" w:ascii="宋体" w:hAnsi="宋体" w:cs="宋体"/>
          <w:color w:val="auto"/>
          <w:sz w:val="24"/>
          <w:szCs w:val="28"/>
          <w:highlight w:val="none"/>
        </w:rPr>
        <w:t>供应商全称：</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供应商统一社会信用代码：</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供应商联系电话：</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rPr>
      </w:pPr>
      <w:r>
        <w:rPr>
          <w:rFonts w:hint="eastAsia" w:ascii="宋体" w:hAnsi="宋体" w:cs="宋体"/>
          <w:color w:val="auto"/>
          <w:sz w:val="24"/>
          <w:szCs w:val="28"/>
          <w:highlight w:val="none"/>
        </w:rPr>
        <w:t>供应商地址：</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rPr>
      </w:pPr>
      <w:r>
        <w:rPr>
          <w:rFonts w:hint="eastAsia" w:ascii="宋体" w:hAnsi="宋体" w:cs="宋体"/>
          <w:color w:val="auto"/>
          <w:sz w:val="24"/>
          <w:szCs w:val="28"/>
          <w:highlight w:val="none"/>
        </w:rPr>
        <w:t>法定代表人（负责人）姓名：</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法定代表人（负责人）身份证号码：</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rPr>
      </w:pPr>
      <w:r>
        <w:rPr>
          <w:rFonts w:hint="eastAsia" w:ascii="宋体" w:hAnsi="宋体" w:cs="宋体"/>
          <w:color w:val="auto"/>
          <w:sz w:val="24"/>
          <w:szCs w:val="28"/>
          <w:highlight w:val="none"/>
        </w:rPr>
        <w:t>授权委托代理人姓名：</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授权委托代理人身份证号码：</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p>
    <w:p>
      <w:pPr>
        <w:snapToGrid w:val="0"/>
        <w:spacing w:line="480" w:lineRule="auto"/>
        <w:rPr>
          <w:rFonts w:ascii="宋体" w:hAnsi="宋体" w:cs="宋体"/>
          <w:b/>
          <w:color w:val="auto"/>
          <w:sz w:val="24"/>
          <w:szCs w:val="28"/>
          <w:highlight w:val="none"/>
        </w:rPr>
      </w:pPr>
      <w:r>
        <w:rPr>
          <w:rFonts w:hint="eastAsia" w:ascii="宋体" w:hAnsi="宋体" w:cs="宋体"/>
          <w:b/>
          <w:color w:val="auto"/>
          <w:sz w:val="24"/>
          <w:szCs w:val="28"/>
          <w:highlight w:val="none"/>
        </w:rPr>
        <w:t>供应商开票资料：</w:t>
      </w:r>
    </w:p>
    <w:p>
      <w:pPr>
        <w:snapToGrid w:val="0"/>
        <w:spacing w:line="480" w:lineRule="auto"/>
        <w:ind w:firstLine="484" w:firstLineChars="202"/>
        <w:rPr>
          <w:rFonts w:ascii="宋体" w:hAnsi="宋体" w:cs="宋体"/>
          <w:color w:val="auto"/>
          <w:sz w:val="24"/>
          <w:szCs w:val="28"/>
          <w:highlight w:val="none"/>
        </w:rPr>
      </w:pPr>
      <w:r>
        <w:rPr>
          <w:rFonts w:hint="eastAsia" w:ascii="宋体" w:hAnsi="宋体" w:cs="宋体"/>
          <w:color w:val="auto"/>
          <w:sz w:val="24"/>
          <w:szCs w:val="28"/>
          <w:highlight w:val="none"/>
        </w:rPr>
        <w:t>开票信息</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（填“专票”或“普票”）</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供应商名称：</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纳税人识别号：</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地址、电话：</w:t>
      </w:r>
      <w:r>
        <w:rPr>
          <w:rFonts w:hint="eastAsia" w:ascii="宋体" w:hAnsi="宋体" w:cs="宋体"/>
          <w:color w:val="auto"/>
          <w:sz w:val="24"/>
          <w:szCs w:val="28"/>
          <w:highlight w:val="none"/>
          <w:u w:val="single"/>
        </w:rPr>
        <w:t xml:space="preserve">             　               </w:t>
      </w:r>
    </w:p>
    <w:p>
      <w:pPr>
        <w:snapToGrid w:val="0"/>
        <w:spacing w:line="480" w:lineRule="auto"/>
        <w:ind w:firstLine="484" w:firstLineChars="202"/>
        <w:rPr>
          <w:rFonts w:ascii="宋体" w:hAnsi="宋体" w:cs="宋体"/>
          <w:color w:val="auto"/>
          <w:sz w:val="24"/>
          <w:szCs w:val="28"/>
          <w:highlight w:val="none"/>
          <w:u w:val="single"/>
        </w:rPr>
      </w:pPr>
      <w:r>
        <w:rPr>
          <w:rFonts w:hint="eastAsia" w:ascii="宋体" w:hAnsi="宋体" w:cs="宋体"/>
          <w:color w:val="auto"/>
          <w:sz w:val="24"/>
          <w:szCs w:val="28"/>
          <w:highlight w:val="none"/>
        </w:rPr>
        <w:t>开户行及账号：</w:t>
      </w:r>
      <w:r>
        <w:rPr>
          <w:rFonts w:hint="eastAsia" w:ascii="宋体" w:hAnsi="宋体" w:cs="宋体"/>
          <w:color w:val="auto"/>
          <w:sz w:val="24"/>
          <w:szCs w:val="28"/>
          <w:highlight w:val="none"/>
          <w:u w:val="single"/>
        </w:rPr>
        <w:t xml:space="preserve">             　               </w:t>
      </w:r>
    </w:p>
    <w:p>
      <w:pPr>
        <w:autoSpaceDE w:val="0"/>
        <w:autoSpaceDN w:val="0"/>
        <w:adjustRightInd w:val="0"/>
        <w:spacing w:line="276" w:lineRule="auto"/>
        <w:ind w:firstLine="241" w:firstLineChars="100"/>
        <w:jc w:val="center"/>
        <w:rPr>
          <w:rFonts w:ascii="宋体" w:hAnsi="宋体" w:cs="宋体"/>
          <w:color w:val="auto"/>
          <w:spacing w:val="20"/>
          <w:sz w:val="24"/>
          <w:szCs w:val="28"/>
          <w:highlight w:val="none"/>
        </w:rPr>
      </w:pPr>
      <w:r>
        <w:rPr>
          <w:rFonts w:hint="eastAsia" w:ascii="宋体" w:hAnsi="宋体" w:cs="宋体"/>
          <w:b/>
          <w:bCs/>
          <w:color w:val="auto"/>
          <w:sz w:val="24"/>
          <w:szCs w:val="28"/>
          <w:highlight w:val="none"/>
        </w:rPr>
        <w:br w:type="page"/>
      </w:r>
      <w:r>
        <w:rPr>
          <w:rFonts w:hint="eastAsia" w:ascii="宋体" w:hAnsi="宋体" w:cs="宋体"/>
          <w:b/>
          <w:bCs/>
          <w:color w:val="auto"/>
          <w:sz w:val="24"/>
          <w:szCs w:val="28"/>
          <w:highlight w:val="none"/>
        </w:rPr>
        <w:t>响应文件签收回执</w:t>
      </w:r>
      <w:r>
        <w:rPr>
          <w:rFonts w:hint="eastAsia" w:ascii="宋体" w:hAnsi="宋体" w:cs="宋体"/>
          <w:b/>
          <w:color w:val="auto"/>
          <w:spacing w:val="20"/>
          <w:sz w:val="24"/>
          <w:szCs w:val="28"/>
          <w:highlight w:val="none"/>
        </w:rPr>
        <w:t>（一式两联）</w:t>
      </w:r>
    </w:p>
    <w:tbl>
      <w:tblPr>
        <w:tblStyle w:val="43"/>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393"/>
        <w:gridCol w:w="447"/>
        <w:gridCol w:w="14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项目名称</w:t>
            </w:r>
          </w:p>
        </w:tc>
        <w:tc>
          <w:tcPr>
            <w:tcW w:w="7941" w:type="dxa"/>
            <w:gridSpan w:val="6"/>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项目编号</w:t>
            </w:r>
          </w:p>
        </w:tc>
        <w:tc>
          <w:tcPr>
            <w:tcW w:w="7941" w:type="dxa"/>
            <w:gridSpan w:val="6"/>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w:t>
            </w:r>
          </w:p>
        </w:tc>
        <w:tc>
          <w:tcPr>
            <w:tcW w:w="7941" w:type="dxa"/>
            <w:gridSpan w:val="6"/>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递交人姓名</w:t>
            </w:r>
          </w:p>
        </w:tc>
        <w:tc>
          <w:tcPr>
            <w:tcW w:w="1512" w:type="dxa"/>
            <w:vAlign w:val="center"/>
          </w:tcPr>
          <w:p>
            <w:pPr>
              <w:spacing w:line="276" w:lineRule="auto"/>
              <w:jc w:val="center"/>
              <w:rPr>
                <w:rFonts w:ascii="宋体" w:hAnsi="宋体" w:cs="宋体"/>
                <w:color w:val="auto"/>
                <w:kern w:val="0"/>
                <w:sz w:val="24"/>
                <w:szCs w:val="28"/>
                <w:highlight w:val="none"/>
              </w:rPr>
            </w:pPr>
          </w:p>
        </w:tc>
        <w:tc>
          <w:tcPr>
            <w:tcW w:w="130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身份证号码</w:t>
            </w:r>
          </w:p>
        </w:tc>
        <w:tc>
          <w:tcPr>
            <w:tcW w:w="1840" w:type="dxa"/>
            <w:gridSpan w:val="2"/>
            <w:vAlign w:val="center"/>
          </w:tcPr>
          <w:p>
            <w:pPr>
              <w:spacing w:line="276" w:lineRule="auto"/>
              <w:jc w:val="center"/>
              <w:rPr>
                <w:rFonts w:ascii="宋体" w:hAnsi="宋体" w:cs="宋体"/>
                <w:color w:val="auto"/>
                <w:kern w:val="0"/>
                <w:sz w:val="24"/>
                <w:szCs w:val="28"/>
                <w:highlight w:val="none"/>
              </w:rPr>
            </w:pPr>
          </w:p>
        </w:tc>
        <w:tc>
          <w:tcPr>
            <w:tcW w:w="1439"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联系电话</w:t>
            </w:r>
          </w:p>
        </w:tc>
        <w:tc>
          <w:tcPr>
            <w:tcW w:w="1849" w:type="dxa"/>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采购代理机构</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名称</w:t>
            </w:r>
          </w:p>
        </w:tc>
        <w:tc>
          <w:tcPr>
            <w:tcW w:w="7941" w:type="dxa"/>
            <w:gridSpan w:val="6"/>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递交时间</w:t>
            </w:r>
          </w:p>
        </w:tc>
        <w:tc>
          <w:tcPr>
            <w:tcW w:w="1512" w:type="dxa"/>
            <w:vAlign w:val="center"/>
          </w:tcPr>
          <w:p>
            <w:pPr>
              <w:spacing w:line="276" w:lineRule="auto"/>
              <w:jc w:val="center"/>
              <w:rPr>
                <w:rFonts w:ascii="宋体" w:hAnsi="宋体" w:cs="宋体"/>
                <w:color w:val="auto"/>
                <w:kern w:val="0"/>
                <w:sz w:val="24"/>
                <w:szCs w:val="28"/>
                <w:highlight w:val="none"/>
              </w:rPr>
            </w:pPr>
          </w:p>
        </w:tc>
        <w:tc>
          <w:tcPr>
            <w:tcW w:w="130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密封情况</w:t>
            </w:r>
          </w:p>
        </w:tc>
        <w:tc>
          <w:tcPr>
            <w:tcW w:w="1393" w:type="dxa"/>
            <w:vAlign w:val="center"/>
          </w:tcPr>
          <w:p>
            <w:pPr>
              <w:spacing w:line="276" w:lineRule="auto"/>
              <w:jc w:val="center"/>
              <w:rPr>
                <w:rFonts w:ascii="宋体" w:hAnsi="宋体" w:cs="宋体"/>
                <w:color w:val="auto"/>
                <w:kern w:val="0"/>
                <w:sz w:val="24"/>
                <w:szCs w:val="28"/>
                <w:highlight w:val="none"/>
              </w:rPr>
            </w:pPr>
          </w:p>
        </w:tc>
        <w:tc>
          <w:tcPr>
            <w:tcW w:w="1886" w:type="dxa"/>
            <w:gridSpan w:val="2"/>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采购代理机构</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签收人</w:t>
            </w:r>
          </w:p>
        </w:tc>
        <w:tc>
          <w:tcPr>
            <w:tcW w:w="1849" w:type="dxa"/>
            <w:vAlign w:val="center"/>
          </w:tcPr>
          <w:p>
            <w:pPr>
              <w:spacing w:line="276" w:lineRule="auto"/>
              <w:jc w:val="center"/>
              <w:rPr>
                <w:rFonts w:ascii="宋体" w:hAnsi="宋体" w:cs="宋体"/>
                <w:color w:val="auto"/>
                <w:kern w:val="0"/>
                <w:sz w:val="24"/>
                <w:szCs w:val="28"/>
                <w:highlight w:val="none"/>
              </w:rPr>
            </w:pPr>
          </w:p>
        </w:tc>
      </w:tr>
    </w:tbl>
    <w:p>
      <w:pPr>
        <w:autoSpaceDE w:val="0"/>
        <w:autoSpaceDN w:val="0"/>
        <w:adjustRightInd w:val="0"/>
        <w:spacing w:line="276" w:lineRule="auto"/>
        <w:jc w:val="center"/>
        <w:rPr>
          <w:rFonts w:ascii="宋体" w:hAnsi="宋体" w:cs="宋体"/>
          <w:color w:val="auto"/>
          <w:spacing w:val="20"/>
          <w:sz w:val="24"/>
          <w:szCs w:val="28"/>
          <w:highlight w:val="none"/>
        </w:rPr>
      </w:pPr>
    </w:p>
    <w:p>
      <w:pPr>
        <w:autoSpaceDE w:val="0"/>
        <w:autoSpaceDN w:val="0"/>
        <w:adjustRightInd w:val="0"/>
        <w:spacing w:line="276" w:lineRule="auto"/>
        <w:rPr>
          <w:rFonts w:ascii="宋体" w:hAnsi="宋体" w:cs="宋体"/>
          <w:color w:val="auto"/>
          <w:spacing w:val="20"/>
          <w:sz w:val="24"/>
          <w:szCs w:val="28"/>
          <w:highlight w:val="none"/>
        </w:rPr>
      </w:pPr>
      <w:r>
        <w:rPr>
          <w:rFonts w:hint="eastAsia" w:ascii="宋体" w:hAnsi="宋体" w:cs="宋体"/>
          <w:color w:val="auto"/>
          <w:spacing w:val="20"/>
          <w:sz w:val="24"/>
          <w:szCs w:val="28"/>
          <w:highlight w:val="none"/>
        </w:rPr>
        <w:t>注：在“采购代理机构签收人”处，供应商不用填写</w:t>
      </w:r>
    </w:p>
    <w:p>
      <w:pPr>
        <w:autoSpaceDE w:val="0"/>
        <w:autoSpaceDN w:val="0"/>
        <w:adjustRightInd w:val="0"/>
        <w:spacing w:line="276" w:lineRule="auto"/>
        <w:jc w:val="center"/>
        <w:rPr>
          <w:rFonts w:ascii="宋体" w:hAnsi="宋体" w:cs="宋体"/>
          <w:color w:val="auto"/>
          <w:spacing w:val="20"/>
          <w:sz w:val="24"/>
          <w:szCs w:val="28"/>
          <w:highlight w:val="none"/>
        </w:rPr>
      </w:pPr>
      <w:r>
        <w:rPr>
          <w:rFonts w:hint="eastAsia" w:ascii="宋体" w:hAnsi="宋体" w:cs="宋体"/>
          <w:color w:val="auto"/>
          <w:spacing w:val="20"/>
          <w:sz w:val="24"/>
          <w:szCs w:val="28"/>
          <w:highlight w:val="none"/>
        </w:rPr>
        <w:t>—————————————————————————————————</w:t>
      </w:r>
    </w:p>
    <w:p>
      <w:pPr>
        <w:autoSpaceDE w:val="0"/>
        <w:autoSpaceDN w:val="0"/>
        <w:adjustRightInd w:val="0"/>
        <w:spacing w:line="276" w:lineRule="auto"/>
        <w:ind w:firstLine="241" w:firstLineChars="100"/>
        <w:jc w:val="center"/>
        <w:rPr>
          <w:rFonts w:ascii="宋体" w:hAnsi="宋体" w:cs="宋体"/>
          <w:color w:val="auto"/>
          <w:spacing w:val="20"/>
          <w:sz w:val="24"/>
          <w:szCs w:val="28"/>
          <w:highlight w:val="none"/>
        </w:rPr>
      </w:pPr>
      <w:r>
        <w:rPr>
          <w:rFonts w:hint="eastAsia" w:ascii="宋体" w:hAnsi="宋体" w:cs="宋体"/>
          <w:b/>
          <w:bCs/>
          <w:color w:val="auto"/>
          <w:sz w:val="24"/>
          <w:szCs w:val="28"/>
          <w:highlight w:val="none"/>
        </w:rPr>
        <w:t>响应文件签收回执</w:t>
      </w:r>
      <w:r>
        <w:rPr>
          <w:rFonts w:hint="eastAsia" w:ascii="宋体" w:hAnsi="宋体" w:cs="宋体"/>
          <w:b/>
          <w:color w:val="auto"/>
          <w:spacing w:val="20"/>
          <w:sz w:val="24"/>
          <w:szCs w:val="28"/>
          <w:highlight w:val="none"/>
        </w:rPr>
        <w:t>（一式两联）</w:t>
      </w:r>
    </w:p>
    <w:tbl>
      <w:tblPr>
        <w:tblStyle w:val="43"/>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803"/>
        <w:gridCol w:w="37"/>
        <w:gridCol w:w="1439"/>
        <w:gridCol w:w="5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项目名称</w:t>
            </w:r>
          </w:p>
        </w:tc>
        <w:tc>
          <w:tcPr>
            <w:tcW w:w="7941" w:type="dxa"/>
            <w:gridSpan w:val="7"/>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项目编号</w:t>
            </w:r>
          </w:p>
        </w:tc>
        <w:tc>
          <w:tcPr>
            <w:tcW w:w="7941" w:type="dxa"/>
            <w:gridSpan w:val="7"/>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w:t>
            </w:r>
          </w:p>
        </w:tc>
        <w:tc>
          <w:tcPr>
            <w:tcW w:w="7941" w:type="dxa"/>
            <w:gridSpan w:val="7"/>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递交人姓名</w:t>
            </w:r>
          </w:p>
        </w:tc>
        <w:tc>
          <w:tcPr>
            <w:tcW w:w="1512" w:type="dxa"/>
            <w:vAlign w:val="center"/>
          </w:tcPr>
          <w:p>
            <w:pPr>
              <w:spacing w:line="276" w:lineRule="auto"/>
              <w:jc w:val="center"/>
              <w:rPr>
                <w:rFonts w:ascii="宋体" w:hAnsi="宋体" w:cs="宋体"/>
                <w:color w:val="auto"/>
                <w:kern w:val="0"/>
                <w:sz w:val="24"/>
                <w:szCs w:val="28"/>
                <w:highlight w:val="none"/>
              </w:rPr>
            </w:pPr>
          </w:p>
        </w:tc>
        <w:tc>
          <w:tcPr>
            <w:tcW w:w="130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身份证号码</w:t>
            </w:r>
          </w:p>
        </w:tc>
        <w:tc>
          <w:tcPr>
            <w:tcW w:w="1840" w:type="dxa"/>
            <w:gridSpan w:val="2"/>
            <w:vAlign w:val="center"/>
          </w:tcPr>
          <w:p>
            <w:pPr>
              <w:spacing w:line="276" w:lineRule="auto"/>
              <w:jc w:val="center"/>
              <w:rPr>
                <w:rFonts w:ascii="宋体" w:hAnsi="宋体" w:cs="宋体"/>
                <w:color w:val="auto"/>
                <w:kern w:val="0"/>
                <w:sz w:val="24"/>
                <w:szCs w:val="28"/>
                <w:highlight w:val="none"/>
              </w:rPr>
            </w:pPr>
          </w:p>
        </w:tc>
        <w:tc>
          <w:tcPr>
            <w:tcW w:w="1439"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联系电话</w:t>
            </w:r>
          </w:p>
        </w:tc>
        <w:tc>
          <w:tcPr>
            <w:tcW w:w="1849" w:type="dxa"/>
            <w:gridSpan w:val="2"/>
            <w:vAlign w:val="center"/>
          </w:tcPr>
          <w:p>
            <w:pPr>
              <w:spacing w:line="276"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采购代理机构</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名称</w:t>
            </w:r>
          </w:p>
        </w:tc>
        <w:tc>
          <w:tcPr>
            <w:tcW w:w="7941" w:type="dxa"/>
            <w:gridSpan w:val="7"/>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1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递交时间</w:t>
            </w:r>
          </w:p>
        </w:tc>
        <w:tc>
          <w:tcPr>
            <w:tcW w:w="1512" w:type="dxa"/>
            <w:vAlign w:val="center"/>
          </w:tcPr>
          <w:p>
            <w:pPr>
              <w:spacing w:line="276" w:lineRule="auto"/>
              <w:jc w:val="center"/>
              <w:rPr>
                <w:rFonts w:ascii="宋体" w:hAnsi="宋体" w:cs="宋体"/>
                <w:color w:val="auto"/>
                <w:kern w:val="0"/>
                <w:sz w:val="24"/>
                <w:szCs w:val="28"/>
                <w:highlight w:val="none"/>
              </w:rPr>
            </w:pPr>
          </w:p>
        </w:tc>
        <w:tc>
          <w:tcPr>
            <w:tcW w:w="1301" w:type="dxa"/>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响应文件</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密封情况</w:t>
            </w:r>
          </w:p>
        </w:tc>
        <w:tc>
          <w:tcPr>
            <w:tcW w:w="1803" w:type="dxa"/>
            <w:vAlign w:val="center"/>
          </w:tcPr>
          <w:p>
            <w:pPr>
              <w:spacing w:line="276" w:lineRule="auto"/>
              <w:jc w:val="center"/>
              <w:rPr>
                <w:rFonts w:ascii="宋体" w:hAnsi="宋体" w:cs="宋体"/>
                <w:color w:val="auto"/>
                <w:kern w:val="0"/>
                <w:sz w:val="24"/>
                <w:szCs w:val="28"/>
                <w:highlight w:val="none"/>
              </w:rPr>
            </w:pPr>
          </w:p>
        </w:tc>
        <w:tc>
          <w:tcPr>
            <w:tcW w:w="2050" w:type="dxa"/>
            <w:gridSpan w:val="3"/>
            <w:vAlign w:val="center"/>
          </w:tcPr>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采购代理机构</w:t>
            </w:r>
          </w:p>
          <w:p>
            <w:pPr>
              <w:spacing w:line="276"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签收人</w:t>
            </w:r>
          </w:p>
        </w:tc>
        <w:tc>
          <w:tcPr>
            <w:tcW w:w="1275" w:type="dxa"/>
            <w:vAlign w:val="center"/>
          </w:tcPr>
          <w:p>
            <w:pPr>
              <w:spacing w:line="276" w:lineRule="auto"/>
              <w:jc w:val="center"/>
              <w:rPr>
                <w:rFonts w:ascii="宋体" w:hAnsi="宋体" w:cs="宋体"/>
                <w:color w:val="auto"/>
                <w:kern w:val="0"/>
                <w:sz w:val="24"/>
                <w:szCs w:val="28"/>
                <w:highlight w:val="none"/>
              </w:rPr>
            </w:pPr>
          </w:p>
        </w:tc>
      </w:tr>
    </w:tbl>
    <w:p>
      <w:pPr>
        <w:rPr>
          <w:rFonts w:ascii="宋体" w:hAnsi="宋体" w:cs="宋体"/>
          <w:color w:val="auto"/>
          <w:kern w:val="0"/>
          <w:sz w:val="24"/>
          <w:szCs w:val="28"/>
          <w:highlight w:val="none"/>
        </w:rPr>
      </w:pPr>
    </w:p>
    <w:p>
      <w:pPr>
        <w:rPr>
          <w:rFonts w:ascii="宋体" w:hAnsi="宋体" w:cs="宋体"/>
          <w:color w:val="auto"/>
          <w:kern w:val="0"/>
          <w:sz w:val="24"/>
          <w:szCs w:val="28"/>
          <w:highlight w:val="none"/>
        </w:rPr>
      </w:pPr>
    </w:p>
    <w:p>
      <w:pPr>
        <w:rPr>
          <w:rFonts w:ascii="宋体" w:hAnsi="宋体" w:cs="宋体"/>
          <w:color w:val="auto"/>
          <w:kern w:val="0"/>
          <w:sz w:val="24"/>
          <w:szCs w:val="28"/>
          <w:highlight w:val="none"/>
        </w:rPr>
      </w:pPr>
    </w:p>
    <w:p>
      <w:pPr>
        <w:rPr>
          <w:rFonts w:ascii="宋体" w:hAnsi="宋体" w:cs="宋体"/>
          <w:color w:val="auto"/>
          <w:kern w:val="0"/>
          <w:sz w:val="24"/>
          <w:szCs w:val="28"/>
          <w:highlight w:val="none"/>
        </w:rPr>
      </w:pPr>
    </w:p>
    <w:p>
      <w:pPr>
        <w:rPr>
          <w:rFonts w:ascii="宋体" w:hAnsi="宋体" w:cs="宋体"/>
          <w:color w:val="auto"/>
          <w:kern w:val="0"/>
          <w:sz w:val="24"/>
          <w:szCs w:val="28"/>
          <w:highlight w:val="none"/>
        </w:rPr>
      </w:pPr>
      <w:r>
        <w:rPr>
          <w:rFonts w:hint="eastAsia" w:ascii="宋体" w:hAnsi="宋体" w:cs="宋体"/>
          <w:color w:val="auto"/>
          <w:kern w:val="0"/>
          <w:sz w:val="24"/>
          <w:szCs w:val="28"/>
          <w:highlight w:val="none"/>
        </w:rPr>
        <w:t>八、供应商认为需提供的其他资料</w:t>
      </w:r>
    </w:p>
    <w:p>
      <w:pPr>
        <w:rPr>
          <w:rFonts w:ascii="宋体" w:hAnsi="宋体" w:cs="宋体"/>
          <w:color w:val="auto"/>
          <w:kern w:val="0"/>
          <w:sz w:val="24"/>
          <w:szCs w:val="28"/>
          <w:highlight w:val="none"/>
        </w:rPr>
      </w:pPr>
    </w:p>
    <w:p>
      <w:pPr>
        <w:ind w:firstLine="482" w:firstLineChars="200"/>
        <w:jc w:val="center"/>
        <w:rPr>
          <w:rFonts w:ascii="宋体" w:hAnsi="宋体" w:cs="宋体"/>
          <w:b/>
          <w:color w:val="auto"/>
          <w:kern w:val="0"/>
          <w:sz w:val="32"/>
          <w:szCs w:val="32"/>
          <w:highlight w:val="none"/>
        </w:rPr>
      </w:pPr>
      <w:r>
        <w:rPr>
          <w:rFonts w:hint="eastAsia" w:ascii="宋体" w:hAnsi="宋体" w:cs="宋体"/>
          <w:b/>
          <w:color w:val="auto"/>
          <w:kern w:val="0"/>
          <w:sz w:val="24"/>
          <w:szCs w:val="28"/>
          <w:highlight w:val="none"/>
        </w:rPr>
        <w:br w:type="page"/>
      </w:r>
      <w:r>
        <w:rPr>
          <w:rFonts w:hint="eastAsia" w:ascii="宋体" w:hAnsi="宋体" w:cs="宋体"/>
          <w:b/>
          <w:color w:val="auto"/>
          <w:kern w:val="0"/>
          <w:sz w:val="32"/>
          <w:szCs w:val="32"/>
          <w:highlight w:val="none"/>
        </w:rPr>
        <w:t>第二部分 技术部分</w:t>
      </w:r>
    </w:p>
    <w:p>
      <w:pPr>
        <w:ind w:firstLine="643" w:firstLineChars="200"/>
        <w:jc w:val="center"/>
        <w:rPr>
          <w:rFonts w:ascii="宋体" w:hAnsi="宋体" w:cs="宋体"/>
          <w:b/>
          <w:color w:val="auto"/>
          <w:kern w:val="0"/>
          <w:sz w:val="32"/>
          <w:szCs w:val="32"/>
          <w:highlight w:val="none"/>
        </w:rPr>
      </w:pPr>
    </w:p>
    <w:p>
      <w:pPr>
        <w:spacing w:line="360" w:lineRule="auto"/>
        <w:ind w:firstLine="720" w:firstLineChars="3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一、服务方案（格式自拟）</w:t>
      </w:r>
    </w:p>
    <w:p>
      <w:pPr>
        <w:spacing w:line="360" w:lineRule="auto"/>
        <w:ind w:firstLine="720" w:firstLineChars="300"/>
        <w:rPr>
          <w:rFonts w:ascii="宋体" w:hAnsi="宋体" w:cs="宋体"/>
          <w:color w:val="auto"/>
          <w:kern w:val="0"/>
          <w:sz w:val="24"/>
          <w:szCs w:val="28"/>
          <w:highlight w:val="none"/>
        </w:rPr>
      </w:pPr>
    </w:p>
    <w:p>
      <w:pPr>
        <w:spacing w:line="360" w:lineRule="auto"/>
        <w:ind w:firstLine="720" w:firstLineChars="3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二、技术条款偏离表</w:t>
      </w:r>
    </w:p>
    <w:p>
      <w:pPr>
        <w:spacing w:line="360" w:lineRule="auto"/>
        <w:ind w:firstLine="602" w:firstLineChars="200"/>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技术条款偏离表</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项目名称：</w:t>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ab/>
      </w:r>
      <w:r>
        <w:rPr>
          <w:rFonts w:hint="eastAsia" w:ascii="宋体" w:hAnsi="宋体" w:cs="宋体"/>
          <w:color w:val="auto"/>
          <w:kern w:val="0"/>
          <w:sz w:val="24"/>
          <w:szCs w:val="28"/>
          <w:highlight w:val="none"/>
        </w:rPr>
        <w:t>　　项目编号：</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　包号：</w:t>
      </w:r>
    </w:p>
    <w:tbl>
      <w:tblPr>
        <w:tblStyle w:val="43"/>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94"/>
        <w:gridCol w:w="2986"/>
        <w:gridCol w:w="1652"/>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品目号</w:t>
            </w:r>
          </w:p>
        </w:tc>
        <w:tc>
          <w:tcPr>
            <w:tcW w:w="1894"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服务名称</w:t>
            </w:r>
          </w:p>
        </w:tc>
        <w:tc>
          <w:tcPr>
            <w:tcW w:w="2986"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技术服务需求及要求</w:t>
            </w:r>
          </w:p>
        </w:tc>
        <w:tc>
          <w:tcPr>
            <w:tcW w:w="1652"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响应情况</w:t>
            </w:r>
          </w:p>
        </w:tc>
        <w:tc>
          <w:tcPr>
            <w:tcW w:w="1090"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偏离</w:t>
            </w:r>
          </w:p>
        </w:tc>
        <w:tc>
          <w:tcPr>
            <w:tcW w:w="1091" w:type="dxa"/>
            <w:vAlign w:val="center"/>
          </w:tcPr>
          <w:p>
            <w:pPr>
              <w:spacing w:line="360" w:lineRule="auto"/>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p>
        </w:tc>
        <w:tc>
          <w:tcPr>
            <w:tcW w:w="1894" w:type="dxa"/>
            <w:vAlign w:val="center"/>
          </w:tcPr>
          <w:p>
            <w:pPr>
              <w:spacing w:line="360" w:lineRule="auto"/>
              <w:jc w:val="center"/>
              <w:rPr>
                <w:rFonts w:ascii="宋体" w:hAnsi="宋体" w:cs="宋体"/>
                <w:color w:val="auto"/>
                <w:kern w:val="0"/>
                <w:sz w:val="24"/>
                <w:szCs w:val="28"/>
                <w:highlight w:val="none"/>
              </w:rPr>
            </w:pPr>
          </w:p>
        </w:tc>
        <w:tc>
          <w:tcPr>
            <w:tcW w:w="2986" w:type="dxa"/>
            <w:vAlign w:val="center"/>
          </w:tcPr>
          <w:p>
            <w:pPr>
              <w:spacing w:line="360" w:lineRule="auto"/>
              <w:jc w:val="center"/>
              <w:rPr>
                <w:rFonts w:ascii="宋体" w:hAnsi="宋体" w:cs="宋体"/>
                <w:color w:val="auto"/>
                <w:kern w:val="0"/>
                <w:sz w:val="24"/>
                <w:szCs w:val="28"/>
                <w:highlight w:val="none"/>
              </w:rPr>
            </w:pPr>
          </w:p>
        </w:tc>
        <w:tc>
          <w:tcPr>
            <w:tcW w:w="1652" w:type="dxa"/>
            <w:vAlign w:val="center"/>
          </w:tcPr>
          <w:p>
            <w:pPr>
              <w:spacing w:line="360" w:lineRule="auto"/>
              <w:jc w:val="center"/>
              <w:rPr>
                <w:rFonts w:ascii="宋体" w:hAnsi="宋体" w:cs="宋体"/>
                <w:color w:val="auto"/>
                <w:kern w:val="0"/>
                <w:sz w:val="24"/>
                <w:szCs w:val="28"/>
                <w:highlight w:val="none"/>
              </w:rPr>
            </w:pPr>
          </w:p>
        </w:tc>
        <w:tc>
          <w:tcPr>
            <w:tcW w:w="1090" w:type="dxa"/>
            <w:vAlign w:val="center"/>
          </w:tcPr>
          <w:p>
            <w:pPr>
              <w:spacing w:line="360" w:lineRule="auto"/>
              <w:jc w:val="center"/>
              <w:rPr>
                <w:rFonts w:ascii="宋体" w:hAnsi="宋体" w:cs="宋体"/>
                <w:color w:val="auto"/>
                <w:kern w:val="0"/>
                <w:sz w:val="24"/>
                <w:szCs w:val="28"/>
                <w:highlight w:val="none"/>
              </w:rPr>
            </w:pPr>
          </w:p>
        </w:tc>
        <w:tc>
          <w:tcPr>
            <w:tcW w:w="1091"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p>
        </w:tc>
        <w:tc>
          <w:tcPr>
            <w:tcW w:w="1894" w:type="dxa"/>
            <w:vAlign w:val="center"/>
          </w:tcPr>
          <w:p>
            <w:pPr>
              <w:spacing w:line="360" w:lineRule="auto"/>
              <w:jc w:val="center"/>
              <w:rPr>
                <w:rFonts w:ascii="宋体" w:hAnsi="宋体" w:cs="宋体"/>
                <w:color w:val="auto"/>
                <w:kern w:val="0"/>
                <w:sz w:val="24"/>
                <w:szCs w:val="28"/>
                <w:highlight w:val="none"/>
              </w:rPr>
            </w:pPr>
          </w:p>
        </w:tc>
        <w:tc>
          <w:tcPr>
            <w:tcW w:w="2986" w:type="dxa"/>
            <w:vAlign w:val="center"/>
          </w:tcPr>
          <w:p>
            <w:pPr>
              <w:spacing w:line="360" w:lineRule="auto"/>
              <w:jc w:val="center"/>
              <w:rPr>
                <w:rFonts w:ascii="宋体" w:hAnsi="宋体" w:cs="宋体"/>
                <w:color w:val="auto"/>
                <w:kern w:val="0"/>
                <w:sz w:val="24"/>
                <w:szCs w:val="28"/>
                <w:highlight w:val="none"/>
              </w:rPr>
            </w:pPr>
          </w:p>
        </w:tc>
        <w:tc>
          <w:tcPr>
            <w:tcW w:w="1652" w:type="dxa"/>
            <w:vAlign w:val="center"/>
          </w:tcPr>
          <w:p>
            <w:pPr>
              <w:spacing w:line="360" w:lineRule="auto"/>
              <w:jc w:val="center"/>
              <w:rPr>
                <w:rFonts w:ascii="宋体" w:hAnsi="宋体" w:cs="宋体"/>
                <w:color w:val="auto"/>
                <w:kern w:val="0"/>
                <w:sz w:val="24"/>
                <w:szCs w:val="28"/>
                <w:highlight w:val="none"/>
              </w:rPr>
            </w:pPr>
          </w:p>
        </w:tc>
        <w:tc>
          <w:tcPr>
            <w:tcW w:w="1090" w:type="dxa"/>
            <w:vAlign w:val="center"/>
          </w:tcPr>
          <w:p>
            <w:pPr>
              <w:spacing w:line="360" w:lineRule="auto"/>
              <w:jc w:val="center"/>
              <w:rPr>
                <w:rFonts w:ascii="宋体" w:hAnsi="宋体" w:cs="宋体"/>
                <w:color w:val="auto"/>
                <w:kern w:val="0"/>
                <w:sz w:val="24"/>
                <w:szCs w:val="28"/>
                <w:highlight w:val="none"/>
              </w:rPr>
            </w:pPr>
          </w:p>
        </w:tc>
        <w:tc>
          <w:tcPr>
            <w:tcW w:w="1091"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p>
        </w:tc>
        <w:tc>
          <w:tcPr>
            <w:tcW w:w="1894" w:type="dxa"/>
            <w:vAlign w:val="center"/>
          </w:tcPr>
          <w:p>
            <w:pPr>
              <w:spacing w:line="360" w:lineRule="auto"/>
              <w:jc w:val="center"/>
              <w:rPr>
                <w:rFonts w:ascii="宋体" w:hAnsi="宋体" w:cs="宋体"/>
                <w:color w:val="auto"/>
                <w:kern w:val="0"/>
                <w:sz w:val="24"/>
                <w:szCs w:val="28"/>
                <w:highlight w:val="none"/>
              </w:rPr>
            </w:pPr>
          </w:p>
        </w:tc>
        <w:tc>
          <w:tcPr>
            <w:tcW w:w="2986" w:type="dxa"/>
            <w:vAlign w:val="center"/>
          </w:tcPr>
          <w:p>
            <w:pPr>
              <w:spacing w:line="360" w:lineRule="auto"/>
              <w:jc w:val="center"/>
              <w:rPr>
                <w:rFonts w:ascii="宋体" w:hAnsi="宋体" w:cs="宋体"/>
                <w:color w:val="auto"/>
                <w:kern w:val="0"/>
                <w:sz w:val="24"/>
                <w:szCs w:val="28"/>
                <w:highlight w:val="none"/>
              </w:rPr>
            </w:pPr>
          </w:p>
        </w:tc>
        <w:tc>
          <w:tcPr>
            <w:tcW w:w="1652" w:type="dxa"/>
            <w:vAlign w:val="center"/>
          </w:tcPr>
          <w:p>
            <w:pPr>
              <w:spacing w:line="360" w:lineRule="auto"/>
              <w:jc w:val="center"/>
              <w:rPr>
                <w:rFonts w:ascii="宋体" w:hAnsi="宋体" w:cs="宋体"/>
                <w:color w:val="auto"/>
                <w:kern w:val="0"/>
                <w:sz w:val="24"/>
                <w:szCs w:val="28"/>
                <w:highlight w:val="none"/>
              </w:rPr>
            </w:pPr>
          </w:p>
        </w:tc>
        <w:tc>
          <w:tcPr>
            <w:tcW w:w="1090" w:type="dxa"/>
            <w:vAlign w:val="center"/>
          </w:tcPr>
          <w:p>
            <w:pPr>
              <w:spacing w:line="360" w:lineRule="auto"/>
              <w:jc w:val="center"/>
              <w:rPr>
                <w:rFonts w:ascii="宋体" w:hAnsi="宋体" w:cs="宋体"/>
                <w:color w:val="auto"/>
                <w:kern w:val="0"/>
                <w:sz w:val="24"/>
                <w:szCs w:val="28"/>
                <w:highlight w:val="none"/>
              </w:rPr>
            </w:pPr>
          </w:p>
        </w:tc>
        <w:tc>
          <w:tcPr>
            <w:tcW w:w="1091"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p>
        </w:tc>
        <w:tc>
          <w:tcPr>
            <w:tcW w:w="1894" w:type="dxa"/>
            <w:vAlign w:val="center"/>
          </w:tcPr>
          <w:p>
            <w:pPr>
              <w:spacing w:line="360" w:lineRule="auto"/>
              <w:jc w:val="center"/>
              <w:rPr>
                <w:rFonts w:ascii="宋体" w:hAnsi="宋体" w:cs="宋体"/>
                <w:color w:val="auto"/>
                <w:kern w:val="0"/>
                <w:sz w:val="24"/>
                <w:szCs w:val="28"/>
                <w:highlight w:val="none"/>
              </w:rPr>
            </w:pPr>
          </w:p>
        </w:tc>
        <w:tc>
          <w:tcPr>
            <w:tcW w:w="2986" w:type="dxa"/>
            <w:vAlign w:val="center"/>
          </w:tcPr>
          <w:p>
            <w:pPr>
              <w:spacing w:line="360" w:lineRule="auto"/>
              <w:jc w:val="center"/>
              <w:rPr>
                <w:rFonts w:ascii="宋体" w:hAnsi="宋体" w:cs="宋体"/>
                <w:color w:val="auto"/>
                <w:kern w:val="0"/>
                <w:sz w:val="24"/>
                <w:szCs w:val="28"/>
                <w:highlight w:val="none"/>
              </w:rPr>
            </w:pPr>
          </w:p>
        </w:tc>
        <w:tc>
          <w:tcPr>
            <w:tcW w:w="1652" w:type="dxa"/>
            <w:vAlign w:val="center"/>
          </w:tcPr>
          <w:p>
            <w:pPr>
              <w:spacing w:line="360" w:lineRule="auto"/>
              <w:jc w:val="center"/>
              <w:rPr>
                <w:rFonts w:ascii="宋体" w:hAnsi="宋体" w:cs="宋体"/>
                <w:color w:val="auto"/>
                <w:kern w:val="0"/>
                <w:sz w:val="24"/>
                <w:szCs w:val="28"/>
                <w:highlight w:val="none"/>
              </w:rPr>
            </w:pPr>
          </w:p>
        </w:tc>
        <w:tc>
          <w:tcPr>
            <w:tcW w:w="1090" w:type="dxa"/>
            <w:vAlign w:val="center"/>
          </w:tcPr>
          <w:p>
            <w:pPr>
              <w:spacing w:line="360" w:lineRule="auto"/>
              <w:jc w:val="center"/>
              <w:rPr>
                <w:rFonts w:ascii="宋体" w:hAnsi="宋体" w:cs="宋体"/>
                <w:color w:val="auto"/>
                <w:kern w:val="0"/>
                <w:sz w:val="24"/>
                <w:szCs w:val="28"/>
                <w:highlight w:val="none"/>
              </w:rPr>
            </w:pPr>
          </w:p>
        </w:tc>
        <w:tc>
          <w:tcPr>
            <w:tcW w:w="1091"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p>
        </w:tc>
        <w:tc>
          <w:tcPr>
            <w:tcW w:w="1894" w:type="dxa"/>
            <w:vAlign w:val="center"/>
          </w:tcPr>
          <w:p>
            <w:pPr>
              <w:spacing w:line="360" w:lineRule="auto"/>
              <w:jc w:val="center"/>
              <w:rPr>
                <w:rFonts w:ascii="宋体" w:hAnsi="宋体" w:cs="宋体"/>
                <w:color w:val="auto"/>
                <w:kern w:val="0"/>
                <w:sz w:val="24"/>
                <w:szCs w:val="28"/>
                <w:highlight w:val="none"/>
              </w:rPr>
            </w:pPr>
          </w:p>
        </w:tc>
        <w:tc>
          <w:tcPr>
            <w:tcW w:w="2986" w:type="dxa"/>
            <w:vAlign w:val="center"/>
          </w:tcPr>
          <w:p>
            <w:pPr>
              <w:spacing w:line="360" w:lineRule="auto"/>
              <w:jc w:val="center"/>
              <w:rPr>
                <w:rFonts w:ascii="宋体" w:hAnsi="宋体" w:cs="宋体"/>
                <w:color w:val="auto"/>
                <w:kern w:val="0"/>
                <w:sz w:val="24"/>
                <w:szCs w:val="28"/>
                <w:highlight w:val="none"/>
              </w:rPr>
            </w:pPr>
          </w:p>
        </w:tc>
        <w:tc>
          <w:tcPr>
            <w:tcW w:w="1652" w:type="dxa"/>
            <w:vAlign w:val="center"/>
          </w:tcPr>
          <w:p>
            <w:pPr>
              <w:spacing w:line="360" w:lineRule="auto"/>
              <w:jc w:val="center"/>
              <w:rPr>
                <w:rFonts w:ascii="宋体" w:hAnsi="宋体" w:cs="宋体"/>
                <w:color w:val="auto"/>
                <w:kern w:val="0"/>
                <w:sz w:val="24"/>
                <w:szCs w:val="28"/>
                <w:highlight w:val="none"/>
              </w:rPr>
            </w:pPr>
          </w:p>
        </w:tc>
        <w:tc>
          <w:tcPr>
            <w:tcW w:w="1090" w:type="dxa"/>
            <w:vAlign w:val="center"/>
          </w:tcPr>
          <w:p>
            <w:pPr>
              <w:spacing w:line="360" w:lineRule="auto"/>
              <w:jc w:val="center"/>
              <w:rPr>
                <w:rFonts w:ascii="宋体" w:hAnsi="宋体" w:cs="宋体"/>
                <w:color w:val="auto"/>
                <w:kern w:val="0"/>
                <w:sz w:val="24"/>
                <w:szCs w:val="28"/>
                <w:highlight w:val="none"/>
              </w:rPr>
            </w:pPr>
          </w:p>
        </w:tc>
        <w:tc>
          <w:tcPr>
            <w:tcW w:w="1091" w:type="dxa"/>
            <w:vAlign w:val="center"/>
          </w:tcPr>
          <w:p>
            <w:pPr>
              <w:spacing w:line="360" w:lineRule="auto"/>
              <w:jc w:val="center"/>
              <w:rPr>
                <w:rFonts w:ascii="宋体" w:hAnsi="宋体" w:cs="宋体"/>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ascii="宋体" w:hAnsi="宋体" w:cs="宋体"/>
                <w:color w:val="auto"/>
                <w:kern w:val="0"/>
                <w:sz w:val="24"/>
                <w:szCs w:val="28"/>
                <w:highlight w:val="none"/>
              </w:rPr>
            </w:pPr>
          </w:p>
        </w:tc>
        <w:tc>
          <w:tcPr>
            <w:tcW w:w="1894" w:type="dxa"/>
            <w:vAlign w:val="center"/>
          </w:tcPr>
          <w:p>
            <w:pPr>
              <w:spacing w:line="360" w:lineRule="auto"/>
              <w:jc w:val="center"/>
              <w:rPr>
                <w:rFonts w:ascii="宋体" w:hAnsi="宋体" w:cs="宋体"/>
                <w:color w:val="auto"/>
                <w:kern w:val="0"/>
                <w:sz w:val="24"/>
                <w:szCs w:val="28"/>
                <w:highlight w:val="none"/>
              </w:rPr>
            </w:pPr>
          </w:p>
        </w:tc>
        <w:tc>
          <w:tcPr>
            <w:tcW w:w="2986" w:type="dxa"/>
            <w:vAlign w:val="center"/>
          </w:tcPr>
          <w:p>
            <w:pPr>
              <w:spacing w:line="360" w:lineRule="auto"/>
              <w:jc w:val="center"/>
              <w:rPr>
                <w:rFonts w:ascii="宋体" w:hAnsi="宋体" w:cs="宋体"/>
                <w:color w:val="auto"/>
                <w:kern w:val="0"/>
                <w:sz w:val="24"/>
                <w:szCs w:val="28"/>
                <w:highlight w:val="none"/>
              </w:rPr>
            </w:pPr>
          </w:p>
        </w:tc>
        <w:tc>
          <w:tcPr>
            <w:tcW w:w="1652" w:type="dxa"/>
            <w:vAlign w:val="center"/>
          </w:tcPr>
          <w:p>
            <w:pPr>
              <w:spacing w:line="360" w:lineRule="auto"/>
              <w:jc w:val="center"/>
              <w:rPr>
                <w:rFonts w:ascii="宋体" w:hAnsi="宋体" w:cs="宋体"/>
                <w:color w:val="auto"/>
                <w:kern w:val="0"/>
                <w:sz w:val="24"/>
                <w:szCs w:val="28"/>
                <w:highlight w:val="none"/>
              </w:rPr>
            </w:pPr>
          </w:p>
        </w:tc>
        <w:tc>
          <w:tcPr>
            <w:tcW w:w="1090" w:type="dxa"/>
            <w:vAlign w:val="center"/>
          </w:tcPr>
          <w:p>
            <w:pPr>
              <w:spacing w:line="360" w:lineRule="auto"/>
              <w:jc w:val="center"/>
              <w:rPr>
                <w:rFonts w:ascii="宋体" w:hAnsi="宋体" w:cs="宋体"/>
                <w:color w:val="auto"/>
                <w:kern w:val="0"/>
                <w:sz w:val="24"/>
                <w:szCs w:val="28"/>
                <w:highlight w:val="none"/>
              </w:rPr>
            </w:pPr>
          </w:p>
        </w:tc>
        <w:tc>
          <w:tcPr>
            <w:tcW w:w="1091" w:type="dxa"/>
            <w:vAlign w:val="center"/>
          </w:tcPr>
          <w:p>
            <w:pPr>
              <w:spacing w:line="360" w:lineRule="auto"/>
              <w:jc w:val="center"/>
              <w:rPr>
                <w:rFonts w:ascii="宋体" w:hAnsi="宋体" w:cs="宋体"/>
                <w:color w:val="auto"/>
                <w:kern w:val="0"/>
                <w:sz w:val="24"/>
                <w:szCs w:val="28"/>
                <w:highlight w:val="none"/>
              </w:rPr>
            </w:pPr>
          </w:p>
        </w:tc>
      </w:tr>
    </w:tbl>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说明：（1）供应商应按项目采购需求中的技术服务需求及要求，结合自身磋商情况对技术服务需求条款逐条响应。（2）当响应文件响应的技术服务需求条款完全响应采购文件要求时，供应商应注明“无偏离”；低于采购文件要求时，应注明“负偏离”；优于采购文件要求的，应注明“正偏离”。</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法定代表人（负责人）或其授权代表(签字或盖章)：____________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日期：______年____月____日</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三、供应商服务承诺（应包含售后服务承诺）</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（正文内容自拟）</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四、用于本项目人员简历表</w:t>
      </w:r>
    </w:p>
    <w:p>
      <w:pPr>
        <w:ind w:firstLine="480" w:firstLineChars="200"/>
        <w:rPr>
          <w:rFonts w:ascii="宋体" w:hAnsi="宋体" w:cs="宋体"/>
          <w:color w:val="auto"/>
          <w:kern w:val="0"/>
          <w:sz w:val="24"/>
          <w:szCs w:val="28"/>
          <w:highlight w:val="none"/>
        </w:rPr>
      </w:pPr>
    </w:p>
    <w:p>
      <w:pPr>
        <w:pStyle w:val="20"/>
        <w:ind w:firstLine="562" w:firstLineChars="200"/>
        <w:jc w:val="center"/>
        <w:rPr>
          <w:rFonts w:ascii="MingLiU_HKSCS" w:hAnsi="MingLiU_HKSCS" w:eastAsia="MingLiU_HKSCS"/>
          <w:color w:val="auto"/>
          <w:highlight w:val="none"/>
        </w:rPr>
      </w:pPr>
      <w:r>
        <w:rPr>
          <w:rFonts w:hint="eastAsia" w:hAnsi="宋体" w:cs="Calibri"/>
          <w:b/>
          <w:color w:val="auto"/>
          <w:sz w:val="28"/>
          <w:szCs w:val="22"/>
          <w:highlight w:val="none"/>
        </w:rPr>
        <w:t>用于本项目人员简历表</w:t>
      </w:r>
    </w:p>
    <w:tbl>
      <w:tblPr>
        <w:tblStyle w:val="43"/>
        <w:tblW w:w="9618" w:type="dxa"/>
        <w:tblInd w:w="0" w:type="dxa"/>
        <w:tblLayout w:type="fixed"/>
        <w:tblCellMar>
          <w:top w:w="0" w:type="dxa"/>
          <w:left w:w="108" w:type="dxa"/>
          <w:bottom w:w="0" w:type="dxa"/>
          <w:right w:w="108" w:type="dxa"/>
        </w:tblCellMar>
      </w:tblPr>
      <w:tblGrid>
        <w:gridCol w:w="501"/>
        <w:gridCol w:w="866"/>
        <w:gridCol w:w="865"/>
        <w:gridCol w:w="816"/>
        <w:gridCol w:w="840"/>
        <w:gridCol w:w="1260"/>
        <w:gridCol w:w="1260"/>
        <w:gridCol w:w="1440"/>
        <w:gridCol w:w="1770"/>
      </w:tblGrid>
      <w:tr>
        <w:tblPrEx>
          <w:tblCellMar>
            <w:top w:w="0" w:type="dxa"/>
            <w:left w:w="108" w:type="dxa"/>
            <w:bottom w:w="0" w:type="dxa"/>
            <w:right w:w="108" w:type="dxa"/>
          </w:tblCellMar>
        </w:tblPrEx>
        <w:trPr>
          <w:trHeight w:val="1027" w:hRule="atLeast"/>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持何种资格证书</w:t>
            </w:r>
            <w:r>
              <w:rPr>
                <w:rFonts w:hint="eastAsia" w:ascii="宋体" w:hAnsi="宋体"/>
                <w:color w:val="auto"/>
                <w:kern w:val="0"/>
                <w:sz w:val="28"/>
                <w:highlight w:val="none"/>
              </w:rPr>
              <w:t>（证书号）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szCs w:val="22"/>
                <w:highlight w:val="none"/>
              </w:rPr>
              <w:t>从事本工作时间</w:t>
            </w:r>
          </w:p>
        </w:tc>
        <w:tc>
          <w:tcPr>
            <w:tcW w:w="1440"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r>
              <w:rPr>
                <w:rFonts w:hint="eastAsia" w:ascii="宋体" w:hAnsi="宋体"/>
                <w:color w:val="auto"/>
                <w:kern w:val="0"/>
                <w:sz w:val="28"/>
                <w:highlight w:val="none"/>
              </w:rPr>
              <w:t>近X年来承担类似项目名称</w:t>
            </w:r>
          </w:p>
        </w:tc>
        <w:tc>
          <w:tcPr>
            <w:tcW w:w="1770"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highlight w:val="none"/>
              </w:rPr>
            </w:pPr>
            <w:r>
              <w:rPr>
                <w:rFonts w:hint="eastAsia" w:ascii="宋体" w:hAnsi="宋体"/>
                <w:color w:val="auto"/>
                <w:kern w:val="0"/>
                <w:sz w:val="28"/>
                <w:szCs w:val="22"/>
                <w:highlight w:val="none"/>
              </w:rPr>
              <w:t>本项目拟任职务</w:t>
            </w: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05"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84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highlight w:val="none"/>
              </w:rPr>
            </w:pPr>
          </w:p>
        </w:tc>
        <w:tc>
          <w:tcPr>
            <w:tcW w:w="1440"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ascii="宋体" w:hAnsi="宋体"/>
                <w:color w:val="auto"/>
                <w:kern w:val="0"/>
                <w:sz w:val="28"/>
                <w:szCs w:val="22"/>
                <w:highlight w:val="none"/>
              </w:rPr>
            </w:pPr>
          </w:p>
        </w:tc>
        <w:tc>
          <w:tcPr>
            <w:tcW w:w="1770" w:type="dxa"/>
            <w:tcBorders>
              <w:top w:val="single" w:color="auto" w:sz="6" w:space="0"/>
              <w:left w:val="single" w:color="auto" w:sz="6" w:space="0"/>
              <w:bottom w:val="single" w:color="auto" w:sz="4" w:space="0"/>
              <w:right w:val="single" w:color="auto" w:sz="4" w:space="0"/>
            </w:tcBorders>
          </w:tcPr>
          <w:p>
            <w:pPr>
              <w:spacing w:before="50" w:after="50" w:line="420" w:lineRule="exact"/>
              <w:jc w:val="center"/>
              <w:rPr>
                <w:rFonts w:ascii="宋体" w:hAnsi="宋体"/>
                <w:color w:val="auto"/>
                <w:kern w:val="0"/>
                <w:sz w:val="28"/>
                <w:highlight w:val="none"/>
              </w:rPr>
            </w:pPr>
          </w:p>
        </w:tc>
      </w:tr>
    </w:tbl>
    <w:p>
      <w:pPr>
        <w:pStyle w:val="20"/>
        <w:ind w:firstLine="400" w:firstLineChars="200"/>
        <w:rPr>
          <w:rFonts w:ascii="Times New Roman"/>
          <w:color w:val="auto"/>
          <w:highlight w:val="none"/>
        </w:rPr>
      </w:pPr>
    </w:p>
    <w:p>
      <w:pPr>
        <w:pStyle w:val="2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注：需提供本项目投入人员的毕业证书（含专业）、职称证书、资格证书或其他相关执业证书，以及供应商与项目投入人员签署的有效劳动合同复印件（合同须体现相关工作内容）等证明材料；相关工作经验可提供人员参与类似项目名称、在该项目中担任的工作等工作履历。以上材料均需加盖公章（供应商如能够在线查询的材料，请提供查询网址链接，可以不用同时提供纸质材料）。</w:t>
      </w:r>
    </w:p>
    <w:p>
      <w:pPr>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供应商名称(公章)：____________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法定代表人（负责人）或授权代表(签字或盖章)：____________</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日期：______年____月____日</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五、磋商标的物符合磋商文件规定的证明文件</w:t>
      </w: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(示例略)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备注：提供第二章“磋商须知前附表”和第六章“项目采购需求”要求(包括磋商标的物的强制性认证、注册等)的证明材料复印件。</w:t>
      </w:r>
    </w:p>
    <w:p>
      <w:pPr>
        <w:spacing w:line="360" w:lineRule="auto"/>
        <w:ind w:firstLine="480" w:firstLineChars="200"/>
        <w:rPr>
          <w:rFonts w:ascii="宋体" w:hAnsi="宋体" w:cs="宋体"/>
          <w:color w:val="auto"/>
          <w:kern w:val="0"/>
          <w:sz w:val="24"/>
          <w:szCs w:val="28"/>
          <w:highlight w:val="none"/>
        </w:rPr>
      </w:pPr>
    </w:p>
    <w:p>
      <w:pPr>
        <w:spacing w:line="360" w:lineRule="auto"/>
        <w:ind w:firstLine="480" w:firstLineChars="200"/>
        <w:rPr>
          <w:rFonts w:ascii="宋体" w:hAnsi="宋体" w:cs="宋体"/>
          <w:color w:val="auto"/>
          <w:kern w:val="0"/>
          <w:sz w:val="24"/>
          <w:szCs w:val="28"/>
          <w:highlight w:val="none"/>
        </w:rPr>
      </w:pPr>
      <w:r>
        <w:rPr>
          <w:rFonts w:hint="eastAsia" w:ascii="宋体" w:hAnsi="宋体" w:cs="宋体"/>
          <w:color w:val="auto"/>
          <w:kern w:val="0"/>
          <w:sz w:val="24"/>
          <w:szCs w:val="28"/>
          <w:highlight w:val="none"/>
        </w:rPr>
        <w:t>六、其他资料</w:t>
      </w:r>
    </w:p>
    <w:p>
      <w:pPr>
        <w:spacing w:line="360" w:lineRule="auto"/>
        <w:jc w:val="center"/>
        <w:outlineLvl w:val="0"/>
        <w:rPr>
          <w:rFonts w:cs="Courier New"/>
          <w:b/>
          <w:color w:val="auto"/>
          <w:sz w:val="28"/>
          <w:highlight w:val="none"/>
        </w:rPr>
      </w:pPr>
      <w:r>
        <w:rPr>
          <w:rFonts w:hint="eastAsia" w:ascii="宋体" w:hAnsi="宋体" w:cs="宋体"/>
          <w:color w:val="auto"/>
          <w:sz w:val="28"/>
          <w:szCs w:val="28"/>
          <w:highlight w:val="none"/>
        </w:rPr>
        <w:br w:type="page"/>
      </w:r>
      <w:bookmarkStart w:id="78" w:name="_Toc5623"/>
      <w:bookmarkStart w:id="79" w:name="_Toc17978"/>
      <w:r>
        <w:rPr>
          <w:rFonts w:hint="eastAsia" w:cs="Courier New"/>
          <w:b/>
          <w:color w:val="auto"/>
          <w:sz w:val="28"/>
          <w:highlight w:val="none"/>
        </w:rPr>
        <w:t>第二部分　技术部分</w:t>
      </w:r>
      <w:bookmarkEnd w:id="78"/>
    </w:p>
    <w:bookmarkEnd w:id="79"/>
    <w:p>
      <w:pPr>
        <w:spacing w:line="360" w:lineRule="auto"/>
        <w:ind w:firstLine="413" w:firstLineChars="196"/>
        <w:rPr>
          <w:rFonts w:ascii="宋体" w:hAnsi="宋体" w:cs="宋体"/>
          <w:b/>
          <w:bCs/>
          <w:color w:val="auto"/>
          <w:szCs w:val="21"/>
          <w:highlight w:val="none"/>
        </w:rPr>
      </w:pPr>
      <w:bookmarkStart w:id="80" w:name="_Toc457576272"/>
    </w:p>
    <w:p>
      <w:pPr>
        <w:pStyle w:val="15"/>
        <w:jc w:val="center"/>
        <w:rPr>
          <w:color w:val="auto"/>
          <w:highlight w:val="none"/>
        </w:rPr>
      </w:pPr>
      <w:r>
        <w:rPr>
          <w:rFonts w:hint="eastAsia" w:ascii="宋体" w:hAnsi="宋体" w:cs="宋体"/>
          <w:b/>
          <w:color w:val="auto"/>
          <w:sz w:val="28"/>
          <w:szCs w:val="28"/>
          <w:highlight w:val="none"/>
        </w:rPr>
        <w:t>第六章 项目采购需求</w:t>
      </w:r>
    </w:p>
    <w:p>
      <w:pPr>
        <w:spacing w:line="360" w:lineRule="auto"/>
        <w:ind w:firstLine="413" w:firstLineChars="196"/>
        <w:jc w:val="center"/>
        <w:rPr>
          <w:rFonts w:ascii="宋体" w:hAnsi="宋体" w:cs="宋体"/>
          <w:b/>
          <w:bCs/>
          <w:color w:val="auto"/>
          <w:szCs w:val="21"/>
          <w:highlight w:val="none"/>
        </w:rPr>
      </w:pPr>
    </w:p>
    <w:p>
      <w:pPr>
        <w:spacing w:line="360" w:lineRule="auto"/>
        <w:ind w:firstLine="630" w:firstLineChars="19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第一节  技术服务需求及要求</w:t>
      </w:r>
    </w:p>
    <w:bookmarkEnd w:id="80"/>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ind w:firstLine="413" w:firstLineChars="196"/>
        <w:rPr>
          <w:rFonts w:ascii="宋体" w:hAnsi="宋体" w:cs="宋体"/>
          <w:b/>
          <w:bCs/>
          <w:color w:val="auto"/>
          <w:szCs w:val="21"/>
          <w:highlight w:val="none"/>
          <w:u w:val="single"/>
        </w:rPr>
      </w:pPr>
      <w:r>
        <w:rPr>
          <w:rFonts w:hint="eastAsia" w:ascii="宋体" w:hAnsi="宋体" w:cs="宋体"/>
          <w:b/>
          <w:bCs/>
          <w:color w:val="auto"/>
          <w:szCs w:val="21"/>
          <w:highlight w:val="none"/>
        </w:rPr>
        <w:t>磋商文件中带“★”的条款为实质性要求和条件，供应商须满足或响应，若无法完全满足，将会被认定为无效竞标。</w:t>
      </w:r>
    </w:p>
    <w:p>
      <w:pPr>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u w:val="single"/>
        </w:rPr>
        <w:t>采购内容所属行业：其他未列明行业</w:t>
      </w:r>
    </w:p>
    <w:p>
      <w:pPr>
        <w:spacing w:line="360" w:lineRule="auto"/>
        <w:ind w:firstLine="413" w:firstLineChars="196"/>
        <w:rPr>
          <w:rFonts w:ascii="宋体" w:hAnsi="宋体" w:cs="宋体"/>
          <w:b/>
          <w:bCs/>
          <w:color w:val="auto"/>
          <w:szCs w:val="21"/>
          <w:highlight w:val="none"/>
        </w:rPr>
      </w:pPr>
    </w:p>
    <w:p>
      <w:pPr>
        <w:jc w:val="center"/>
        <w:rPr>
          <w:rFonts w:ascii="宋体" w:hAnsi="宋体" w:cs="Courier New"/>
          <w:bCs/>
          <w:color w:val="auto"/>
          <w:sz w:val="28"/>
          <w:highlight w:val="none"/>
        </w:rPr>
      </w:pPr>
      <w:r>
        <w:rPr>
          <w:rFonts w:hint="eastAsia" w:ascii="宋体" w:hAnsi="宋体" w:cs="Courier New"/>
          <w:bCs/>
          <w:color w:val="auto"/>
          <w:sz w:val="28"/>
          <w:highlight w:val="none"/>
        </w:rPr>
        <w:t>项目采购需求</w:t>
      </w:r>
    </w:p>
    <w:p>
      <w:pPr>
        <w:spacing w:line="360" w:lineRule="auto"/>
        <w:ind w:left="106" w:firstLine="482" w:firstLineChars="200"/>
        <w:rPr>
          <w:rFonts w:ascii="宋体" w:hAnsi="宋体"/>
          <w:b/>
          <w:bCs/>
          <w:color w:val="auto"/>
          <w:kern w:val="10"/>
          <w:sz w:val="24"/>
          <w:highlight w:val="none"/>
        </w:rPr>
      </w:pPr>
    </w:p>
    <w:p>
      <w:pPr>
        <w:spacing w:line="360" w:lineRule="auto"/>
        <w:ind w:left="106" w:firstLine="422" w:firstLineChars="200"/>
        <w:rPr>
          <w:rFonts w:ascii="宋体" w:hAnsi="宋体"/>
          <w:color w:val="auto"/>
          <w:kern w:val="10"/>
          <w:szCs w:val="21"/>
          <w:highlight w:val="none"/>
        </w:rPr>
      </w:pPr>
      <w:r>
        <w:rPr>
          <w:rFonts w:hint="eastAsia" w:ascii="宋体" w:hAnsi="宋体"/>
          <w:b/>
          <w:color w:val="auto"/>
          <w:kern w:val="10"/>
          <w:szCs w:val="21"/>
          <w:highlight w:val="none"/>
        </w:rPr>
        <w:t>一、</w:t>
      </w:r>
      <w:r>
        <w:rPr>
          <w:rFonts w:ascii="宋体" w:hAnsi="宋体"/>
          <w:b/>
          <w:color w:val="auto"/>
          <w:kern w:val="10"/>
          <w:szCs w:val="21"/>
          <w:highlight w:val="none"/>
        </w:rPr>
        <w:t>项目概述</w:t>
      </w:r>
      <w:r>
        <w:rPr>
          <w:rFonts w:hint="eastAsia" w:ascii="宋体" w:hAnsi="宋体"/>
          <w:b/>
          <w:color w:val="auto"/>
          <w:kern w:val="10"/>
          <w:szCs w:val="21"/>
          <w:highlight w:val="none"/>
        </w:rPr>
        <w:t>：</w:t>
      </w:r>
    </w:p>
    <w:p>
      <w:pPr>
        <w:spacing w:line="360" w:lineRule="auto"/>
        <w:ind w:left="106" w:firstLine="420" w:firstLineChars="200"/>
        <w:rPr>
          <w:rFonts w:ascii="宋体" w:hAnsi="宋体"/>
          <w:color w:val="auto"/>
          <w:kern w:val="10"/>
          <w:szCs w:val="21"/>
          <w:highlight w:val="none"/>
        </w:rPr>
      </w:pPr>
      <w:bookmarkStart w:id="81" w:name="OLE_LINK2"/>
      <w:r>
        <w:rPr>
          <w:rFonts w:hint="eastAsia" w:ascii="宋体" w:hAnsi="宋体"/>
          <w:color w:val="auto"/>
          <w:kern w:val="10"/>
          <w:szCs w:val="21"/>
          <w:highlight w:val="none"/>
        </w:rPr>
        <w:t>（一）</w:t>
      </w:r>
      <w:r>
        <w:rPr>
          <w:rFonts w:hint="eastAsia" w:ascii="宋体" w:hAnsi="宋体" w:cs="宋体"/>
          <w:color w:val="auto"/>
          <w:szCs w:val="21"/>
          <w:highlight w:val="none"/>
        </w:rPr>
        <w:t>国家税务总局玉林市经济开发区税务局办税服务厅非执法类辅助性服务</w:t>
      </w:r>
      <w:r>
        <w:rPr>
          <w:rFonts w:ascii="宋体" w:hAnsi="宋体"/>
          <w:color w:val="auto"/>
          <w:kern w:val="10"/>
          <w:szCs w:val="21"/>
          <w:highlight w:val="none"/>
        </w:rPr>
        <w:t>，本项目</w:t>
      </w:r>
      <w:r>
        <w:rPr>
          <w:rFonts w:hint="eastAsia" w:ascii="宋体" w:hAnsi="宋体"/>
          <w:color w:val="auto"/>
          <w:kern w:val="10"/>
          <w:szCs w:val="21"/>
          <w:highlight w:val="none"/>
        </w:rPr>
        <w:t>服务内容为：按照工作要求和工作完成时限（7个月），完成以下任务：</w:t>
      </w:r>
    </w:p>
    <w:p>
      <w:pPr>
        <w:pStyle w:val="2"/>
        <w:ind w:firstLine="630" w:firstLineChars="300"/>
        <w:rPr>
          <w:color w:val="auto"/>
          <w:highlight w:val="none"/>
        </w:rPr>
      </w:pPr>
      <w:r>
        <w:rPr>
          <w:rFonts w:hint="eastAsia"/>
          <w:color w:val="auto"/>
          <w:highlight w:val="none"/>
        </w:rPr>
        <w:t>办税服务厅非执法类辅助性服务。</w:t>
      </w:r>
    </w:p>
    <w:p>
      <w:pPr>
        <w:spacing w:line="360" w:lineRule="auto"/>
        <w:ind w:left="106" w:firstLine="420" w:firstLineChars="200"/>
        <w:rPr>
          <w:rFonts w:ascii="宋体" w:hAnsi="宋体"/>
          <w:color w:val="auto"/>
          <w:kern w:val="10"/>
          <w:szCs w:val="21"/>
          <w:highlight w:val="none"/>
        </w:rPr>
      </w:pPr>
      <w:r>
        <w:rPr>
          <w:rFonts w:hint="eastAsia" w:ascii="宋体" w:hAnsi="宋体"/>
          <w:color w:val="auto"/>
          <w:kern w:val="10"/>
          <w:szCs w:val="21"/>
          <w:highlight w:val="none"/>
        </w:rPr>
        <w:t>1、纳税服务类：办税服务厅非执法类服务、税收宣传、纳税申报提醒服务。</w:t>
      </w:r>
    </w:p>
    <w:p>
      <w:pPr>
        <w:spacing w:line="360" w:lineRule="auto"/>
        <w:ind w:left="106" w:firstLine="420" w:firstLineChars="200"/>
        <w:rPr>
          <w:rFonts w:ascii="宋体" w:hAnsi="宋体"/>
          <w:color w:val="auto"/>
          <w:kern w:val="10"/>
          <w:szCs w:val="21"/>
          <w:highlight w:val="none"/>
        </w:rPr>
      </w:pPr>
      <w:r>
        <w:rPr>
          <w:rFonts w:hint="eastAsia" w:ascii="宋体" w:hAnsi="宋体"/>
          <w:color w:val="auto"/>
          <w:kern w:val="10"/>
          <w:szCs w:val="21"/>
          <w:highlight w:val="none"/>
        </w:rPr>
        <w:t>2、非税业务类：社保费、医保费等非税收入的宣传，收集缴费人、经办人员遇到的各类问题，引导并推广相关非税缴费业务网上办理。</w:t>
      </w:r>
    </w:p>
    <w:p>
      <w:pPr>
        <w:spacing w:line="360" w:lineRule="auto"/>
        <w:ind w:left="106" w:firstLine="420" w:firstLineChars="200"/>
        <w:rPr>
          <w:rFonts w:ascii="宋体" w:hAnsi="宋体"/>
          <w:color w:val="auto"/>
          <w:kern w:val="10"/>
          <w:szCs w:val="21"/>
          <w:highlight w:val="none"/>
        </w:rPr>
      </w:pPr>
      <w:r>
        <w:rPr>
          <w:rFonts w:hint="eastAsia" w:ascii="宋体" w:hAnsi="宋体"/>
          <w:color w:val="auto"/>
          <w:kern w:val="10"/>
          <w:szCs w:val="21"/>
          <w:highlight w:val="none"/>
        </w:rPr>
        <w:t>（二）</w:t>
      </w:r>
      <w:r>
        <w:rPr>
          <w:rFonts w:hint="eastAsia" w:ascii="宋体" w:hAnsi="宋体"/>
          <w:color w:val="auto"/>
          <w:kern w:val="10"/>
          <w:szCs w:val="21"/>
          <w:highlight w:val="none"/>
          <w:lang w:eastAsia="zh-CN"/>
        </w:rPr>
        <w:t>成交供应商</w:t>
      </w:r>
      <w:r>
        <w:rPr>
          <w:rFonts w:hint="eastAsia" w:ascii="宋体" w:hAnsi="宋体"/>
          <w:color w:val="auto"/>
          <w:kern w:val="10"/>
          <w:szCs w:val="21"/>
          <w:highlight w:val="none"/>
        </w:rPr>
        <w:t>按照要求</w:t>
      </w:r>
      <w:r>
        <w:rPr>
          <w:rFonts w:ascii="宋体" w:hAnsi="宋体"/>
          <w:color w:val="auto"/>
          <w:kern w:val="10"/>
          <w:szCs w:val="21"/>
          <w:highlight w:val="none"/>
        </w:rPr>
        <w:t>为采购人提供</w:t>
      </w:r>
      <w:r>
        <w:rPr>
          <w:rFonts w:hint="eastAsia" w:ascii="宋体" w:hAnsi="宋体"/>
          <w:color w:val="auto"/>
          <w:kern w:val="10"/>
          <w:szCs w:val="21"/>
          <w:highlight w:val="none"/>
        </w:rPr>
        <w:t>相关</w:t>
      </w:r>
      <w:r>
        <w:rPr>
          <w:rFonts w:ascii="宋体" w:hAnsi="宋体"/>
          <w:color w:val="auto"/>
          <w:kern w:val="10"/>
          <w:szCs w:val="21"/>
          <w:highlight w:val="none"/>
        </w:rPr>
        <w:t>服务。主要是</w:t>
      </w:r>
      <w:r>
        <w:rPr>
          <w:rFonts w:hint="eastAsia" w:ascii="宋体" w:hAnsi="宋体"/>
          <w:color w:val="auto"/>
          <w:kern w:val="10"/>
          <w:szCs w:val="21"/>
          <w:highlight w:val="none"/>
        </w:rPr>
        <w:t>按照采购人规定的相关工作时限、要求，完成服务工作（服务情况需达到采购人标准）</w:t>
      </w:r>
    </w:p>
    <w:bookmarkEnd w:id="81"/>
    <w:p>
      <w:pPr>
        <w:spacing w:line="360" w:lineRule="auto"/>
        <w:ind w:firstLine="422" w:firstLineChars="200"/>
        <w:rPr>
          <w:rFonts w:ascii="宋体" w:hAnsi="宋体"/>
          <w:b/>
          <w:color w:val="auto"/>
          <w:kern w:val="10"/>
          <w:szCs w:val="21"/>
          <w:highlight w:val="none"/>
        </w:rPr>
      </w:pPr>
      <w:r>
        <w:rPr>
          <w:rFonts w:hint="eastAsia" w:ascii="宋体" w:hAnsi="宋体" w:cs="宋体"/>
          <w:b/>
          <w:bCs/>
          <w:color w:val="auto"/>
          <w:szCs w:val="21"/>
          <w:highlight w:val="none"/>
        </w:rPr>
        <w:t>★</w:t>
      </w:r>
      <w:r>
        <w:rPr>
          <w:rFonts w:hint="eastAsia" w:ascii="宋体" w:hAnsi="宋体"/>
          <w:b/>
          <w:color w:val="auto"/>
          <w:kern w:val="10"/>
          <w:szCs w:val="21"/>
          <w:highlight w:val="none"/>
        </w:rPr>
        <w:t>二</w:t>
      </w:r>
      <w:r>
        <w:rPr>
          <w:rFonts w:ascii="宋体" w:hAnsi="宋体"/>
          <w:b/>
          <w:color w:val="auto"/>
          <w:kern w:val="10"/>
          <w:szCs w:val="21"/>
          <w:highlight w:val="none"/>
        </w:rPr>
        <w:t>、 服务要求：</w:t>
      </w:r>
    </w:p>
    <w:p>
      <w:pPr>
        <w:spacing w:line="360" w:lineRule="auto"/>
        <w:ind w:left="106" w:right="95" w:firstLine="420" w:firstLineChars="200"/>
        <w:rPr>
          <w:rFonts w:ascii="宋体" w:hAnsi="宋体"/>
          <w:color w:val="auto"/>
          <w:kern w:val="10"/>
          <w:szCs w:val="21"/>
          <w:highlight w:val="none"/>
        </w:rPr>
      </w:pPr>
      <w:r>
        <w:rPr>
          <w:rFonts w:hint="eastAsia" w:ascii="宋体" w:hAnsi="宋体"/>
          <w:color w:val="auto"/>
          <w:kern w:val="10"/>
          <w:szCs w:val="21"/>
          <w:highlight w:val="none"/>
        </w:rPr>
        <w:t>（一）</w:t>
      </w:r>
      <w:r>
        <w:rPr>
          <w:rFonts w:ascii="宋体" w:hAnsi="宋体"/>
          <w:color w:val="auto"/>
          <w:kern w:val="10"/>
          <w:szCs w:val="21"/>
          <w:highlight w:val="none"/>
        </w:rPr>
        <w:t xml:space="preserve"> 要求</w:t>
      </w:r>
      <w:r>
        <w:rPr>
          <w:rFonts w:hint="eastAsia" w:ascii="宋体" w:hAnsi="宋体"/>
          <w:color w:val="auto"/>
          <w:kern w:val="10"/>
          <w:szCs w:val="21"/>
          <w:highlight w:val="none"/>
        </w:rPr>
        <w:t>成交</w:t>
      </w:r>
      <w:r>
        <w:rPr>
          <w:rFonts w:hint="eastAsia" w:ascii="宋体" w:hAnsi="宋体"/>
          <w:color w:val="auto"/>
          <w:kern w:val="10"/>
          <w:szCs w:val="21"/>
          <w:highlight w:val="none"/>
          <w:lang w:eastAsia="zh-CN"/>
        </w:rPr>
        <w:t>供应商</w:t>
      </w:r>
      <w:r>
        <w:rPr>
          <w:rFonts w:ascii="宋体" w:hAnsi="宋体"/>
          <w:color w:val="auto"/>
          <w:kern w:val="10"/>
          <w:szCs w:val="21"/>
          <w:highlight w:val="none"/>
        </w:rPr>
        <w:t>保证提供的</w:t>
      </w:r>
      <w:r>
        <w:rPr>
          <w:rFonts w:hint="eastAsia" w:ascii="宋体" w:hAnsi="宋体"/>
          <w:color w:val="auto"/>
          <w:kern w:val="10"/>
          <w:szCs w:val="21"/>
          <w:highlight w:val="none"/>
        </w:rPr>
        <w:t>办税服务厅非执法类辅助性服务</w:t>
      </w:r>
      <w:r>
        <w:rPr>
          <w:rFonts w:ascii="宋体" w:hAnsi="宋体"/>
          <w:color w:val="auto"/>
          <w:kern w:val="10"/>
          <w:szCs w:val="21"/>
          <w:highlight w:val="none"/>
        </w:rPr>
        <w:t>符合</w:t>
      </w:r>
      <w:r>
        <w:rPr>
          <w:rFonts w:hint="eastAsia" w:ascii="宋体" w:hAnsi="宋体"/>
          <w:color w:val="auto"/>
          <w:kern w:val="10"/>
          <w:szCs w:val="21"/>
          <w:highlight w:val="none"/>
        </w:rPr>
        <w:t>以下</w:t>
      </w:r>
      <w:r>
        <w:rPr>
          <w:rFonts w:ascii="宋体" w:hAnsi="宋体"/>
          <w:color w:val="auto"/>
          <w:kern w:val="10"/>
          <w:szCs w:val="21"/>
          <w:highlight w:val="none"/>
        </w:rPr>
        <w:t>采购</w:t>
      </w:r>
      <w:r>
        <w:rPr>
          <w:rFonts w:hint="eastAsia" w:ascii="宋体" w:hAnsi="宋体"/>
          <w:color w:val="auto"/>
          <w:kern w:val="10"/>
          <w:szCs w:val="21"/>
          <w:highlight w:val="none"/>
        </w:rPr>
        <w:t>服务</w:t>
      </w:r>
      <w:r>
        <w:rPr>
          <w:rFonts w:ascii="宋体" w:hAnsi="宋体"/>
          <w:color w:val="auto"/>
          <w:kern w:val="10"/>
          <w:szCs w:val="21"/>
          <w:highlight w:val="none"/>
        </w:rPr>
        <w:t>要求。</w:t>
      </w:r>
    </w:p>
    <w:p>
      <w:pPr>
        <w:spacing w:line="360" w:lineRule="auto"/>
        <w:ind w:right="95" w:firstLine="420" w:firstLineChars="200"/>
        <w:rPr>
          <w:rFonts w:ascii="宋体" w:hAnsi="宋体"/>
          <w:color w:val="auto"/>
          <w:kern w:val="10"/>
          <w:szCs w:val="21"/>
          <w:highlight w:val="none"/>
        </w:rPr>
      </w:pPr>
      <w:r>
        <w:rPr>
          <w:rFonts w:hint="eastAsia" w:ascii="宋体" w:hAnsi="宋体"/>
          <w:color w:val="auto"/>
          <w:kern w:val="10"/>
          <w:szCs w:val="21"/>
          <w:highlight w:val="none"/>
        </w:rPr>
        <w:t>1、纳税服务类：</w:t>
      </w:r>
    </w:p>
    <w:p>
      <w:pPr>
        <w:spacing w:line="360" w:lineRule="auto"/>
        <w:ind w:right="95"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①回答纳税人咨询事项，引导纳税人有序申报、缴纳税款以及申报涉税事项资料的传递;</w:t>
      </w:r>
    </w:p>
    <w:p>
      <w:pPr>
        <w:spacing w:line="360" w:lineRule="auto"/>
        <w:ind w:right="95"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②引导纳税人到排队叫号系统取号，引导纳税人到相关服务区域办理各项涉税业务。</w:t>
      </w:r>
    </w:p>
    <w:p>
      <w:pPr>
        <w:spacing w:line="360" w:lineRule="auto"/>
        <w:ind w:right="95"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③维护好办税服务厅的自助办税设备，引导纳税人正确使用自助办税设备，确保纳税人办理涉税业务后对相关服务作出评价</w:t>
      </w:r>
    </w:p>
    <w:p>
      <w:pPr>
        <w:spacing w:line="360" w:lineRule="auto"/>
        <w:ind w:right="95"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 xml:space="preserve">④负责办税服务厅表证单书的管理，指导纳税人正确填写相关表证单书。同时负责管理办税服务厅资料柜，定期检查资料柜，对存在数量不足的表证单书及时向采购人进行提醒，让采购人及时补充充实。 </w:t>
      </w:r>
    </w:p>
    <w:p>
      <w:pPr>
        <w:spacing w:line="360" w:lineRule="auto"/>
        <w:ind w:right="95"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⑤协助采购人做好日常税务辅助工作及税收档案资料的收集、整理、归档、移送。</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⑥协助采购人开展各项税收宣传工作，如：减税降费宣传辅导服务；纳税人满意度宣传辅导服务；个人所得税宣传辅导服务；税法遵从度宣传辅导服务等。</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⑦负责在办税厅内为领取税控设备的纳税人提供开票软件的安装、系统操作培训、发票开具过程中的问题解答及相关的运维服务；</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⑧负责在办税厅内对纳税人涉税业务的指导和网上办税（包含：纳税申报、税款缴纳、退税申请、发票领购等）指导，以及一般性问题的解答和处理，对现场无法解决需提交运维处理的问题负责协助相关人员提交运维单；</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⑨负责在办税厅内对自然人税收管理系统客户端的安装维护，系统操作的指导。辅导纳税人通过自然人电子税务局（扣缴端）进行涉税业务的办理；</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⑩负责在办税厅内指导纳税人对增值税发票服务平台（发票勾选平台）的控件安装和使用，以及一般性问题的解答和处理，对现场无法解决需提交运维处理的问题负责协助相关人员提交运维单；</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⑪负责电子税务局的使用指导。辅导纳税人通过电子税务局进行涉税业务的办理，如：新办纳税人套餐登记、纳税申报与缴费、发票领用人维护、增值税发票代开、发票票种核定与调整、变更税务登记、财务会计制度备案、无纸化退税申请、网签三方协议、跨区域涉税事项报告、税收完税证明开具等；</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⑫负责在办税厅内指导纳税人使用涉税自助设备，以及与设备相关的一般性问题的解答和处理，负责对办税厅内自助设备的检查、运维和故障处理等。对现场无法解决需提交运维处理的非一般性问题负责协助相关人员提交运维处理；</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⑬根据实际需求，提供常用纳税人端涉税系统操作培训服务，如：电子税务局、社保用人单位客户端，培训对象包括税务人员以及纳税人；</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⑭提供上门辅导与支持服务。针对需要提供上门辅导与支持，经经开区税务局工作人员确认需要上门支持时，在工作人员陪同下，上门为纳税人提供涉税软件操作辅导或软件问题诊断与支持；</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⑮提供移动办税平台使用指导。针对可以通过移动办税平台办理的涉税业务，辅导纳税人通过移动办税平台进行涉税业务的办理，如：增值税发票代开、新办纳税人套餐登记、纳税申报与缴费、居民社保费缴纳等；</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⑯根据实际需求，经经开区税务局信息中心同意，在信息中心工作人员在场的情况下，协助处理办税服务厅内供纳税人使用的计算机类设备问题。</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⑰协助做好大厅疫情防控措施的落实。</w:t>
      </w:r>
    </w:p>
    <w:p>
      <w:pPr>
        <w:pStyle w:val="2"/>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2、非税收入服务类：</w:t>
      </w:r>
    </w:p>
    <w:p>
      <w:pPr>
        <w:tabs>
          <w:tab w:val="left" w:pos="424"/>
        </w:tabs>
        <w:spacing w:line="360" w:lineRule="auto"/>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①协助采购人对社保、医保、国有土地使用权出让收入等四项非税收入划转事项进行宣传；</w:t>
      </w:r>
    </w:p>
    <w:p>
      <w:pPr>
        <w:tabs>
          <w:tab w:val="left" w:pos="424"/>
        </w:tabs>
        <w:spacing w:line="360" w:lineRule="auto"/>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②深入采购人所辖社区、村镇进行社保、医保政策的宣传辅导；</w:t>
      </w:r>
    </w:p>
    <w:p>
      <w:pPr>
        <w:pStyle w:val="2"/>
        <w:ind w:firstLine="420"/>
        <w:rPr>
          <w:rFonts w:ascii="宋体" w:hAnsi="宋体" w:cs="宋体"/>
          <w:color w:val="auto"/>
          <w:kern w:val="10"/>
          <w:szCs w:val="21"/>
          <w:highlight w:val="none"/>
        </w:rPr>
      </w:pPr>
      <w:r>
        <w:rPr>
          <w:rFonts w:hint="eastAsia" w:ascii="宋体" w:hAnsi="宋体" w:cs="宋体"/>
          <w:color w:val="auto"/>
          <w:kern w:val="10"/>
          <w:szCs w:val="21"/>
          <w:highlight w:val="none"/>
        </w:rPr>
        <w:t>③收集社保、医保、土地出让收入等非税方面存在的问题，并及时向采购人反馈；</w:t>
      </w:r>
    </w:p>
    <w:p>
      <w:pPr>
        <w:pStyle w:val="2"/>
        <w:ind w:firstLine="420"/>
        <w:rPr>
          <w:rFonts w:ascii="宋体" w:hAnsi="宋体" w:cs="宋体"/>
          <w:color w:val="auto"/>
          <w:kern w:val="10"/>
          <w:szCs w:val="21"/>
          <w:highlight w:val="none"/>
        </w:rPr>
      </w:pPr>
      <w:r>
        <w:rPr>
          <w:rFonts w:hint="eastAsia" w:ascii="宋体" w:hAnsi="宋体" w:cs="宋体"/>
          <w:color w:val="auto"/>
          <w:kern w:val="10"/>
          <w:szCs w:val="21"/>
          <w:highlight w:val="none"/>
        </w:rPr>
        <w:t>④引导缴费人通过网上办理相关非税业务的缴纳。</w:t>
      </w:r>
    </w:p>
    <w:p>
      <w:pPr>
        <w:pStyle w:val="2"/>
        <w:ind w:firstLine="420"/>
        <w:rPr>
          <w:rFonts w:ascii="宋体" w:hAnsi="宋体" w:cs="宋体"/>
          <w:color w:val="auto"/>
          <w:kern w:val="10"/>
          <w:szCs w:val="21"/>
          <w:highlight w:val="none"/>
        </w:rPr>
      </w:pPr>
      <w:r>
        <w:rPr>
          <w:rFonts w:hint="eastAsia" w:ascii="宋体" w:hAnsi="宋体" w:cs="宋体"/>
          <w:color w:val="auto"/>
          <w:kern w:val="10"/>
          <w:szCs w:val="21"/>
          <w:highlight w:val="none"/>
        </w:rPr>
        <w:t>⑤提供社保用人单位客户端使用指导。针对需要通过社保用人单位客户端进行单位/企业社保费缴纳的，辅导纳税人通过用人单位客户端进行业务的办理，如：社保户籍绑定、社保费申报、社保费缴款、三方协议签订、完费凭证打印、职业年金申报缴费等。</w:t>
      </w:r>
    </w:p>
    <w:p>
      <w:pPr>
        <w:numPr>
          <w:ilvl w:val="0"/>
          <w:numId w:val="0"/>
        </w:numPr>
        <w:spacing w:line="360" w:lineRule="auto"/>
        <w:ind w:right="95" w:rightChars="0"/>
        <w:rPr>
          <w:rFonts w:ascii="宋体" w:hAnsi="宋体" w:cs="宋体"/>
          <w:color w:val="auto"/>
          <w:kern w:val="10"/>
          <w:szCs w:val="21"/>
          <w:highlight w:val="none"/>
        </w:rPr>
      </w:pPr>
      <w:r>
        <w:rPr>
          <w:rFonts w:hint="eastAsia" w:ascii="宋体" w:hAnsi="宋体" w:cs="宋体"/>
          <w:color w:val="auto"/>
          <w:kern w:val="10"/>
          <w:szCs w:val="21"/>
          <w:highlight w:val="none"/>
          <w:lang w:val="en-US" w:eastAsia="zh-CN"/>
        </w:rPr>
        <w:t>3、</w:t>
      </w:r>
      <w:r>
        <w:rPr>
          <w:rFonts w:hint="eastAsia" w:ascii="宋体" w:hAnsi="宋体" w:cs="宋体"/>
          <w:color w:val="auto"/>
          <w:kern w:val="10"/>
          <w:szCs w:val="21"/>
          <w:highlight w:val="none"/>
        </w:rPr>
        <w:t>为保障采购人工作任务成果的质量和社会正面影响，成交</w:t>
      </w:r>
      <w:r>
        <w:rPr>
          <w:rFonts w:hint="eastAsia" w:ascii="宋体" w:hAnsi="宋体" w:cs="宋体"/>
          <w:color w:val="auto"/>
          <w:kern w:val="10"/>
          <w:szCs w:val="21"/>
          <w:highlight w:val="none"/>
          <w:lang w:eastAsia="zh-CN"/>
        </w:rPr>
        <w:t>供应商</w:t>
      </w:r>
      <w:r>
        <w:rPr>
          <w:rFonts w:hint="eastAsia" w:ascii="宋体" w:hAnsi="宋体" w:cs="宋体"/>
          <w:color w:val="auto"/>
          <w:kern w:val="10"/>
          <w:szCs w:val="21"/>
          <w:highlight w:val="none"/>
        </w:rPr>
        <w:t>完成</w:t>
      </w:r>
      <w:r>
        <w:rPr>
          <w:rFonts w:hint="eastAsia" w:ascii="宋体" w:hAnsi="宋体"/>
          <w:color w:val="auto"/>
          <w:kern w:val="10"/>
          <w:szCs w:val="21"/>
          <w:highlight w:val="none"/>
        </w:rPr>
        <w:t>办税服务厅非执法类辅助性</w:t>
      </w:r>
      <w:r>
        <w:rPr>
          <w:rFonts w:hint="eastAsia" w:ascii="宋体" w:hAnsi="宋体" w:cs="宋体"/>
          <w:color w:val="auto"/>
          <w:kern w:val="10"/>
          <w:szCs w:val="21"/>
          <w:highlight w:val="none"/>
        </w:rPr>
        <w:t>服务需符合以下要求。</w:t>
      </w:r>
    </w:p>
    <w:p>
      <w:pPr>
        <w:pStyle w:val="2"/>
        <w:ind w:firstLine="420" w:firstLineChars="200"/>
        <w:rPr>
          <w:color w:val="auto"/>
          <w:highlight w:val="none"/>
        </w:rPr>
      </w:pPr>
      <w:r>
        <w:rPr>
          <w:rFonts w:hint="eastAsia"/>
          <w:color w:val="auto"/>
          <w:highlight w:val="none"/>
        </w:rPr>
        <w:t>根据实际工作需要，应提供年龄在40岁以下的非执法类辅助性服务人员，且应符合以下要求：</w:t>
      </w:r>
    </w:p>
    <w:p>
      <w:pPr>
        <w:pStyle w:val="2"/>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①遵守</w:t>
      </w:r>
      <w:r>
        <w:rPr>
          <w:rFonts w:hint="eastAsia" w:ascii="宋体" w:hAnsi="宋体" w:cs="宋体"/>
          <w:color w:val="auto"/>
          <w:szCs w:val="21"/>
          <w:highlight w:val="none"/>
          <w:shd w:val="clear"/>
        </w:rPr>
        <w:t>中华</w:t>
      </w:r>
      <w:r>
        <w:rPr>
          <w:rFonts w:hint="eastAsia" w:ascii="宋体" w:hAnsi="宋体" w:cs="宋体"/>
          <w:color w:val="auto"/>
          <w:szCs w:val="21"/>
          <w:highlight w:val="none"/>
          <w:shd w:val="clear"/>
          <w:lang w:eastAsia="zh-CN"/>
        </w:rPr>
        <w:t>人民</w:t>
      </w:r>
      <w:bookmarkStart w:id="82" w:name="_GoBack"/>
      <w:bookmarkEnd w:id="82"/>
      <w:r>
        <w:rPr>
          <w:rFonts w:hint="eastAsia" w:ascii="宋体" w:hAnsi="宋体" w:cs="宋体"/>
          <w:color w:val="auto"/>
          <w:szCs w:val="21"/>
          <w:highlight w:val="none"/>
        </w:rPr>
        <w:t>共和国宪法、法律、法规。</w:t>
      </w:r>
    </w:p>
    <w:p>
      <w:pPr>
        <w:pStyle w:val="2"/>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②应具备提供各项服务要求的业务素质，提供优质高效的服务，原则上要求具有一年以上驻办税服务厅工作经验。</w:t>
      </w:r>
    </w:p>
    <w:p>
      <w:pPr>
        <w:pStyle w:val="2"/>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③应具有中专以上学历，身体健康，没有传染病，具有正常履行工作职责的身体条件，无犯罪记录。</w:t>
      </w:r>
    </w:p>
    <w:p>
      <w:pPr>
        <w:spacing w:line="360" w:lineRule="auto"/>
        <w:ind w:right="95" w:firstLine="420" w:firstLineChars="200"/>
        <w:jc w:val="left"/>
        <w:rPr>
          <w:rFonts w:ascii="宋体" w:hAnsi="宋体" w:cs="宋体"/>
          <w:color w:val="auto"/>
          <w:kern w:val="10"/>
          <w:szCs w:val="21"/>
          <w:highlight w:val="none"/>
        </w:rPr>
      </w:pPr>
      <w:r>
        <w:rPr>
          <w:rFonts w:hint="eastAsia" w:ascii="宋体" w:hAnsi="宋体" w:cs="宋体"/>
          <w:color w:val="auto"/>
          <w:kern w:val="10"/>
          <w:szCs w:val="21"/>
          <w:highlight w:val="none"/>
        </w:rPr>
        <w:t>④服务质量要求：按照采购人提供的工作需求及工作时限按时按质完成相关服务工作。</w:t>
      </w:r>
    </w:p>
    <w:p>
      <w:pPr>
        <w:spacing w:line="360" w:lineRule="auto"/>
        <w:ind w:right="-15" w:firstLine="420" w:firstLineChars="200"/>
        <w:jc w:val="left"/>
        <w:rPr>
          <w:rFonts w:ascii="宋体" w:hAnsi="宋体" w:cs="宋体"/>
          <w:color w:val="auto"/>
          <w:kern w:val="10"/>
          <w:szCs w:val="21"/>
          <w:highlight w:val="none"/>
        </w:rPr>
      </w:pPr>
      <w:r>
        <w:rPr>
          <w:rFonts w:hint="eastAsia" w:ascii="宋体" w:hAnsi="宋体" w:cs="宋体"/>
          <w:color w:val="auto"/>
          <w:kern w:val="10"/>
          <w:szCs w:val="21"/>
          <w:highlight w:val="none"/>
        </w:rPr>
        <w:t>⑤在为采购方服务期间，严格执行服务单位的规章制度，包括工作纪律、安全规定、保密制度，且服务质量接受采购方考核；</w:t>
      </w:r>
    </w:p>
    <w:p>
      <w:pPr>
        <w:spacing w:line="360" w:lineRule="auto"/>
        <w:ind w:firstLine="420" w:firstLineChars="200"/>
        <w:jc w:val="left"/>
        <w:rPr>
          <w:rFonts w:ascii="宋体" w:hAnsi="宋体" w:cs="宋体"/>
          <w:color w:val="auto"/>
          <w:kern w:val="10"/>
          <w:szCs w:val="21"/>
          <w:highlight w:val="none"/>
        </w:rPr>
      </w:pPr>
      <w:r>
        <w:rPr>
          <w:rFonts w:hint="eastAsia" w:ascii="宋体" w:hAnsi="宋体" w:cs="宋体"/>
          <w:color w:val="auto"/>
          <w:kern w:val="10"/>
          <w:szCs w:val="21"/>
          <w:highlight w:val="none"/>
        </w:rPr>
        <w:t>⑥成交</w:t>
      </w:r>
      <w:r>
        <w:rPr>
          <w:rFonts w:hint="eastAsia" w:ascii="宋体" w:hAnsi="宋体" w:cs="宋体"/>
          <w:color w:val="auto"/>
          <w:kern w:val="10"/>
          <w:szCs w:val="21"/>
          <w:highlight w:val="none"/>
          <w:lang w:eastAsia="zh-CN"/>
        </w:rPr>
        <w:t>供应商</w:t>
      </w:r>
      <w:r>
        <w:rPr>
          <w:rFonts w:hint="eastAsia" w:ascii="宋体" w:hAnsi="宋体" w:cs="宋体"/>
          <w:color w:val="auto"/>
          <w:kern w:val="10"/>
          <w:szCs w:val="21"/>
          <w:highlight w:val="none"/>
        </w:rPr>
        <w:t>提供的服务方式需合理、合法。</w:t>
      </w:r>
    </w:p>
    <w:p>
      <w:pPr>
        <w:tabs>
          <w:tab w:val="left" w:pos="424"/>
        </w:tabs>
        <w:spacing w:line="360" w:lineRule="auto"/>
        <w:ind w:firstLine="420" w:firstLineChars="200"/>
        <w:rPr>
          <w:rFonts w:ascii="宋体" w:hAnsi="宋体"/>
          <w:color w:val="auto"/>
          <w:kern w:val="10"/>
          <w:szCs w:val="21"/>
          <w:highlight w:val="none"/>
        </w:rPr>
      </w:pPr>
      <w:r>
        <w:rPr>
          <w:rFonts w:hint="eastAsia" w:ascii="宋体" w:hAnsi="宋体"/>
          <w:color w:val="auto"/>
          <w:kern w:val="10"/>
          <w:szCs w:val="21"/>
          <w:highlight w:val="none"/>
          <w:lang w:val="en-US" w:eastAsia="zh-CN"/>
        </w:rPr>
        <w:t>4</w:t>
      </w:r>
      <w:r>
        <w:rPr>
          <w:rFonts w:hint="eastAsia" w:ascii="宋体" w:hAnsi="宋体"/>
          <w:color w:val="auto"/>
          <w:kern w:val="10"/>
          <w:szCs w:val="21"/>
          <w:highlight w:val="none"/>
        </w:rPr>
        <w:t>、成交</w:t>
      </w:r>
      <w:r>
        <w:rPr>
          <w:rFonts w:hint="eastAsia" w:ascii="宋体" w:hAnsi="宋体"/>
          <w:color w:val="auto"/>
          <w:kern w:val="10"/>
          <w:szCs w:val="21"/>
          <w:highlight w:val="none"/>
          <w:lang w:eastAsia="zh-CN"/>
        </w:rPr>
        <w:t>供应商</w:t>
      </w:r>
      <w:r>
        <w:rPr>
          <w:rFonts w:hint="eastAsia" w:ascii="宋体" w:hAnsi="宋体"/>
          <w:color w:val="auto"/>
          <w:kern w:val="10"/>
          <w:szCs w:val="21"/>
          <w:highlight w:val="none"/>
        </w:rPr>
        <w:t>应当遵循《</w:t>
      </w:r>
      <w:r>
        <w:rPr>
          <w:rFonts w:ascii="Helvetica" w:hAnsi="Helvetica" w:eastAsia="Helvetica" w:cs="Helvetica"/>
          <w:i w:val="0"/>
          <w:iCs w:val="0"/>
          <w:caps w:val="0"/>
          <w:color w:val="auto"/>
          <w:spacing w:val="0"/>
          <w:sz w:val="21"/>
          <w:szCs w:val="21"/>
          <w:highlight w:val="none"/>
          <w:shd w:val="clear" w:fill="FFFFFF"/>
        </w:rPr>
        <w:t>中华人民共和国劳动合同法</w:t>
      </w:r>
      <w:r>
        <w:rPr>
          <w:rFonts w:hint="eastAsia" w:ascii="宋体" w:hAnsi="宋体"/>
          <w:color w:val="auto"/>
          <w:kern w:val="10"/>
          <w:szCs w:val="21"/>
          <w:highlight w:val="none"/>
        </w:rPr>
        <w:t>》处理与派出完成服务工作人员的劳动关系</w:t>
      </w:r>
      <w:r>
        <w:rPr>
          <w:rFonts w:ascii="宋体" w:hAnsi="宋体"/>
          <w:color w:val="auto"/>
          <w:kern w:val="10"/>
          <w:szCs w:val="21"/>
          <w:highlight w:val="none"/>
        </w:rPr>
        <w:t>。</w:t>
      </w:r>
    </w:p>
    <w:p>
      <w:pPr>
        <w:tabs>
          <w:tab w:val="left" w:pos="424"/>
        </w:tabs>
        <w:spacing w:line="360" w:lineRule="auto"/>
        <w:ind w:right="92" w:firstLine="420" w:firstLineChars="200"/>
        <w:rPr>
          <w:rFonts w:ascii="宋体" w:hAnsi="宋体"/>
          <w:color w:val="auto"/>
          <w:kern w:val="10"/>
          <w:szCs w:val="21"/>
          <w:highlight w:val="none"/>
        </w:rPr>
      </w:pPr>
      <w:r>
        <w:rPr>
          <w:rFonts w:hint="eastAsia" w:ascii="宋体" w:hAnsi="宋体"/>
          <w:color w:val="auto"/>
          <w:kern w:val="10"/>
          <w:szCs w:val="21"/>
          <w:highlight w:val="none"/>
          <w:lang w:val="en-US" w:eastAsia="zh-CN"/>
        </w:rPr>
        <w:t>5</w:t>
      </w:r>
      <w:r>
        <w:rPr>
          <w:rFonts w:hint="eastAsia" w:ascii="宋体" w:hAnsi="宋体"/>
          <w:color w:val="auto"/>
          <w:kern w:val="10"/>
          <w:szCs w:val="21"/>
          <w:highlight w:val="none"/>
        </w:rPr>
        <w:t>、派出</w:t>
      </w:r>
      <w:r>
        <w:rPr>
          <w:rFonts w:ascii="宋体" w:hAnsi="宋体"/>
          <w:color w:val="auto"/>
          <w:kern w:val="10"/>
          <w:szCs w:val="21"/>
          <w:highlight w:val="none"/>
        </w:rPr>
        <w:t>服务人员与采购人不构成劳动关系或劳务关系，</w:t>
      </w:r>
      <w:r>
        <w:rPr>
          <w:rFonts w:hint="eastAsia" w:ascii="宋体" w:hAnsi="宋体"/>
          <w:color w:val="auto"/>
          <w:kern w:val="10"/>
          <w:szCs w:val="21"/>
          <w:highlight w:val="none"/>
        </w:rPr>
        <w:t>并</w:t>
      </w:r>
      <w:r>
        <w:rPr>
          <w:rFonts w:ascii="宋体" w:hAnsi="宋体"/>
          <w:color w:val="auto"/>
          <w:kern w:val="10"/>
          <w:szCs w:val="21"/>
          <w:highlight w:val="none"/>
        </w:rPr>
        <w:t>应当向其指派的服务人员书面明示。</w:t>
      </w:r>
    </w:p>
    <w:p>
      <w:pPr>
        <w:tabs>
          <w:tab w:val="left" w:pos="424"/>
        </w:tabs>
        <w:spacing w:line="360" w:lineRule="auto"/>
        <w:ind w:right="3" w:firstLine="420" w:firstLineChars="200"/>
        <w:rPr>
          <w:rFonts w:ascii="宋体" w:hAnsi="宋体"/>
          <w:color w:val="auto"/>
          <w:kern w:val="10"/>
          <w:szCs w:val="21"/>
          <w:highlight w:val="none"/>
        </w:rPr>
      </w:pPr>
      <w:r>
        <w:rPr>
          <w:rFonts w:hint="eastAsia" w:ascii="宋体" w:hAnsi="宋体"/>
          <w:color w:val="auto"/>
          <w:kern w:val="10"/>
          <w:szCs w:val="21"/>
          <w:highlight w:val="none"/>
          <w:lang w:val="en-US" w:eastAsia="zh-CN"/>
        </w:rPr>
        <w:t>6</w:t>
      </w:r>
      <w:r>
        <w:rPr>
          <w:rFonts w:hint="eastAsia" w:ascii="宋体" w:hAnsi="宋体"/>
          <w:color w:val="auto"/>
          <w:kern w:val="10"/>
          <w:szCs w:val="21"/>
          <w:highlight w:val="none"/>
        </w:rPr>
        <w:t>、成交</w:t>
      </w:r>
      <w:r>
        <w:rPr>
          <w:rFonts w:hint="eastAsia" w:ascii="宋体" w:hAnsi="宋体"/>
          <w:color w:val="auto"/>
          <w:kern w:val="10"/>
          <w:szCs w:val="21"/>
          <w:highlight w:val="none"/>
          <w:lang w:eastAsia="zh-CN"/>
        </w:rPr>
        <w:t>供应商</w:t>
      </w:r>
      <w:r>
        <w:rPr>
          <w:rFonts w:ascii="宋体" w:hAnsi="宋体"/>
          <w:color w:val="auto"/>
          <w:kern w:val="10"/>
          <w:szCs w:val="21"/>
          <w:highlight w:val="none"/>
        </w:rPr>
        <w:t>确保服务人员遵守采购人相关规章制度，按时、按质、按量完成各项任务，对接触到的采购人所有信息严格保密。</w:t>
      </w:r>
    </w:p>
    <w:p>
      <w:pPr>
        <w:tabs>
          <w:tab w:val="left" w:pos="424"/>
        </w:tabs>
        <w:spacing w:line="360" w:lineRule="auto"/>
        <w:ind w:right="95" w:firstLine="420" w:firstLineChars="200"/>
        <w:rPr>
          <w:rFonts w:ascii="宋体" w:hAnsi="宋体"/>
          <w:color w:val="auto"/>
          <w:kern w:val="10"/>
          <w:szCs w:val="21"/>
          <w:highlight w:val="none"/>
        </w:rPr>
      </w:pPr>
      <w:r>
        <w:rPr>
          <w:rFonts w:hint="eastAsia" w:ascii="宋体" w:hAnsi="宋体"/>
          <w:color w:val="auto"/>
          <w:kern w:val="10"/>
          <w:szCs w:val="21"/>
          <w:highlight w:val="none"/>
          <w:lang w:val="en-US" w:eastAsia="zh-CN"/>
        </w:rPr>
        <w:t>7</w:t>
      </w:r>
      <w:r>
        <w:rPr>
          <w:rFonts w:hint="eastAsia" w:ascii="宋体" w:hAnsi="宋体"/>
          <w:color w:val="auto"/>
          <w:kern w:val="10"/>
          <w:szCs w:val="21"/>
          <w:highlight w:val="none"/>
        </w:rPr>
        <w:t>、成交</w:t>
      </w:r>
      <w:r>
        <w:rPr>
          <w:rFonts w:hint="eastAsia" w:ascii="宋体" w:hAnsi="宋体"/>
          <w:color w:val="auto"/>
          <w:kern w:val="10"/>
          <w:szCs w:val="21"/>
          <w:highlight w:val="none"/>
          <w:lang w:eastAsia="zh-CN"/>
        </w:rPr>
        <w:t>供应商</w:t>
      </w:r>
      <w:r>
        <w:rPr>
          <w:rFonts w:ascii="宋体" w:hAnsi="宋体"/>
          <w:color w:val="auto"/>
          <w:kern w:val="10"/>
          <w:szCs w:val="21"/>
          <w:highlight w:val="none"/>
        </w:rPr>
        <w:t>不得将本项目业务以任何形式转包或分包给其它单位或个人。</w:t>
      </w:r>
    </w:p>
    <w:p>
      <w:pPr>
        <w:pStyle w:val="20"/>
        <w:spacing w:line="360" w:lineRule="auto"/>
        <w:ind w:firstLine="480" w:firstLineChars="200"/>
        <w:jc w:val="left"/>
        <w:rPr>
          <w:rFonts w:hAnsi="宋体" w:cs="宋体"/>
          <w:color w:val="auto"/>
          <w:sz w:val="24"/>
          <w:highlight w:val="none"/>
        </w:rPr>
      </w:pPr>
    </w:p>
    <w:p>
      <w:pPr>
        <w:ind w:firstLine="640" w:firstLineChars="200"/>
        <w:rPr>
          <w:rFonts w:ascii="仿宋_GB2312" w:hAnsi="仿宋_GB2312" w:eastAsia="仿宋_GB2312" w:cs="仿宋_GB2312"/>
          <w:color w:val="auto"/>
          <w:sz w:val="32"/>
          <w:szCs w:val="32"/>
          <w:highlight w:val="none"/>
        </w:rPr>
      </w:pPr>
    </w:p>
    <w:p>
      <w:pPr>
        <w:pStyle w:val="3"/>
        <w:spacing w:line="360" w:lineRule="auto"/>
        <w:rPr>
          <w:rFonts w:ascii="宋体" w:hAnsi="宋体" w:eastAsia="宋体" w:cs="宋体"/>
          <w:bCs/>
          <w:color w:val="auto"/>
          <w:kern w:val="0"/>
          <w:sz w:val="30"/>
          <w:szCs w:val="30"/>
          <w:highlight w:val="none"/>
        </w:rPr>
      </w:pPr>
    </w:p>
    <w:p>
      <w:pPr>
        <w:spacing w:line="360" w:lineRule="auto"/>
        <w:rPr>
          <w:rFonts w:ascii="宋体" w:hAnsi="宋体" w:cs="宋体"/>
          <w:b/>
          <w:bCs/>
          <w:color w:val="auto"/>
          <w:kern w:val="0"/>
          <w:sz w:val="30"/>
          <w:szCs w:val="30"/>
          <w:highlight w:val="none"/>
        </w:rPr>
      </w:pPr>
    </w:p>
    <w:p>
      <w:pPr>
        <w:numPr>
          <w:ilvl w:val="0"/>
          <w:numId w:val="5"/>
        </w:numPr>
        <w:spacing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商务条款</w:t>
      </w:r>
    </w:p>
    <w:p>
      <w:pPr>
        <w:spacing w:line="360" w:lineRule="auto"/>
        <w:ind w:firstLine="422" w:firstLineChars="200"/>
        <w:rPr>
          <w:color w:val="auto"/>
          <w:highlight w:val="none"/>
        </w:rPr>
      </w:pPr>
      <w:r>
        <w:rPr>
          <w:rFonts w:hint="eastAsia" w:ascii="宋体" w:hAnsi="宋体" w:cs="宋体"/>
          <w:b/>
          <w:bCs/>
          <w:color w:val="auto"/>
          <w:szCs w:val="21"/>
          <w:highlight w:val="none"/>
        </w:rPr>
        <w:t>★</w:t>
      </w:r>
      <w:r>
        <w:rPr>
          <w:rFonts w:hint="eastAsia" w:ascii="宋体" w:hAnsi="宋体"/>
          <w:b/>
          <w:color w:val="auto"/>
          <w:kern w:val="10"/>
          <w:szCs w:val="21"/>
          <w:highlight w:val="none"/>
        </w:rPr>
        <w:t>一</w:t>
      </w:r>
      <w:r>
        <w:rPr>
          <w:rFonts w:ascii="宋体" w:hAnsi="宋体"/>
          <w:b/>
          <w:color w:val="auto"/>
          <w:kern w:val="10"/>
          <w:szCs w:val="21"/>
          <w:highlight w:val="none"/>
        </w:rPr>
        <w:t>、服务期限：</w:t>
      </w:r>
      <w:r>
        <w:rPr>
          <w:rFonts w:hint="eastAsia" w:ascii="宋体" w:hAnsi="宋体"/>
          <w:color w:val="auto"/>
          <w:kern w:val="10"/>
          <w:szCs w:val="21"/>
          <w:highlight w:val="none"/>
        </w:rPr>
        <w:t>7个月</w:t>
      </w:r>
      <w:r>
        <w:rPr>
          <w:rFonts w:ascii="宋体" w:hAnsi="宋体"/>
          <w:color w:val="auto"/>
          <w:kern w:val="10"/>
          <w:szCs w:val="21"/>
          <w:highlight w:val="none"/>
        </w:rPr>
        <w:t>（具体日期以采购人书面通知为准）。</w:t>
      </w:r>
    </w:p>
    <w:p>
      <w:pPr>
        <w:spacing w:line="360" w:lineRule="auto"/>
        <w:ind w:left="106" w:right="92" w:firstLine="422" w:firstLineChars="200"/>
        <w:rPr>
          <w:rFonts w:ascii="宋体" w:hAnsi="宋体"/>
          <w:b/>
          <w:bCs/>
          <w:color w:val="auto"/>
          <w:kern w:val="10"/>
          <w:szCs w:val="21"/>
          <w:highlight w:val="none"/>
        </w:rPr>
      </w:pPr>
      <w:r>
        <w:rPr>
          <w:rFonts w:hint="eastAsia" w:ascii="宋体" w:hAnsi="宋体"/>
          <w:b/>
          <w:bCs/>
          <w:color w:val="auto"/>
          <w:kern w:val="10"/>
          <w:szCs w:val="21"/>
          <w:highlight w:val="none"/>
        </w:rPr>
        <w:t>二、服务费用结算：</w:t>
      </w:r>
    </w:p>
    <w:p>
      <w:pPr>
        <w:pStyle w:val="2"/>
        <w:ind w:firstLine="420" w:firstLineChars="200"/>
        <w:rPr>
          <w:color w:val="auto"/>
          <w:highlight w:val="none"/>
        </w:rPr>
      </w:pPr>
      <w:r>
        <w:rPr>
          <w:rFonts w:hint="eastAsia"/>
          <w:color w:val="auto"/>
          <w:highlight w:val="none"/>
        </w:rPr>
        <w:t xml:space="preserve">  服务费以采购最终成交价为准，支付方式按完成工作任务的次月10日前拨付上月服务费，拨付金额数为中标成交价分7个月平均数。成交</w:t>
      </w:r>
      <w:r>
        <w:rPr>
          <w:rFonts w:hint="eastAsia"/>
          <w:color w:val="auto"/>
          <w:highlight w:val="none"/>
          <w:lang w:eastAsia="zh-CN"/>
        </w:rPr>
        <w:t>供应商</w:t>
      </w:r>
      <w:r>
        <w:rPr>
          <w:rFonts w:hint="eastAsia"/>
          <w:color w:val="auto"/>
          <w:highlight w:val="none"/>
        </w:rPr>
        <w:t>需在次月5日前提供上月的服务费合法发票给采购人。</w:t>
      </w:r>
    </w:p>
    <w:p>
      <w:pPr>
        <w:pStyle w:val="2"/>
        <w:ind w:firstLine="422" w:firstLineChars="200"/>
        <w:rPr>
          <w:b/>
          <w:bCs/>
          <w:color w:val="auto"/>
          <w:highlight w:val="none"/>
        </w:rPr>
      </w:pPr>
      <w:r>
        <w:rPr>
          <w:rFonts w:hint="eastAsia" w:ascii="宋体" w:hAnsi="宋体"/>
          <w:b/>
          <w:bCs/>
          <w:color w:val="auto"/>
          <w:kern w:val="10"/>
          <w:szCs w:val="21"/>
          <w:highlight w:val="none"/>
        </w:rPr>
        <w:t>三、其他协定</w:t>
      </w:r>
    </w:p>
    <w:p>
      <w:pPr>
        <w:tabs>
          <w:tab w:val="left" w:pos="530"/>
        </w:tabs>
        <w:spacing w:line="360" w:lineRule="auto"/>
        <w:ind w:right="92" w:firstLine="420" w:firstLineChars="200"/>
        <w:rPr>
          <w:rFonts w:ascii="宋体" w:hAnsi="宋体"/>
          <w:color w:val="auto"/>
          <w:kern w:val="10"/>
          <w:szCs w:val="21"/>
          <w:highlight w:val="none"/>
        </w:rPr>
      </w:pPr>
      <w:r>
        <w:rPr>
          <w:rFonts w:hint="eastAsia" w:ascii="宋体" w:hAnsi="宋体"/>
          <w:color w:val="auto"/>
          <w:kern w:val="10"/>
          <w:szCs w:val="21"/>
          <w:highlight w:val="none"/>
        </w:rPr>
        <w:t>1、</w:t>
      </w:r>
      <w:r>
        <w:rPr>
          <w:rFonts w:ascii="宋体" w:hAnsi="宋体"/>
          <w:color w:val="auto"/>
          <w:kern w:val="10"/>
          <w:szCs w:val="21"/>
          <w:highlight w:val="none"/>
        </w:rPr>
        <w:t>因服务人员过错造成采购人经济损失的，</w:t>
      </w:r>
      <w:r>
        <w:rPr>
          <w:rFonts w:hint="eastAsia" w:ascii="宋体" w:hAnsi="宋体"/>
          <w:color w:val="auto"/>
          <w:kern w:val="10"/>
          <w:szCs w:val="21"/>
          <w:highlight w:val="none"/>
        </w:rPr>
        <w:t>采购人有权追究成交</w:t>
      </w:r>
      <w:r>
        <w:rPr>
          <w:rFonts w:hint="eastAsia" w:ascii="宋体" w:hAnsi="宋体"/>
          <w:color w:val="auto"/>
          <w:kern w:val="10"/>
          <w:szCs w:val="21"/>
          <w:highlight w:val="none"/>
          <w:lang w:eastAsia="zh-CN"/>
        </w:rPr>
        <w:t>供应商</w:t>
      </w:r>
      <w:r>
        <w:rPr>
          <w:rFonts w:hint="eastAsia" w:ascii="宋体" w:hAnsi="宋体"/>
          <w:color w:val="auto"/>
          <w:kern w:val="10"/>
          <w:szCs w:val="21"/>
          <w:highlight w:val="none"/>
        </w:rPr>
        <w:t>责任</w:t>
      </w:r>
      <w:r>
        <w:rPr>
          <w:rFonts w:ascii="宋体" w:hAnsi="宋体"/>
          <w:color w:val="auto"/>
          <w:kern w:val="10"/>
          <w:szCs w:val="21"/>
          <w:highlight w:val="none"/>
        </w:rPr>
        <w:t>。</w:t>
      </w:r>
    </w:p>
    <w:p>
      <w:pPr>
        <w:tabs>
          <w:tab w:val="left" w:pos="530"/>
        </w:tabs>
        <w:spacing w:line="360" w:lineRule="auto"/>
        <w:ind w:right="1" w:firstLine="420" w:firstLineChars="200"/>
        <w:rPr>
          <w:rFonts w:ascii="宋体" w:hAnsi="宋体"/>
          <w:color w:val="auto"/>
          <w:kern w:val="10"/>
          <w:szCs w:val="21"/>
          <w:highlight w:val="none"/>
        </w:rPr>
      </w:pPr>
      <w:r>
        <w:rPr>
          <w:rFonts w:hint="eastAsia" w:ascii="宋体" w:hAnsi="宋体"/>
          <w:color w:val="auto"/>
          <w:kern w:val="10"/>
          <w:szCs w:val="21"/>
          <w:highlight w:val="none"/>
        </w:rPr>
        <w:t>2、成交</w:t>
      </w:r>
      <w:r>
        <w:rPr>
          <w:rFonts w:hint="eastAsia" w:ascii="宋体" w:hAnsi="宋体"/>
          <w:color w:val="auto"/>
          <w:kern w:val="10"/>
          <w:szCs w:val="21"/>
          <w:highlight w:val="none"/>
          <w:lang w:eastAsia="zh-CN"/>
        </w:rPr>
        <w:t>供应商</w:t>
      </w:r>
      <w:r>
        <w:rPr>
          <w:rFonts w:ascii="宋体" w:hAnsi="宋体"/>
          <w:color w:val="auto"/>
          <w:kern w:val="10"/>
          <w:szCs w:val="21"/>
          <w:highlight w:val="none"/>
        </w:rPr>
        <w:t>应定期和不定期</w:t>
      </w:r>
      <w:r>
        <w:rPr>
          <w:rFonts w:hint="eastAsia" w:ascii="宋体" w:hAnsi="宋体"/>
          <w:color w:val="auto"/>
          <w:kern w:val="10"/>
          <w:szCs w:val="21"/>
          <w:highlight w:val="none"/>
        </w:rPr>
        <w:t>与</w:t>
      </w:r>
      <w:r>
        <w:rPr>
          <w:rFonts w:ascii="宋体" w:hAnsi="宋体"/>
          <w:color w:val="auto"/>
          <w:kern w:val="10"/>
          <w:szCs w:val="21"/>
          <w:highlight w:val="none"/>
        </w:rPr>
        <w:t>采购人</w:t>
      </w:r>
      <w:r>
        <w:rPr>
          <w:rFonts w:hint="eastAsia" w:ascii="宋体" w:hAnsi="宋体"/>
          <w:color w:val="auto"/>
          <w:kern w:val="10"/>
          <w:szCs w:val="21"/>
          <w:highlight w:val="none"/>
        </w:rPr>
        <w:t>核实提供相关服务完成进度与完成情况</w:t>
      </w:r>
      <w:r>
        <w:rPr>
          <w:rFonts w:ascii="宋体" w:hAnsi="宋体"/>
          <w:color w:val="auto"/>
          <w:kern w:val="10"/>
          <w:szCs w:val="21"/>
          <w:highlight w:val="none"/>
        </w:rPr>
        <w:t>。</w:t>
      </w:r>
    </w:p>
    <w:p>
      <w:pPr>
        <w:pStyle w:val="2"/>
        <w:rPr>
          <w:color w:val="auto"/>
          <w:highlight w:val="none"/>
        </w:rPr>
      </w:pPr>
      <w:r>
        <w:rPr>
          <w:rFonts w:hint="eastAsia" w:ascii="宋体" w:hAnsi="宋体"/>
          <w:color w:val="auto"/>
          <w:kern w:val="10"/>
          <w:szCs w:val="21"/>
          <w:highlight w:val="none"/>
        </w:rPr>
        <w:t xml:space="preserve">    3、</w:t>
      </w:r>
      <w:r>
        <w:rPr>
          <w:rFonts w:ascii="宋体" w:hAnsi="宋体"/>
          <w:color w:val="auto"/>
          <w:kern w:val="10"/>
          <w:szCs w:val="21"/>
          <w:highlight w:val="none"/>
        </w:rPr>
        <w:t>采购人</w:t>
      </w:r>
      <w:r>
        <w:rPr>
          <w:rFonts w:hint="eastAsia" w:ascii="宋体" w:hAnsi="宋体"/>
          <w:color w:val="auto"/>
          <w:kern w:val="10"/>
          <w:szCs w:val="21"/>
          <w:highlight w:val="none"/>
        </w:rPr>
        <w:t>有权依照完成的工作量和工作质量等情况提议成交</w:t>
      </w:r>
      <w:r>
        <w:rPr>
          <w:rFonts w:hint="eastAsia" w:ascii="宋体" w:hAnsi="宋体"/>
          <w:color w:val="auto"/>
          <w:kern w:val="10"/>
          <w:szCs w:val="21"/>
          <w:highlight w:val="none"/>
          <w:lang w:eastAsia="zh-CN"/>
        </w:rPr>
        <w:t>供应商</w:t>
      </w:r>
      <w:r>
        <w:rPr>
          <w:rFonts w:hint="eastAsia" w:ascii="宋体" w:hAnsi="宋体"/>
          <w:color w:val="auto"/>
          <w:kern w:val="10"/>
          <w:szCs w:val="21"/>
          <w:highlight w:val="none"/>
        </w:rPr>
        <w:t>对完成工作任务差或违反采购人单位规章、制度的外包服务人员进行处理。</w:t>
      </w:r>
    </w:p>
    <w:p>
      <w:pPr>
        <w:spacing w:line="360" w:lineRule="auto"/>
        <w:ind w:right="95" w:firstLine="420" w:firstLineChars="200"/>
        <w:rPr>
          <w:color w:val="auto"/>
          <w:highlight w:val="none"/>
        </w:rPr>
      </w:pPr>
      <w:r>
        <w:rPr>
          <w:rFonts w:hint="eastAsia" w:ascii="宋体" w:hAnsi="宋体"/>
          <w:color w:val="auto"/>
          <w:kern w:val="10"/>
          <w:szCs w:val="21"/>
          <w:highlight w:val="none"/>
        </w:rPr>
        <w:t>4、如采购</w:t>
      </w:r>
      <w:r>
        <w:rPr>
          <w:rFonts w:hint="eastAsia" w:ascii="宋体" w:hAnsi="宋体"/>
          <w:color w:val="auto"/>
          <w:kern w:val="10"/>
          <w:szCs w:val="21"/>
          <w:highlight w:val="none"/>
          <w:lang w:eastAsia="zh-CN"/>
        </w:rPr>
        <w:t>人</w:t>
      </w:r>
      <w:r>
        <w:rPr>
          <w:rFonts w:hint="eastAsia" w:ascii="宋体" w:hAnsi="宋体"/>
          <w:color w:val="auto"/>
          <w:kern w:val="10"/>
          <w:szCs w:val="21"/>
          <w:highlight w:val="none"/>
        </w:rPr>
        <w:t>认为成交</w:t>
      </w:r>
      <w:r>
        <w:rPr>
          <w:rFonts w:hint="eastAsia" w:ascii="宋体" w:hAnsi="宋体"/>
          <w:color w:val="auto"/>
          <w:kern w:val="10"/>
          <w:szCs w:val="21"/>
          <w:highlight w:val="none"/>
          <w:lang w:eastAsia="zh-CN"/>
        </w:rPr>
        <w:t>供应商</w:t>
      </w:r>
      <w:r>
        <w:rPr>
          <w:rFonts w:hint="eastAsia" w:ascii="宋体" w:hAnsi="宋体"/>
          <w:color w:val="auto"/>
          <w:kern w:val="10"/>
          <w:szCs w:val="21"/>
          <w:highlight w:val="none"/>
        </w:rPr>
        <w:t>派出完成服务的人员不适合的，有权要求成交</w:t>
      </w:r>
      <w:r>
        <w:rPr>
          <w:rFonts w:hint="eastAsia" w:ascii="宋体" w:hAnsi="宋体"/>
          <w:color w:val="auto"/>
          <w:kern w:val="10"/>
          <w:szCs w:val="21"/>
          <w:highlight w:val="none"/>
          <w:lang w:eastAsia="zh-CN"/>
        </w:rPr>
        <w:t>供应商</w:t>
      </w:r>
      <w:r>
        <w:rPr>
          <w:rFonts w:hint="eastAsia" w:ascii="宋体" w:hAnsi="宋体"/>
          <w:color w:val="auto"/>
          <w:kern w:val="10"/>
          <w:szCs w:val="21"/>
          <w:highlight w:val="none"/>
        </w:rPr>
        <w:t>更换，成交</w:t>
      </w:r>
      <w:r>
        <w:rPr>
          <w:rFonts w:hint="eastAsia" w:ascii="宋体" w:hAnsi="宋体"/>
          <w:color w:val="auto"/>
          <w:kern w:val="10"/>
          <w:szCs w:val="21"/>
          <w:highlight w:val="none"/>
          <w:lang w:eastAsia="zh-CN"/>
        </w:rPr>
        <w:t>供应商</w:t>
      </w:r>
      <w:r>
        <w:rPr>
          <w:rFonts w:hint="eastAsia" w:ascii="宋体" w:hAnsi="宋体"/>
          <w:color w:val="auto"/>
          <w:kern w:val="10"/>
          <w:szCs w:val="21"/>
          <w:highlight w:val="none"/>
        </w:rPr>
        <w:t>需无条件更换。</w:t>
      </w:r>
    </w:p>
    <w:p>
      <w:pPr>
        <w:spacing w:line="360" w:lineRule="auto"/>
        <w:ind w:firstLine="413" w:firstLineChars="196"/>
        <w:rPr>
          <w:rFonts w:ascii="宋体" w:hAnsi="宋体"/>
          <w:b/>
          <w:color w:val="auto"/>
          <w:kern w:val="10"/>
          <w:szCs w:val="21"/>
          <w:highlight w:val="none"/>
        </w:rPr>
      </w:pPr>
      <w:r>
        <w:rPr>
          <w:rFonts w:hint="eastAsia" w:ascii="宋体" w:hAnsi="宋体"/>
          <w:b/>
          <w:color w:val="auto"/>
          <w:kern w:val="10"/>
          <w:szCs w:val="21"/>
          <w:highlight w:val="none"/>
        </w:rPr>
        <w:t>四、采购预算</w:t>
      </w:r>
    </w:p>
    <w:p>
      <w:pPr>
        <w:pStyle w:val="2"/>
        <w:ind w:firstLine="420" w:firstLineChars="200"/>
        <w:rPr>
          <w:color w:val="auto"/>
          <w:highlight w:val="none"/>
        </w:rPr>
      </w:pPr>
      <w:r>
        <w:rPr>
          <w:rFonts w:hAnsi="宋体"/>
          <w:color w:val="auto"/>
          <w:kern w:val="10"/>
          <w:highlight w:val="none"/>
        </w:rPr>
        <w:t>采购预算：</w:t>
      </w:r>
      <w:r>
        <w:rPr>
          <w:rFonts w:hint="eastAsia" w:hAnsi="宋体"/>
          <w:color w:val="auto"/>
          <w:kern w:val="10"/>
          <w:highlight w:val="none"/>
        </w:rPr>
        <w:t>人民币肆拾叁万元整（￥430000.00）</w:t>
      </w:r>
      <w:r>
        <w:rPr>
          <w:rFonts w:hAnsi="宋体"/>
          <w:color w:val="auto"/>
          <w:kern w:val="10"/>
          <w:highlight w:val="none"/>
        </w:rPr>
        <w:t>；报价超过此预算标准的，</w:t>
      </w:r>
      <w:r>
        <w:rPr>
          <w:rFonts w:hAnsi="宋体"/>
          <w:b/>
          <w:bCs/>
          <w:color w:val="auto"/>
          <w:kern w:val="10"/>
          <w:highlight w:val="none"/>
        </w:rPr>
        <w:t>按竞标无效处理</w:t>
      </w:r>
      <w:r>
        <w:rPr>
          <w:rFonts w:hAnsi="宋体"/>
          <w:color w:val="auto"/>
          <w:kern w:val="10"/>
          <w:highlight w:val="none"/>
        </w:rPr>
        <w:t>。</w:t>
      </w:r>
    </w:p>
    <w:p>
      <w:pPr>
        <w:spacing w:line="360" w:lineRule="auto"/>
        <w:ind w:firstLine="422" w:firstLineChars="200"/>
        <w:jc w:val="left"/>
        <w:rPr>
          <w:rFonts w:ascii="宋体" w:hAnsi="宋体"/>
          <w:color w:val="auto"/>
          <w:highlight w:val="none"/>
        </w:rPr>
      </w:pPr>
      <w:r>
        <w:rPr>
          <w:rFonts w:hint="eastAsia" w:ascii="宋体" w:hAnsi="宋体" w:cs="宋体"/>
          <w:b/>
          <w:bCs/>
          <w:color w:val="auto"/>
          <w:szCs w:val="21"/>
          <w:highlight w:val="none"/>
        </w:rPr>
        <w:t>★五</w:t>
      </w:r>
      <w:r>
        <w:rPr>
          <w:rFonts w:hint="eastAsia" w:ascii="宋体" w:hAnsi="宋体"/>
          <w:b/>
          <w:bCs/>
          <w:color w:val="auto"/>
          <w:highlight w:val="none"/>
        </w:rPr>
        <w:t>、合同签订时间:</w:t>
      </w:r>
      <w:r>
        <w:rPr>
          <w:rFonts w:hint="eastAsia" w:ascii="宋体" w:hAnsi="宋体"/>
          <w:color w:val="auto"/>
          <w:highlight w:val="none"/>
        </w:rPr>
        <w:t xml:space="preserve"> 自成交通知书发出之日起25日内</w:t>
      </w:r>
    </w:p>
    <w:p>
      <w:pPr>
        <w:spacing w:line="360" w:lineRule="auto"/>
        <w:ind w:firstLine="422" w:firstLineChars="200"/>
        <w:jc w:val="left"/>
        <w:rPr>
          <w:rFonts w:ascii="宋体" w:hAnsi="宋体"/>
          <w:color w:val="auto"/>
          <w:highlight w:val="none"/>
        </w:rPr>
      </w:pPr>
      <w:r>
        <w:rPr>
          <w:rFonts w:hint="eastAsia" w:ascii="宋体" w:hAnsi="宋体" w:cs="宋体"/>
          <w:b/>
          <w:bCs/>
          <w:color w:val="auto"/>
          <w:szCs w:val="21"/>
          <w:highlight w:val="none"/>
        </w:rPr>
        <w:t>★六</w:t>
      </w:r>
      <w:r>
        <w:rPr>
          <w:rFonts w:hint="eastAsia" w:ascii="宋体" w:hAnsi="宋体"/>
          <w:b/>
          <w:bCs/>
          <w:color w:val="auto"/>
          <w:highlight w:val="none"/>
        </w:rPr>
        <w:t>、验收标准：</w:t>
      </w:r>
      <w:r>
        <w:rPr>
          <w:rFonts w:hint="eastAsia" w:ascii="宋体" w:hAnsi="宋体"/>
          <w:color w:val="auto"/>
          <w:highlight w:val="none"/>
        </w:rPr>
        <w:t>符合本项目采购需求及响应文件具体承诺内容。</w:t>
      </w:r>
    </w:p>
    <w:sectPr>
      <w:headerReference r:id="rId6" w:type="first"/>
      <w:footerReference r:id="rId9" w:type="first"/>
      <w:headerReference r:id="rId5" w:type="default"/>
      <w:footerReference r:id="rId7" w:type="default"/>
      <w:footerReference r:id="rId8" w:type="even"/>
      <w:pgSz w:w="11906" w:h="16838"/>
      <w:pgMar w:top="1134" w:right="1134" w:bottom="1134" w:left="1134" w:header="680" w:footer="680" w:gutter="0"/>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GShxzAEAAJwDAAAOAAAAAAAAAAEAIAAAAB4BAABkcnMvZTJv&#10;RG9jLnhtbFBLBQYAAAAABgAGAFkBAABc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An0ccwBAACc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fG2TB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CfRxzAEAAJwDAAAOAAAAAAAAAAEAIAAAAB4BAABkcnMvZTJv&#10;RG9jLnhtbFBLBQYAAAAABgAGAFkBAABc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33sQssBAACcAwAADgAAAGRycy9lMm9Eb2MueG1srVNNrtMwEN4jcQfL&#10;e+q0I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997ELLAQAAnAMAAA4AAAAAAAAAAQAgAAAAHgEAAGRycy9lMm9E&#10;b2MueG1sUEsFBgAAAAAGAAYAWQEAAFs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p>
                </w:txbxContent>
              </v:textbox>
            </v:shape>
          </w:pict>
        </mc:Fallback>
      </mc:AlternateConten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55880" cy="147955"/>
              <wp:effectExtent l="0" t="0" r="0" b="0"/>
              <wp:wrapSquare wrapText="bothSides"/>
              <wp:docPr id="3" name="文本框 1025"/>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a:noFill/>
                      </a:ln>
                    </wps:spPr>
                    <wps:txbx>
                      <w:txbxContent>
                        <w:p>
                          <w:pPr>
                            <w:pStyle w:val="25"/>
                            <w:rPr>
                              <w:rStyle w:val="46"/>
                            </w:rPr>
                          </w:pPr>
                          <w:r>
                            <w:rPr>
                              <w:rStyle w:val="46"/>
                            </w:rPr>
                            <w:fldChar w:fldCharType="begin"/>
                          </w:r>
                          <w:r>
                            <w:rPr>
                              <w:rStyle w:val="46"/>
                            </w:rPr>
                            <w:instrText xml:space="preserve">PAGE  </w:instrText>
                          </w:r>
                          <w:r>
                            <w:rPr>
                              <w:rStyle w:val="46"/>
                            </w:rPr>
                            <w:fldChar w:fldCharType="separate"/>
                          </w:r>
                          <w:r>
                            <w:rPr>
                              <w:rStyle w:val="46"/>
                            </w:rPr>
                            <w:t>1</w:t>
                          </w:r>
                          <w:r>
                            <w:rPr>
                              <w:rStyle w:val="46"/>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WgqqbTAAAAAgEAAA8AAAAAAAAAAQAgAAAAIgAAAGRycy9kb3ducmV2LnhtbFBLAQIUABQA&#10;AAAIAIdO4kDfrN2/vAEAAHMDAAAOAAAAAAAAAAEAIAAAACIBAABkcnMvZTJvRG9jLnhtbFBLBQYA&#10;AAAABgAGAFkBAABQBQAAAAA=&#10;">
              <v:fill on="f" focussize="0,0"/>
              <v:stroke on="f"/>
              <v:imagedata o:title=""/>
              <o:lock v:ext="edit" aspectratio="f"/>
              <v:textbox inset="0mm,0mm,0mm,0mm">
                <w:txbxContent>
                  <w:p>
                    <w:pPr>
                      <w:pStyle w:val="25"/>
                      <w:rPr>
                        <w:rStyle w:val="46"/>
                      </w:rPr>
                    </w:pPr>
                    <w:r>
                      <w:rPr>
                        <w:rStyle w:val="46"/>
                      </w:rPr>
                      <w:fldChar w:fldCharType="begin"/>
                    </w:r>
                    <w:r>
                      <w:rPr>
                        <w:rStyle w:val="46"/>
                      </w:rPr>
                      <w:instrText xml:space="preserve">PAGE  </w:instrText>
                    </w:r>
                    <w:r>
                      <w:rPr>
                        <w:rStyle w:val="46"/>
                      </w:rPr>
                      <w:fldChar w:fldCharType="separate"/>
                    </w:r>
                    <w:r>
                      <w:rPr>
                        <w:rStyle w:val="46"/>
                      </w:rPr>
                      <w:t>1</w:t>
                    </w:r>
                    <w:r>
                      <w:rPr>
                        <w:rStyle w:val="46"/>
                      </w:rPr>
                      <w:fldChar w:fldCharType="end"/>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XJsMsBAACcAwAADgAAAGRycy9lMm9Eb2MueG1srVNLjtswDN0X6B0E&#10;7Sdygmk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V1ybDLAQAAnAMAAA4AAAAAAAAAAQAgAAAAHgEAAGRycy9lMm9E&#10;b2MueG1sUEsFBgAAAAAGAAYAWQEAAFs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D5E7B"/>
    <w:multiLevelType w:val="singleLevel"/>
    <w:tmpl w:val="CECD5E7B"/>
    <w:lvl w:ilvl="0" w:tentative="0">
      <w:start w:val="2"/>
      <w:numFmt w:val="decimal"/>
      <w:lvlText w:val="%1."/>
      <w:lvlJc w:val="left"/>
      <w:pPr>
        <w:tabs>
          <w:tab w:val="left" w:pos="312"/>
        </w:tabs>
      </w:pPr>
    </w:lvl>
  </w:abstractNum>
  <w:abstractNum w:abstractNumId="1">
    <w:nsid w:val="2A73644E"/>
    <w:multiLevelType w:val="singleLevel"/>
    <w:tmpl w:val="2A73644E"/>
    <w:lvl w:ilvl="0" w:tentative="0">
      <w:start w:val="4"/>
      <w:numFmt w:val="decimal"/>
      <w:lvlText w:val="%1."/>
      <w:lvlJc w:val="left"/>
      <w:pPr>
        <w:tabs>
          <w:tab w:val="left" w:pos="312"/>
        </w:tabs>
      </w:pPr>
    </w:lvl>
  </w:abstractNum>
  <w:abstractNum w:abstractNumId="2">
    <w:nsid w:val="4C0E79E8"/>
    <w:multiLevelType w:val="multilevel"/>
    <w:tmpl w:val="4C0E79E8"/>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5C29471B"/>
    <w:multiLevelType w:val="singleLevel"/>
    <w:tmpl w:val="5C29471B"/>
    <w:lvl w:ilvl="0" w:tentative="0">
      <w:start w:val="4"/>
      <w:numFmt w:val="chineseCounting"/>
      <w:suff w:val="nothing"/>
      <w:lvlText w:val="%1、"/>
      <w:lvlJc w:val="left"/>
      <w:rPr>
        <w:rFonts w:hint="eastAsia"/>
      </w:rPr>
    </w:lvl>
  </w:abstractNum>
  <w:abstractNum w:abstractNumId="4">
    <w:nsid w:val="627014F9"/>
    <w:multiLevelType w:val="singleLevel"/>
    <w:tmpl w:val="627014F9"/>
    <w:lvl w:ilvl="0" w:tentative="0">
      <w:start w:val="2"/>
      <w:numFmt w:val="chineseCounting"/>
      <w:suff w:val="space"/>
      <w:lvlText w:val="第%1节"/>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zM4YmZlN2Q4YzNiOGExNzNhNzdlMjgzNmE0YjcifQ=="/>
  </w:docVars>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23F"/>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2A8"/>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57EB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6F7C9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6552A"/>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4099"/>
    <w:rsid w:val="0083631D"/>
    <w:rsid w:val="0084013B"/>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00D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85B"/>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76BD3"/>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3A8"/>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19"/>
    <w:rsid w:val="00FC5152"/>
    <w:rsid w:val="00FD5ADD"/>
    <w:rsid w:val="00FD7E69"/>
    <w:rsid w:val="00FE1466"/>
    <w:rsid w:val="00FE19E5"/>
    <w:rsid w:val="00FE2181"/>
    <w:rsid w:val="00FE2F65"/>
    <w:rsid w:val="00FE56F3"/>
    <w:rsid w:val="00FE5D1D"/>
    <w:rsid w:val="00FE6B9F"/>
    <w:rsid w:val="00FF5456"/>
    <w:rsid w:val="00FF7472"/>
    <w:rsid w:val="011B037A"/>
    <w:rsid w:val="01220CF5"/>
    <w:rsid w:val="012D2EC5"/>
    <w:rsid w:val="01342743"/>
    <w:rsid w:val="013A1033"/>
    <w:rsid w:val="013E7093"/>
    <w:rsid w:val="015A6263"/>
    <w:rsid w:val="01710F01"/>
    <w:rsid w:val="01866661"/>
    <w:rsid w:val="018F53E7"/>
    <w:rsid w:val="018F6336"/>
    <w:rsid w:val="01A8004E"/>
    <w:rsid w:val="01BD0D1C"/>
    <w:rsid w:val="01BF2670"/>
    <w:rsid w:val="01C11008"/>
    <w:rsid w:val="01DA64AC"/>
    <w:rsid w:val="02107587"/>
    <w:rsid w:val="02281ACB"/>
    <w:rsid w:val="022D2826"/>
    <w:rsid w:val="023E5953"/>
    <w:rsid w:val="023F2E8C"/>
    <w:rsid w:val="024A028C"/>
    <w:rsid w:val="0250145B"/>
    <w:rsid w:val="02A35ADD"/>
    <w:rsid w:val="02B20EC7"/>
    <w:rsid w:val="02CA601E"/>
    <w:rsid w:val="02D32C74"/>
    <w:rsid w:val="02D84A36"/>
    <w:rsid w:val="02EC413F"/>
    <w:rsid w:val="02F93F6A"/>
    <w:rsid w:val="03000716"/>
    <w:rsid w:val="03013312"/>
    <w:rsid w:val="03102D8D"/>
    <w:rsid w:val="03173BD2"/>
    <w:rsid w:val="037F54DC"/>
    <w:rsid w:val="03A33348"/>
    <w:rsid w:val="03AF3957"/>
    <w:rsid w:val="03BD27FE"/>
    <w:rsid w:val="03C53A79"/>
    <w:rsid w:val="03E033DF"/>
    <w:rsid w:val="040746DF"/>
    <w:rsid w:val="041605F0"/>
    <w:rsid w:val="042934D9"/>
    <w:rsid w:val="042D4A23"/>
    <w:rsid w:val="045F41F5"/>
    <w:rsid w:val="04713603"/>
    <w:rsid w:val="04860150"/>
    <w:rsid w:val="048B59FE"/>
    <w:rsid w:val="049931E9"/>
    <w:rsid w:val="04A23037"/>
    <w:rsid w:val="04AD01DD"/>
    <w:rsid w:val="04AD50FB"/>
    <w:rsid w:val="04DF6E7A"/>
    <w:rsid w:val="04E92BD4"/>
    <w:rsid w:val="05152C5E"/>
    <w:rsid w:val="05357951"/>
    <w:rsid w:val="0547161C"/>
    <w:rsid w:val="05C63CAF"/>
    <w:rsid w:val="05EE2D3C"/>
    <w:rsid w:val="05F24075"/>
    <w:rsid w:val="05F64C5C"/>
    <w:rsid w:val="06043DDA"/>
    <w:rsid w:val="06051ED1"/>
    <w:rsid w:val="061D3517"/>
    <w:rsid w:val="064908D3"/>
    <w:rsid w:val="06812B4E"/>
    <w:rsid w:val="06C113BF"/>
    <w:rsid w:val="06D5473A"/>
    <w:rsid w:val="0763320F"/>
    <w:rsid w:val="07701841"/>
    <w:rsid w:val="078560E8"/>
    <w:rsid w:val="07916581"/>
    <w:rsid w:val="07E415FD"/>
    <w:rsid w:val="07F868FE"/>
    <w:rsid w:val="081B70E2"/>
    <w:rsid w:val="081D144E"/>
    <w:rsid w:val="08324EFA"/>
    <w:rsid w:val="085E670E"/>
    <w:rsid w:val="08664722"/>
    <w:rsid w:val="086F3F8F"/>
    <w:rsid w:val="087210F5"/>
    <w:rsid w:val="08892065"/>
    <w:rsid w:val="088B26A9"/>
    <w:rsid w:val="08AF56BC"/>
    <w:rsid w:val="08B82069"/>
    <w:rsid w:val="08BC0BB7"/>
    <w:rsid w:val="08C30259"/>
    <w:rsid w:val="08EF105E"/>
    <w:rsid w:val="0902595E"/>
    <w:rsid w:val="09092D09"/>
    <w:rsid w:val="092F53B2"/>
    <w:rsid w:val="095443A2"/>
    <w:rsid w:val="0958411A"/>
    <w:rsid w:val="09A06294"/>
    <w:rsid w:val="09B64B81"/>
    <w:rsid w:val="09D770A2"/>
    <w:rsid w:val="0A165BF2"/>
    <w:rsid w:val="0A1E0C0B"/>
    <w:rsid w:val="0A220758"/>
    <w:rsid w:val="0A2506C6"/>
    <w:rsid w:val="0A5646FF"/>
    <w:rsid w:val="0A613935"/>
    <w:rsid w:val="0A7B1588"/>
    <w:rsid w:val="0A8248C7"/>
    <w:rsid w:val="0AA46E30"/>
    <w:rsid w:val="0AD25578"/>
    <w:rsid w:val="0AE6579C"/>
    <w:rsid w:val="0B0022DC"/>
    <w:rsid w:val="0B37192D"/>
    <w:rsid w:val="0B3C3E6E"/>
    <w:rsid w:val="0B5E54D2"/>
    <w:rsid w:val="0B7C2B3D"/>
    <w:rsid w:val="0B9233BA"/>
    <w:rsid w:val="0B953549"/>
    <w:rsid w:val="0B9C4D21"/>
    <w:rsid w:val="0BA903A7"/>
    <w:rsid w:val="0BC2279B"/>
    <w:rsid w:val="0BEA23A9"/>
    <w:rsid w:val="0C291372"/>
    <w:rsid w:val="0C2D09CA"/>
    <w:rsid w:val="0C5E57F4"/>
    <w:rsid w:val="0C6C13F0"/>
    <w:rsid w:val="0CB1145B"/>
    <w:rsid w:val="0CB82A8F"/>
    <w:rsid w:val="0CCA51A5"/>
    <w:rsid w:val="0CDA657C"/>
    <w:rsid w:val="0CE80310"/>
    <w:rsid w:val="0D1C71D4"/>
    <w:rsid w:val="0D2F2A34"/>
    <w:rsid w:val="0D813AA8"/>
    <w:rsid w:val="0DCE517E"/>
    <w:rsid w:val="0DCF202E"/>
    <w:rsid w:val="0E0D57FE"/>
    <w:rsid w:val="0E375D6B"/>
    <w:rsid w:val="0E4221EF"/>
    <w:rsid w:val="0E6D7980"/>
    <w:rsid w:val="0E98456C"/>
    <w:rsid w:val="0EA612FA"/>
    <w:rsid w:val="0EDD23BC"/>
    <w:rsid w:val="0EDF3951"/>
    <w:rsid w:val="0EF632FA"/>
    <w:rsid w:val="0F0517F9"/>
    <w:rsid w:val="0F233951"/>
    <w:rsid w:val="0F2D39E3"/>
    <w:rsid w:val="0F4E5291"/>
    <w:rsid w:val="0F802C2A"/>
    <w:rsid w:val="0F8D2AFB"/>
    <w:rsid w:val="0FA52275"/>
    <w:rsid w:val="0FF71687"/>
    <w:rsid w:val="100032F2"/>
    <w:rsid w:val="10073A12"/>
    <w:rsid w:val="10242995"/>
    <w:rsid w:val="10567490"/>
    <w:rsid w:val="10924860"/>
    <w:rsid w:val="109D6616"/>
    <w:rsid w:val="10B25489"/>
    <w:rsid w:val="10B77D5E"/>
    <w:rsid w:val="10C948EA"/>
    <w:rsid w:val="11013334"/>
    <w:rsid w:val="110F29EB"/>
    <w:rsid w:val="110F4001"/>
    <w:rsid w:val="11154DB3"/>
    <w:rsid w:val="1125578F"/>
    <w:rsid w:val="1139614E"/>
    <w:rsid w:val="1142151C"/>
    <w:rsid w:val="11584547"/>
    <w:rsid w:val="117C6226"/>
    <w:rsid w:val="118A48C8"/>
    <w:rsid w:val="11B803E3"/>
    <w:rsid w:val="11E313AE"/>
    <w:rsid w:val="121F5337"/>
    <w:rsid w:val="1255509A"/>
    <w:rsid w:val="12590794"/>
    <w:rsid w:val="12700445"/>
    <w:rsid w:val="12742358"/>
    <w:rsid w:val="12D270FE"/>
    <w:rsid w:val="12F92FCD"/>
    <w:rsid w:val="130C01CB"/>
    <w:rsid w:val="13163595"/>
    <w:rsid w:val="134A3213"/>
    <w:rsid w:val="135544CB"/>
    <w:rsid w:val="13B47386"/>
    <w:rsid w:val="13CE65B5"/>
    <w:rsid w:val="13D047FA"/>
    <w:rsid w:val="140A5109"/>
    <w:rsid w:val="141111B5"/>
    <w:rsid w:val="14627B07"/>
    <w:rsid w:val="147C2498"/>
    <w:rsid w:val="147F0940"/>
    <w:rsid w:val="1495642C"/>
    <w:rsid w:val="14A91FC6"/>
    <w:rsid w:val="14D503D0"/>
    <w:rsid w:val="14F564FC"/>
    <w:rsid w:val="14FB7CE6"/>
    <w:rsid w:val="15A379E8"/>
    <w:rsid w:val="15B3486E"/>
    <w:rsid w:val="15C852A0"/>
    <w:rsid w:val="15C86FB7"/>
    <w:rsid w:val="15DD32CF"/>
    <w:rsid w:val="15ED499E"/>
    <w:rsid w:val="16241F32"/>
    <w:rsid w:val="162A0D38"/>
    <w:rsid w:val="16343121"/>
    <w:rsid w:val="163E1FB5"/>
    <w:rsid w:val="164C2546"/>
    <w:rsid w:val="1671084C"/>
    <w:rsid w:val="16812655"/>
    <w:rsid w:val="168E0D51"/>
    <w:rsid w:val="16B54C35"/>
    <w:rsid w:val="16BB2FFC"/>
    <w:rsid w:val="16F9460E"/>
    <w:rsid w:val="17006957"/>
    <w:rsid w:val="17010E58"/>
    <w:rsid w:val="170B3241"/>
    <w:rsid w:val="17526B40"/>
    <w:rsid w:val="176D0CF7"/>
    <w:rsid w:val="176E51AC"/>
    <w:rsid w:val="17881643"/>
    <w:rsid w:val="179A4E5D"/>
    <w:rsid w:val="17AF1E1D"/>
    <w:rsid w:val="17BE5E36"/>
    <w:rsid w:val="17E3411B"/>
    <w:rsid w:val="17EE05A8"/>
    <w:rsid w:val="17FB4E2B"/>
    <w:rsid w:val="18162133"/>
    <w:rsid w:val="182466F0"/>
    <w:rsid w:val="18246C8A"/>
    <w:rsid w:val="18274990"/>
    <w:rsid w:val="18465029"/>
    <w:rsid w:val="187A77EE"/>
    <w:rsid w:val="18825DCA"/>
    <w:rsid w:val="1892574E"/>
    <w:rsid w:val="18A11F85"/>
    <w:rsid w:val="18BB236B"/>
    <w:rsid w:val="18C10D8C"/>
    <w:rsid w:val="18D1128B"/>
    <w:rsid w:val="18D33856"/>
    <w:rsid w:val="18D340CB"/>
    <w:rsid w:val="18E401B4"/>
    <w:rsid w:val="19233AB4"/>
    <w:rsid w:val="194F52ED"/>
    <w:rsid w:val="19515F00"/>
    <w:rsid w:val="199A6F4C"/>
    <w:rsid w:val="19B36E89"/>
    <w:rsid w:val="19B9490E"/>
    <w:rsid w:val="19BD1AFC"/>
    <w:rsid w:val="19CB1816"/>
    <w:rsid w:val="19CF77AC"/>
    <w:rsid w:val="19D607CF"/>
    <w:rsid w:val="19D9534F"/>
    <w:rsid w:val="19E60A93"/>
    <w:rsid w:val="19EC4058"/>
    <w:rsid w:val="1A2A2353"/>
    <w:rsid w:val="1A2A68D9"/>
    <w:rsid w:val="1A662FB1"/>
    <w:rsid w:val="1A7C77D9"/>
    <w:rsid w:val="1AC02F34"/>
    <w:rsid w:val="1B170048"/>
    <w:rsid w:val="1B3568BA"/>
    <w:rsid w:val="1B4228FC"/>
    <w:rsid w:val="1B5779D5"/>
    <w:rsid w:val="1B5F2B71"/>
    <w:rsid w:val="1B5F5BC3"/>
    <w:rsid w:val="1B662708"/>
    <w:rsid w:val="1BAC3858"/>
    <w:rsid w:val="1BE10F50"/>
    <w:rsid w:val="1BED5C86"/>
    <w:rsid w:val="1BF126E8"/>
    <w:rsid w:val="1C244D2C"/>
    <w:rsid w:val="1C5C2829"/>
    <w:rsid w:val="1C6110A8"/>
    <w:rsid w:val="1C6136F5"/>
    <w:rsid w:val="1C6C3E02"/>
    <w:rsid w:val="1C6C61F9"/>
    <w:rsid w:val="1C7F05F6"/>
    <w:rsid w:val="1C803656"/>
    <w:rsid w:val="1C904157"/>
    <w:rsid w:val="1CE2791E"/>
    <w:rsid w:val="1CE3453F"/>
    <w:rsid w:val="1CF850F8"/>
    <w:rsid w:val="1CF96E1F"/>
    <w:rsid w:val="1D0A14E8"/>
    <w:rsid w:val="1D2D14EE"/>
    <w:rsid w:val="1D3E5275"/>
    <w:rsid w:val="1D4112E5"/>
    <w:rsid w:val="1D5231F0"/>
    <w:rsid w:val="1D5864FD"/>
    <w:rsid w:val="1D6A602F"/>
    <w:rsid w:val="1D7B7EAB"/>
    <w:rsid w:val="1DA3195C"/>
    <w:rsid w:val="1DC04F9F"/>
    <w:rsid w:val="1DCD7E9B"/>
    <w:rsid w:val="1DE92B23"/>
    <w:rsid w:val="1E0E75D4"/>
    <w:rsid w:val="1E2D31E8"/>
    <w:rsid w:val="1E3E41AE"/>
    <w:rsid w:val="1E5B55C8"/>
    <w:rsid w:val="1E977324"/>
    <w:rsid w:val="1EAC1126"/>
    <w:rsid w:val="1EAD5731"/>
    <w:rsid w:val="1EB177D5"/>
    <w:rsid w:val="1EBC3FAA"/>
    <w:rsid w:val="1ED5428D"/>
    <w:rsid w:val="1EE556AD"/>
    <w:rsid w:val="1F0B5B77"/>
    <w:rsid w:val="1F3F0D5D"/>
    <w:rsid w:val="1F746F81"/>
    <w:rsid w:val="1FA013B8"/>
    <w:rsid w:val="1FC02D59"/>
    <w:rsid w:val="1FED2B80"/>
    <w:rsid w:val="20186E6C"/>
    <w:rsid w:val="20324C48"/>
    <w:rsid w:val="20483252"/>
    <w:rsid w:val="20605EE5"/>
    <w:rsid w:val="2062029C"/>
    <w:rsid w:val="206316B5"/>
    <w:rsid w:val="208C5442"/>
    <w:rsid w:val="20AA2037"/>
    <w:rsid w:val="20D22B9B"/>
    <w:rsid w:val="20D24964"/>
    <w:rsid w:val="20F24D7D"/>
    <w:rsid w:val="20FF0120"/>
    <w:rsid w:val="210B1554"/>
    <w:rsid w:val="21115205"/>
    <w:rsid w:val="21600F64"/>
    <w:rsid w:val="21880846"/>
    <w:rsid w:val="218C10EC"/>
    <w:rsid w:val="21C45B13"/>
    <w:rsid w:val="21CC5BCB"/>
    <w:rsid w:val="21D853DF"/>
    <w:rsid w:val="2209059C"/>
    <w:rsid w:val="22254C4D"/>
    <w:rsid w:val="225C1752"/>
    <w:rsid w:val="22605614"/>
    <w:rsid w:val="22775941"/>
    <w:rsid w:val="228C659F"/>
    <w:rsid w:val="22970399"/>
    <w:rsid w:val="22AC00AD"/>
    <w:rsid w:val="22C05D59"/>
    <w:rsid w:val="22E05540"/>
    <w:rsid w:val="230B5CEC"/>
    <w:rsid w:val="2316584E"/>
    <w:rsid w:val="232D22B0"/>
    <w:rsid w:val="235E2343"/>
    <w:rsid w:val="2368614C"/>
    <w:rsid w:val="238D068C"/>
    <w:rsid w:val="23906722"/>
    <w:rsid w:val="23A06920"/>
    <w:rsid w:val="23C754F6"/>
    <w:rsid w:val="23DE2FAA"/>
    <w:rsid w:val="24004303"/>
    <w:rsid w:val="24145536"/>
    <w:rsid w:val="24265FB9"/>
    <w:rsid w:val="24416CE3"/>
    <w:rsid w:val="247E3093"/>
    <w:rsid w:val="247F5174"/>
    <w:rsid w:val="249A5DB1"/>
    <w:rsid w:val="24AD2296"/>
    <w:rsid w:val="24E639EA"/>
    <w:rsid w:val="250528B0"/>
    <w:rsid w:val="252B6B5B"/>
    <w:rsid w:val="256C20F7"/>
    <w:rsid w:val="257829F7"/>
    <w:rsid w:val="258C7EDA"/>
    <w:rsid w:val="25AC55EF"/>
    <w:rsid w:val="25C62F0F"/>
    <w:rsid w:val="25CB2FF1"/>
    <w:rsid w:val="25DD1F0B"/>
    <w:rsid w:val="25DD52F2"/>
    <w:rsid w:val="25E30303"/>
    <w:rsid w:val="25E643D3"/>
    <w:rsid w:val="25E91426"/>
    <w:rsid w:val="25F71B5A"/>
    <w:rsid w:val="26270381"/>
    <w:rsid w:val="262F1EEF"/>
    <w:rsid w:val="263C28C3"/>
    <w:rsid w:val="26604556"/>
    <w:rsid w:val="269420D0"/>
    <w:rsid w:val="26A95653"/>
    <w:rsid w:val="26BF40BE"/>
    <w:rsid w:val="26C83DB6"/>
    <w:rsid w:val="26CE3281"/>
    <w:rsid w:val="26D468DF"/>
    <w:rsid w:val="26DE72B5"/>
    <w:rsid w:val="26EF621A"/>
    <w:rsid w:val="270846C4"/>
    <w:rsid w:val="270B43EA"/>
    <w:rsid w:val="274261F5"/>
    <w:rsid w:val="27440760"/>
    <w:rsid w:val="276E6E06"/>
    <w:rsid w:val="278559FD"/>
    <w:rsid w:val="27AC385B"/>
    <w:rsid w:val="27C75DAF"/>
    <w:rsid w:val="27CD537F"/>
    <w:rsid w:val="27E106FE"/>
    <w:rsid w:val="27E70979"/>
    <w:rsid w:val="28216FD2"/>
    <w:rsid w:val="2830013E"/>
    <w:rsid w:val="28357716"/>
    <w:rsid w:val="284C2B12"/>
    <w:rsid w:val="28947A10"/>
    <w:rsid w:val="29006482"/>
    <w:rsid w:val="29021DEE"/>
    <w:rsid w:val="290C02AF"/>
    <w:rsid w:val="291E4436"/>
    <w:rsid w:val="292656AF"/>
    <w:rsid w:val="29425C46"/>
    <w:rsid w:val="294D5D55"/>
    <w:rsid w:val="297D4D3B"/>
    <w:rsid w:val="29BE2ECE"/>
    <w:rsid w:val="29D97536"/>
    <w:rsid w:val="29DF067B"/>
    <w:rsid w:val="29EA35D3"/>
    <w:rsid w:val="2A436327"/>
    <w:rsid w:val="2A624569"/>
    <w:rsid w:val="2A682B5C"/>
    <w:rsid w:val="2A8625E7"/>
    <w:rsid w:val="2A9B6C10"/>
    <w:rsid w:val="2AC463B4"/>
    <w:rsid w:val="2AD42667"/>
    <w:rsid w:val="2AE70578"/>
    <w:rsid w:val="2B001BEB"/>
    <w:rsid w:val="2B0334EF"/>
    <w:rsid w:val="2B3B4ADA"/>
    <w:rsid w:val="2B63714B"/>
    <w:rsid w:val="2B9F5C98"/>
    <w:rsid w:val="2BA469CF"/>
    <w:rsid w:val="2BA7274F"/>
    <w:rsid w:val="2BB55721"/>
    <w:rsid w:val="2BD15B6A"/>
    <w:rsid w:val="2BD4634C"/>
    <w:rsid w:val="2BF023DA"/>
    <w:rsid w:val="2C204E94"/>
    <w:rsid w:val="2C2142CD"/>
    <w:rsid w:val="2C2737F0"/>
    <w:rsid w:val="2C4F5E7E"/>
    <w:rsid w:val="2C573937"/>
    <w:rsid w:val="2C952E57"/>
    <w:rsid w:val="2C9948A0"/>
    <w:rsid w:val="2C9A1510"/>
    <w:rsid w:val="2CAE0B17"/>
    <w:rsid w:val="2CB203AC"/>
    <w:rsid w:val="2CD74498"/>
    <w:rsid w:val="2CEA239D"/>
    <w:rsid w:val="2CFB3109"/>
    <w:rsid w:val="2D134D45"/>
    <w:rsid w:val="2D2219EF"/>
    <w:rsid w:val="2D27747B"/>
    <w:rsid w:val="2D2F5925"/>
    <w:rsid w:val="2D343226"/>
    <w:rsid w:val="2D3D4DD6"/>
    <w:rsid w:val="2D3F54E0"/>
    <w:rsid w:val="2D4C133D"/>
    <w:rsid w:val="2D4C6D7E"/>
    <w:rsid w:val="2D601795"/>
    <w:rsid w:val="2D64204D"/>
    <w:rsid w:val="2D994590"/>
    <w:rsid w:val="2DA17AFE"/>
    <w:rsid w:val="2DF237AE"/>
    <w:rsid w:val="2E1B7662"/>
    <w:rsid w:val="2E1E5F27"/>
    <w:rsid w:val="2E296C5C"/>
    <w:rsid w:val="2E635E79"/>
    <w:rsid w:val="2E7A1C46"/>
    <w:rsid w:val="2EBB5F72"/>
    <w:rsid w:val="2EBC27AA"/>
    <w:rsid w:val="2ED916E0"/>
    <w:rsid w:val="2EE41316"/>
    <w:rsid w:val="2F01256C"/>
    <w:rsid w:val="2F3A280F"/>
    <w:rsid w:val="2F3C1A2D"/>
    <w:rsid w:val="2F4A2787"/>
    <w:rsid w:val="2F5279CC"/>
    <w:rsid w:val="2F6B4286"/>
    <w:rsid w:val="2FB56E77"/>
    <w:rsid w:val="2FD02702"/>
    <w:rsid w:val="2FF07035"/>
    <w:rsid w:val="2FF14450"/>
    <w:rsid w:val="2FFB51B0"/>
    <w:rsid w:val="301268B1"/>
    <w:rsid w:val="30423A77"/>
    <w:rsid w:val="30493B8F"/>
    <w:rsid w:val="305147AC"/>
    <w:rsid w:val="30522B7F"/>
    <w:rsid w:val="30543732"/>
    <w:rsid w:val="305F4675"/>
    <w:rsid w:val="30615379"/>
    <w:rsid w:val="307A5F46"/>
    <w:rsid w:val="308F23A0"/>
    <w:rsid w:val="30927781"/>
    <w:rsid w:val="30A26347"/>
    <w:rsid w:val="30EE7B24"/>
    <w:rsid w:val="30F75AD5"/>
    <w:rsid w:val="31221663"/>
    <w:rsid w:val="31280E66"/>
    <w:rsid w:val="313D44E3"/>
    <w:rsid w:val="3190076F"/>
    <w:rsid w:val="31B368B2"/>
    <w:rsid w:val="31CC2203"/>
    <w:rsid w:val="31CE0B2E"/>
    <w:rsid w:val="322D5D42"/>
    <w:rsid w:val="322F6D90"/>
    <w:rsid w:val="325029B8"/>
    <w:rsid w:val="32517AFD"/>
    <w:rsid w:val="32520100"/>
    <w:rsid w:val="329210BA"/>
    <w:rsid w:val="32A27D61"/>
    <w:rsid w:val="32A33C26"/>
    <w:rsid w:val="32AD5A91"/>
    <w:rsid w:val="32D8067B"/>
    <w:rsid w:val="32DF06EA"/>
    <w:rsid w:val="32FD37AF"/>
    <w:rsid w:val="33034157"/>
    <w:rsid w:val="331C66A1"/>
    <w:rsid w:val="331F6C98"/>
    <w:rsid w:val="3352708F"/>
    <w:rsid w:val="33562B12"/>
    <w:rsid w:val="3369209D"/>
    <w:rsid w:val="33825082"/>
    <w:rsid w:val="3393483C"/>
    <w:rsid w:val="33970187"/>
    <w:rsid w:val="33C64164"/>
    <w:rsid w:val="33FB6A7E"/>
    <w:rsid w:val="34A90C64"/>
    <w:rsid w:val="34B87C3F"/>
    <w:rsid w:val="34BA33B8"/>
    <w:rsid w:val="34C44FA1"/>
    <w:rsid w:val="34D0311F"/>
    <w:rsid w:val="34D6222F"/>
    <w:rsid w:val="34D93DE9"/>
    <w:rsid w:val="34EB2276"/>
    <w:rsid w:val="34FB78EF"/>
    <w:rsid w:val="350D449E"/>
    <w:rsid w:val="353A78EB"/>
    <w:rsid w:val="357958DD"/>
    <w:rsid w:val="35CE415F"/>
    <w:rsid w:val="360A0792"/>
    <w:rsid w:val="36376AA3"/>
    <w:rsid w:val="364F0922"/>
    <w:rsid w:val="366A55B9"/>
    <w:rsid w:val="36990952"/>
    <w:rsid w:val="36A05A36"/>
    <w:rsid w:val="36A5046F"/>
    <w:rsid w:val="36AF48BF"/>
    <w:rsid w:val="36EE67C0"/>
    <w:rsid w:val="36EF2BC0"/>
    <w:rsid w:val="36FB3646"/>
    <w:rsid w:val="373805A7"/>
    <w:rsid w:val="375D2689"/>
    <w:rsid w:val="37767AE9"/>
    <w:rsid w:val="37BD234A"/>
    <w:rsid w:val="37DA5B74"/>
    <w:rsid w:val="380642E2"/>
    <w:rsid w:val="381A13CC"/>
    <w:rsid w:val="38237EAF"/>
    <w:rsid w:val="38375CB1"/>
    <w:rsid w:val="3840146F"/>
    <w:rsid w:val="3863545C"/>
    <w:rsid w:val="38734222"/>
    <w:rsid w:val="388471F3"/>
    <w:rsid w:val="388670E9"/>
    <w:rsid w:val="38E16F84"/>
    <w:rsid w:val="38E43E04"/>
    <w:rsid w:val="392D58ED"/>
    <w:rsid w:val="39301243"/>
    <w:rsid w:val="39353015"/>
    <w:rsid w:val="39407753"/>
    <w:rsid w:val="39694D9B"/>
    <w:rsid w:val="396D0E78"/>
    <w:rsid w:val="39785D68"/>
    <w:rsid w:val="397F2CB0"/>
    <w:rsid w:val="398555E9"/>
    <w:rsid w:val="39A60416"/>
    <w:rsid w:val="39A65578"/>
    <w:rsid w:val="39C45CA1"/>
    <w:rsid w:val="39C577C8"/>
    <w:rsid w:val="39E5148A"/>
    <w:rsid w:val="3A334E7E"/>
    <w:rsid w:val="3A456BE7"/>
    <w:rsid w:val="3A4D6916"/>
    <w:rsid w:val="3A544B87"/>
    <w:rsid w:val="3A5A5A1A"/>
    <w:rsid w:val="3A5D22E7"/>
    <w:rsid w:val="3AA16B8F"/>
    <w:rsid w:val="3AA72BEA"/>
    <w:rsid w:val="3AAE314C"/>
    <w:rsid w:val="3AB8583D"/>
    <w:rsid w:val="3ACD2BDF"/>
    <w:rsid w:val="3AEA152C"/>
    <w:rsid w:val="3AF35C5F"/>
    <w:rsid w:val="3B0B43BB"/>
    <w:rsid w:val="3B1016C0"/>
    <w:rsid w:val="3B2001AC"/>
    <w:rsid w:val="3B253A65"/>
    <w:rsid w:val="3B2D54EE"/>
    <w:rsid w:val="3B6150DA"/>
    <w:rsid w:val="3B6873CD"/>
    <w:rsid w:val="3B832AE2"/>
    <w:rsid w:val="3BD0670F"/>
    <w:rsid w:val="3BDE4BA7"/>
    <w:rsid w:val="3C392711"/>
    <w:rsid w:val="3C3E7321"/>
    <w:rsid w:val="3C41552D"/>
    <w:rsid w:val="3C5E53ED"/>
    <w:rsid w:val="3C7060DD"/>
    <w:rsid w:val="3CB92E18"/>
    <w:rsid w:val="3CBD44CF"/>
    <w:rsid w:val="3CD9412D"/>
    <w:rsid w:val="3CF54B95"/>
    <w:rsid w:val="3D234E82"/>
    <w:rsid w:val="3D7A18F8"/>
    <w:rsid w:val="3D887A07"/>
    <w:rsid w:val="3D930B3B"/>
    <w:rsid w:val="3D9835E1"/>
    <w:rsid w:val="3DA02F62"/>
    <w:rsid w:val="3DC4445C"/>
    <w:rsid w:val="3DC63093"/>
    <w:rsid w:val="3E021333"/>
    <w:rsid w:val="3E3E4744"/>
    <w:rsid w:val="3E403626"/>
    <w:rsid w:val="3E416AFE"/>
    <w:rsid w:val="3E447913"/>
    <w:rsid w:val="3E447A1E"/>
    <w:rsid w:val="3E452B90"/>
    <w:rsid w:val="3E6F5366"/>
    <w:rsid w:val="3E783DB5"/>
    <w:rsid w:val="3E7C27CE"/>
    <w:rsid w:val="3E8C6C3F"/>
    <w:rsid w:val="3EC22BAE"/>
    <w:rsid w:val="3EDD647A"/>
    <w:rsid w:val="3F071334"/>
    <w:rsid w:val="3F111CEF"/>
    <w:rsid w:val="3F123024"/>
    <w:rsid w:val="3F1C4D3F"/>
    <w:rsid w:val="3F2B1109"/>
    <w:rsid w:val="3F322658"/>
    <w:rsid w:val="3F6947D8"/>
    <w:rsid w:val="3F874D5E"/>
    <w:rsid w:val="3F9C4267"/>
    <w:rsid w:val="3FB53723"/>
    <w:rsid w:val="3FC22361"/>
    <w:rsid w:val="400920A8"/>
    <w:rsid w:val="400A0BC7"/>
    <w:rsid w:val="40103E56"/>
    <w:rsid w:val="403249D6"/>
    <w:rsid w:val="40532060"/>
    <w:rsid w:val="40585659"/>
    <w:rsid w:val="406446FB"/>
    <w:rsid w:val="409267C4"/>
    <w:rsid w:val="40EB48AF"/>
    <w:rsid w:val="40EF645B"/>
    <w:rsid w:val="40F06099"/>
    <w:rsid w:val="40FF67DD"/>
    <w:rsid w:val="412A305C"/>
    <w:rsid w:val="412A4EB2"/>
    <w:rsid w:val="415D109C"/>
    <w:rsid w:val="416C6026"/>
    <w:rsid w:val="41827940"/>
    <w:rsid w:val="418D5BB6"/>
    <w:rsid w:val="419B588C"/>
    <w:rsid w:val="41B869B8"/>
    <w:rsid w:val="41D24504"/>
    <w:rsid w:val="41DB2A9B"/>
    <w:rsid w:val="41E443BE"/>
    <w:rsid w:val="41E73ED3"/>
    <w:rsid w:val="41F041F6"/>
    <w:rsid w:val="41F64722"/>
    <w:rsid w:val="420A527D"/>
    <w:rsid w:val="42122149"/>
    <w:rsid w:val="421F248F"/>
    <w:rsid w:val="423B1385"/>
    <w:rsid w:val="424706A7"/>
    <w:rsid w:val="426A488F"/>
    <w:rsid w:val="427E1F17"/>
    <w:rsid w:val="429516CC"/>
    <w:rsid w:val="42C8352F"/>
    <w:rsid w:val="42E12859"/>
    <w:rsid w:val="431B6C88"/>
    <w:rsid w:val="43211F27"/>
    <w:rsid w:val="432309AC"/>
    <w:rsid w:val="43296D0F"/>
    <w:rsid w:val="43434FEC"/>
    <w:rsid w:val="437A1BF0"/>
    <w:rsid w:val="43877624"/>
    <w:rsid w:val="43AC6B5A"/>
    <w:rsid w:val="43B237DA"/>
    <w:rsid w:val="43F66A11"/>
    <w:rsid w:val="440A41F1"/>
    <w:rsid w:val="440E1D91"/>
    <w:rsid w:val="44542398"/>
    <w:rsid w:val="44843DAD"/>
    <w:rsid w:val="44A80DF9"/>
    <w:rsid w:val="44B13A3F"/>
    <w:rsid w:val="44CA6470"/>
    <w:rsid w:val="44EE6934"/>
    <w:rsid w:val="45095B9F"/>
    <w:rsid w:val="45294FBB"/>
    <w:rsid w:val="45725D4F"/>
    <w:rsid w:val="45A673AE"/>
    <w:rsid w:val="45DB083F"/>
    <w:rsid w:val="45DB408C"/>
    <w:rsid w:val="45DF5D89"/>
    <w:rsid w:val="45E8576C"/>
    <w:rsid w:val="45EA4CC4"/>
    <w:rsid w:val="46274B29"/>
    <w:rsid w:val="463F0F1F"/>
    <w:rsid w:val="46414AF3"/>
    <w:rsid w:val="4668255C"/>
    <w:rsid w:val="466E3D47"/>
    <w:rsid w:val="46823974"/>
    <w:rsid w:val="46BE496C"/>
    <w:rsid w:val="46C455DD"/>
    <w:rsid w:val="46E53C65"/>
    <w:rsid w:val="474C147D"/>
    <w:rsid w:val="476D2079"/>
    <w:rsid w:val="478B4D5C"/>
    <w:rsid w:val="47997BB5"/>
    <w:rsid w:val="47A57D35"/>
    <w:rsid w:val="47B26A5A"/>
    <w:rsid w:val="47F34FCF"/>
    <w:rsid w:val="4815480C"/>
    <w:rsid w:val="481A0801"/>
    <w:rsid w:val="485523F0"/>
    <w:rsid w:val="487B2C47"/>
    <w:rsid w:val="488B6342"/>
    <w:rsid w:val="488D272B"/>
    <w:rsid w:val="48F16D90"/>
    <w:rsid w:val="496F25A9"/>
    <w:rsid w:val="498A5448"/>
    <w:rsid w:val="49BB0F8D"/>
    <w:rsid w:val="4A104A88"/>
    <w:rsid w:val="4A216B47"/>
    <w:rsid w:val="4A284CFD"/>
    <w:rsid w:val="4A375BAA"/>
    <w:rsid w:val="4A400757"/>
    <w:rsid w:val="4A4A5784"/>
    <w:rsid w:val="4A703D85"/>
    <w:rsid w:val="4A7323A7"/>
    <w:rsid w:val="4AAE1161"/>
    <w:rsid w:val="4AEC59E4"/>
    <w:rsid w:val="4AEE640C"/>
    <w:rsid w:val="4AFD4C7B"/>
    <w:rsid w:val="4B08297C"/>
    <w:rsid w:val="4B234A68"/>
    <w:rsid w:val="4B3667C1"/>
    <w:rsid w:val="4B554F81"/>
    <w:rsid w:val="4B8D0273"/>
    <w:rsid w:val="4BC126E2"/>
    <w:rsid w:val="4BD702E7"/>
    <w:rsid w:val="4BE90FB4"/>
    <w:rsid w:val="4BEC20E3"/>
    <w:rsid w:val="4C067C34"/>
    <w:rsid w:val="4C133215"/>
    <w:rsid w:val="4C196A63"/>
    <w:rsid w:val="4C2A6EF5"/>
    <w:rsid w:val="4C7843AA"/>
    <w:rsid w:val="4C7A58E1"/>
    <w:rsid w:val="4C8F302E"/>
    <w:rsid w:val="4CD72FB7"/>
    <w:rsid w:val="4CDC0EB7"/>
    <w:rsid w:val="4CE00331"/>
    <w:rsid w:val="4CF26B7A"/>
    <w:rsid w:val="4D17698C"/>
    <w:rsid w:val="4D1F2494"/>
    <w:rsid w:val="4D3D2422"/>
    <w:rsid w:val="4D5A0123"/>
    <w:rsid w:val="4D653D41"/>
    <w:rsid w:val="4DA51238"/>
    <w:rsid w:val="4DB24B6B"/>
    <w:rsid w:val="4DCA7E75"/>
    <w:rsid w:val="4DE87437"/>
    <w:rsid w:val="4DEA0FE1"/>
    <w:rsid w:val="4DF14792"/>
    <w:rsid w:val="4E014703"/>
    <w:rsid w:val="4E2C4007"/>
    <w:rsid w:val="4E505F64"/>
    <w:rsid w:val="4E815E66"/>
    <w:rsid w:val="4EF710A8"/>
    <w:rsid w:val="4EF859EF"/>
    <w:rsid w:val="4F08611B"/>
    <w:rsid w:val="4F1070FC"/>
    <w:rsid w:val="4F24548A"/>
    <w:rsid w:val="4F4B05A8"/>
    <w:rsid w:val="4F53402A"/>
    <w:rsid w:val="4FAF07F9"/>
    <w:rsid w:val="4FB41CEB"/>
    <w:rsid w:val="50370D76"/>
    <w:rsid w:val="507B33EA"/>
    <w:rsid w:val="50911690"/>
    <w:rsid w:val="50BB2E08"/>
    <w:rsid w:val="50EE0614"/>
    <w:rsid w:val="50F65069"/>
    <w:rsid w:val="510E1558"/>
    <w:rsid w:val="511238D4"/>
    <w:rsid w:val="512269E9"/>
    <w:rsid w:val="512B4AB9"/>
    <w:rsid w:val="51803E48"/>
    <w:rsid w:val="51A34ED7"/>
    <w:rsid w:val="51C64060"/>
    <w:rsid w:val="51CC1773"/>
    <w:rsid w:val="51DE17D9"/>
    <w:rsid w:val="51DF2492"/>
    <w:rsid w:val="51E314DA"/>
    <w:rsid w:val="51E37B56"/>
    <w:rsid w:val="51E76C31"/>
    <w:rsid w:val="51E928EE"/>
    <w:rsid w:val="51F56B1E"/>
    <w:rsid w:val="52124B1C"/>
    <w:rsid w:val="523D62FF"/>
    <w:rsid w:val="52610BFE"/>
    <w:rsid w:val="52C52CE8"/>
    <w:rsid w:val="537D469C"/>
    <w:rsid w:val="538945BA"/>
    <w:rsid w:val="538B2455"/>
    <w:rsid w:val="539A34D7"/>
    <w:rsid w:val="53B85166"/>
    <w:rsid w:val="53E800DF"/>
    <w:rsid w:val="53EC2500"/>
    <w:rsid w:val="54324BBD"/>
    <w:rsid w:val="54466608"/>
    <w:rsid w:val="548E3187"/>
    <w:rsid w:val="54962B8B"/>
    <w:rsid w:val="549A4334"/>
    <w:rsid w:val="54CA518B"/>
    <w:rsid w:val="54F66FA9"/>
    <w:rsid w:val="54F84291"/>
    <w:rsid w:val="55007A41"/>
    <w:rsid w:val="551634A5"/>
    <w:rsid w:val="55287CA8"/>
    <w:rsid w:val="553972C1"/>
    <w:rsid w:val="559A4FB7"/>
    <w:rsid w:val="55AA0013"/>
    <w:rsid w:val="55BD3804"/>
    <w:rsid w:val="55C448D4"/>
    <w:rsid w:val="55D17BFC"/>
    <w:rsid w:val="55D24FFF"/>
    <w:rsid w:val="562167E1"/>
    <w:rsid w:val="562D56EF"/>
    <w:rsid w:val="56300D10"/>
    <w:rsid w:val="56391DCA"/>
    <w:rsid w:val="56565F8E"/>
    <w:rsid w:val="566A512A"/>
    <w:rsid w:val="567100BB"/>
    <w:rsid w:val="56892354"/>
    <w:rsid w:val="56B109A1"/>
    <w:rsid w:val="57011DBA"/>
    <w:rsid w:val="57293748"/>
    <w:rsid w:val="575764EB"/>
    <w:rsid w:val="577870DD"/>
    <w:rsid w:val="577A0069"/>
    <w:rsid w:val="578219C3"/>
    <w:rsid w:val="57A83A14"/>
    <w:rsid w:val="57A90050"/>
    <w:rsid w:val="57BC4F9D"/>
    <w:rsid w:val="57C11682"/>
    <w:rsid w:val="57CC0EB8"/>
    <w:rsid w:val="58043F47"/>
    <w:rsid w:val="580823FC"/>
    <w:rsid w:val="581B4A6D"/>
    <w:rsid w:val="582A713C"/>
    <w:rsid w:val="584E74D1"/>
    <w:rsid w:val="58623973"/>
    <w:rsid w:val="587E04A6"/>
    <w:rsid w:val="58B17683"/>
    <w:rsid w:val="58B907CE"/>
    <w:rsid w:val="58D33114"/>
    <w:rsid w:val="58D916E1"/>
    <w:rsid w:val="58F36ACA"/>
    <w:rsid w:val="590D488D"/>
    <w:rsid w:val="591C5BB6"/>
    <w:rsid w:val="59310F20"/>
    <w:rsid w:val="59432C66"/>
    <w:rsid w:val="5952308F"/>
    <w:rsid w:val="59526959"/>
    <w:rsid w:val="59723533"/>
    <w:rsid w:val="5980489F"/>
    <w:rsid w:val="59A538E7"/>
    <w:rsid w:val="59C22940"/>
    <w:rsid w:val="59EA2CD9"/>
    <w:rsid w:val="5A39041A"/>
    <w:rsid w:val="5A3F5FAF"/>
    <w:rsid w:val="5A432D43"/>
    <w:rsid w:val="5A563893"/>
    <w:rsid w:val="5AC70D29"/>
    <w:rsid w:val="5ACD0A91"/>
    <w:rsid w:val="5B5145BC"/>
    <w:rsid w:val="5B550558"/>
    <w:rsid w:val="5B7C6500"/>
    <w:rsid w:val="5B87471D"/>
    <w:rsid w:val="5BAE7A5C"/>
    <w:rsid w:val="5BC73AFD"/>
    <w:rsid w:val="5BCD5FA0"/>
    <w:rsid w:val="5C066BB2"/>
    <w:rsid w:val="5C1D1E60"/>
    <w:rsid w:val="5C2D58E6"/>
    <w:rsid w:val="5C372D98"/>
    <w:rsid w:val="5C711D2F"/>
    <w:rsid w:val="5C815359"/>
    <w:rsid w:val="5C9E3FCC"/>
    <w:rsid w:val="5CA11E8A"/>
    <w:rsid w:val="5CAA4C3D"/>
    <w:rsid w:val="5CAE390A"/>
    <w:rsid w:val="5CB07B66"/>
    <w:rsid w:val="5CB906F4"/>
    <w:rsid w:val="5CC87ABF"/>
    <w:rsid w:val="5CED1A7A"/>
    <w:rsid w:val="5D2D5741"/>
    <w:rsid w:val="5D7A5B2F"/>
    <w:rsid w:val="5DAC3FA0"/>
    <w:rsid w:val="5E0B5CFE"/>
    <w:rsid w:val="5E32489F"/>
    <w:rsid w:val="5E6B4649"/>
    <w:rsid w:val="5E7D011C"/>
    <w:rsid w:val="5E872B1F"/>
    <w:rsid w:val="5EDF1CA2"/>
    <w:rsid w:val="5EE04E07"/>
    <w:rsid w:val="5EE57A15"/>
    <w:rsid w:val="5EED1B29"/>
    <w:rsid w:val="5F4B4956"/>
    <w:rsid w:val="5F5B73B3"/>
    <w:rsid w:val="5F5D4835"/>
    <w:rsid w:val="5F6E6E08"/>
    <w:rsid w:val="5F87025A"/>
    <w:rsid w:val="5F9067A3"/>
    <w:rsid w:val="5FA07AED"/>
    <w:rsid w:val="5FB05CDB"/>
    <w:rsid w:val="5FB61E72"/>
    <w:rsid w:val="5FB968ED"/>
    <w:rsid w:val="5FBA3FF9"/>
    <w:rsid w:val="5FD71210"/>
    <w:rsid w:val="5FE12B1F"/>
    <w:rsid w:val="5FE155FF"/>
    <w:rsid w:val="5FE70AB0"/>
    <w:rsid w:val="5FEA65F5"/>
    <w:rsid w:val="5FF376F6"/>
    <w:rsid w:val="600D2EB2"/>
    <w:rsid w:val="6042387F"/>
    <w:rsid w:val="606B5493"/>
    <w:rsid w:val="608B7F32"/>
    <w:rsid w:val="60D82094"/>
    <w:rsid w:val="60FD2DD5"/>
    <w:rsid w:val="61034BA5"/>
    <w:rsid w:val="610C45CD"/>
    <w:rsid w:val="61357817"/>
    <w:rsid w:val="615C1EA9"/>
    <w:rsid w:val="61821B6A"/>
    <w:rsid w:val="6183409F"/>
    <w:rsid w:val="618E78A1"/>
    <w:rsid w:val="61CD595E"/>
    <w:rsid w:val="61F50435"/>
    <w:rsid w:val="62770119"/>
    <w:rsid w:val="628A41DC"/>
    <w:rsid w:val="62B71088"/>
    <w:rsid w:val="62DD09E9"/>
    <w:rsid w:val="62F626DF"/>
    <w:rsid w:val="630D357B"/>
    <w:rsid w:val="63456615"/>
    <w:rsid w:val="6354550C"/>
    <w:rsid w:val="635856DF"/>
    <w:rsid w:val="636139BC"/>
    <w:rsid w:val="63856EF8"/>
    <w:rsid w:val="63924A73"/>
    <w:rsid w:val="63BB6B84"/>
    <w:rsid w:val="63D51528"/>
    <w:rsid w:val="63E22063"/>
    <w:rsid w:val="640642B1"/>
    <w:rsid w:val="64175F1E"/>
    <w:rsid w:val="645B401F"/>
    <w:rsid w:val="646B49D5"/>
    <w:rsid w:val="64853AA3"/>
    <w:rsid w:val="64944659"/>
    <w:rsid w:val="64B52F53"/>
    <w:rsid w:val="64E61168"/>
    <w:rsid w:val="6507003D"/>
    <w:rsid w:val="651625F8"/>
    <w:rsid w:val="652400B9"/>
    <w:rsid w:val="6537177C"/>
    <w:rsid w:val="653B5066"/>
    <w:rsid w:val="65484882"/>
    <w:rsid w:val="658C06F5"/>
    <w:rsid w:val="659A68ED"/>
    <w:rsid w:val="65B44AAE"/>
    <w:rsid w:val="65D17659"/>
    <w:rsid w:val="65EB4DAD"/>
    <w:rsid w:val="66292A67"/>
    <w:rsid w:val="663E6008"/>
    <w:rsid w:val="667E3DE2"/>
    <w:rsid w:val="66AC4969"/>
    <w:rsid w:val="66CD0896"/>
    <w:rsid w:val="66EA7B3A"/>
    <w:rsid w:val="673C6884"/>
    <w:rsid w:val="676B3858"/>
    <w:rsid w:val="67804B30"/>
    <w:rsid w:val="67842F10"/>
    <w:rsid w:val="67BB1F70"/>
    <w:rsid w:val="67C11569"/>
    <w:rsid w:val="67C276FB"/>
    <w:rsid w:val="67D03EC5"/>
    <w:rsid w:val="67D12DBA"/>
    <w:rsid w:val="68030CCD"/>
    <w:rsid w:val="68047B83"/>
    <w:rsid w:val="68145ED0"/>
    <w:rsid w:val="6844375D"/>
    <w:rsid w:val="684A3079"/>
    <w:rsid w:val="68735425"/>
    <w:rsid w:val="68C61D2C"/>
    <w:rsid w:val="68DA1AD3"/>
    <w:rsid w:val="68F23F48"/>
    <w:rsid w:val="6963589B"/>
    <w:rsid w:val="696A26C8"/>
    <w:rsid w:val="69782C1F"/>
    <w:rsid w:val="697E2CF6"/>
    <w:rsid w:val="69864A9F"/>
    <w:rsid w:val="69A52E3C"/>
    <w:rsid w:val="69B144DC"/>
    <w:rsid w:val="69CC2935"/>
    <w:rsid w:val="69DB1854"/>
    <w:rsid w:val="69E631B0"/>
    <w:rsid w:val="69EA1359"/>
    <w:rsid w:val="69F81010"/>
    <w:rsid w:val="6A006040"/>
    <w:rsid w:val="6A015450"/>
    <w:rsid w:val="6A040BE3"/>
    <w:rsid w:val="6A151C40"/>
    <w:rsid w:val="6A3A7047"/>
    <w:rsid w:val="6B06103C"/>
    <w:rsid w:val="6B084C38"/>
    <w:rsid w:val="6B0F1ECC"/>
    <w:rsid w:val="6B560413"/>
    <w:rsid w:val="6B94583C"/>
    <w:rsid w:val="6B98619A"/>
    <w:rsid w:val="6BEE250B"/>
    <w:rsid w:val="6BF17E60"/>
    <w:rsid w:val="6C113709"/>
    <w:rsid w:val="6C2D3C64"/>
    <w:rsid w:val="6C594AF7"/>
    <w:rsid w:val="6C5E1C3D"/>
    <w:rsid w:val="6C6116EB"/>
    <w:rsid w:val="6CA156F2"/>
    <w:rsid w:val="6CA376C5"/>
    <w:rsid w:val="6CB858C0"/>
    <w:rsid w:val="6CBD0945"/>
    <w:rsid w:val="6CF120CD"/>
    <w:rsid w:val="6D1C50A5"/>
    <w:rsid w:val="6D760D35"/>
    <w:rsid w:val="6DA474D8"/>
    <w:rsid w:val="6DC44EDA"/>
    <w:rsid w:val="6DC97648"/>
    <w:rsid w:val="6DEF3587"/>
    <w:rsid w:val="6E1D611F"/>
    <w:rsid w:val="6E3D75A4"/>
    <w:rsid w:val="6E4754BA"/>
    <w:rsid w:val="6E6B04F4"/>
    <w:rsid w:val="6E79351A"/>
    <w:rsid w:val="6ED13BBF"/>
    <w:rsid w:val="6F040F00"/>
    <w:rsid w:val="6F23540F"/>
    <w:rsid w:val="6F44343D"/>
    <w:rsid w:val="6F5B4B2E"/>
    <w:rsid w:val="6F842AEE"/>
    <w:rsid w:val="6F850090"/>
    <w:rsid w:val="6FD14068"/>
    <w:rsid w:val="6FD47568"/>
    <w:rsid w:val="6FD91F92"/>
    <w:rsid w:val="6FDC4B5E"/>
    <w:rsid w:val="6FEC6BEC"/>
    <w:rsid w:val="70293B08"/>
    <w:rsid w:val="70801156"/>
    <w:rsid w:val="70832ED7"/>
    <w:rsid w:val="70967C65"/>
    <w:rsid w:val="70A50814"/>
    <w:rsid w:val="70C54C52"/>
    <w:rsid w:val="70D449A9"/>
    <w:rsid w:val="70D5734C"/>
    <w:rsid w:val="70E67304"/>
    <w:rsid w:val="70E952FD"/>
    <w:rsid w:val="710E3147"/>
    <w:rsid w:val="711A42F2"/>
    <w:rsid w:val="71237795"/>
    <w:rsid w:val="717F547D"/>
    <w:rsid w:val="71A62F79"/>
    <w:rsid w:val="71A73B8F"/>
    <w:rsid w:val="71B35112"/>
    <w:rsid w:val="7229148C"/>
    <w:rsid w:val="723A0AD1"/>
    <w:rsid w:val="72451726"/>
    <w:rsid w:val="724D5962"/>
    <w:rsid w:val="7253787B"/>
    <w:rsid w:val="72785B36"/>
    <w:rsid w:val="7288746C"/>
    <w:rsid w:val="72C11C2A"/>
    <w:rsid w:val="72CD7E4D"/>
    <w:rsid w:val="72DB34C4"/>
    <w:rsid w:val="73077798"/>
    <w:rsid w:val="73431646"/>
    <w:rsid w:val="73624872"/>
    <w:rsid w:val="736B37FA"/>
    <w:rsid w:val="738F007E"/>
    <w:rsid w:val="73B96F85"/>
    <w:rsid w:val="73C624BE"/>
    <w:rsid w:val="73D627CE"/>
    <w:rsid w:val="73FF21B0"/>
    <w:rsid w:val="74214D05"/>
    <w:rsid w:val="74310172"/>
    <w:rsid w:val="743E3C39"/>
    <w:rsid w:val="747665BC"/>
    <w:rsid w:val="749C2402"/>
    <w:rsid w:val="74A92F89"/>
    <w:rsid w:val="74BA1666"/>
    <w:rsid w:val="74E96819"/>
    <w:rsid w:val="74EF0592"/>
    <w:rsid w:val="74F21F8B"/>
    <w:rsid w:val="74F33A8C"/>
    <w:rsid w:val="75414868"/>
    <w:rsid w:val="756F66AC"/>
    <w:rsid w:val="759454BB"/>
    <w:rsid w:val="759E589A"/>
    <w:rsid w:val="75AA229A"/>
    <w:rsid w:val="75BF7236"/>
    <w:rsid w:val="75C04997"/>
    <w:rsid w:val="75C12609"/>
    <w:rsid w:val="75C335B9"/>
    <w:rsid w:val="75C67E4C"/>
    <w:rsid w:val="75DA4F1B"/>
    <w:rsid w:val="75F04518"/>
    <w:rsid w:val="75F45093"/>
    <w:rsid w:val="76814153"/>
    <w:rsid w:val="76992E10"/>
    <w:rsid w:val="76D8044E"/>
    <w:rsid w:val="76F20D2B"/>
    <w:rsid w:val="77053AD9"/>
    <w:rsid w:val="771E209B"/>
    <w:rsid w:val="77261E71"/>
    <w:rsid w:val="772C7AA2"/>
    <w:rsid w:val="77452475"/>
    <w:rsid w:val="77690CCD"/>
    <w:rsid w:val="77886FA2"/>
    <w:rsid w:val="778F680C"/>
    <w:rsid w:val="77A55F74"/>
    <w:rsid w:val="77C2566B"/>
    <w:rsid w:val="77D46579"/>
    <w:rsid w:val="77D4794A"/>
    <w:rsid w:val="782E03C8"/>
    <w:rsid w:val="78305CAF"/>
    <w:rsid w:val="78357D36"/>
    <w:rsid w:val="783B3F1E"/>
    <w:rsid w:val="784328D4"/>
    <w:rsid w:val="78961637"/>
    <w:rsid w:val="78A10449"/>
    <w:rsid w:val="78D3687E"/>
    <w:rsid w:val="78F36B4E"/>
    <w:rsid w:val="796E3428"/>
    <w:rsid w:val="797C5599"/>
    <w:rsid w:val="79B82E62"/>
    <w:rsid w:val="79CE2CAA"/>
    <w:rsid w:val="7A4B37A6"/>
    <w:rsid w:val="7A650BCD"/>
    <w:rsid w:val="7AB10BAE"/>
    <w:rsid w:val="7AB25C2E"/>
    <w:rsid w:val="7AC562B4"/>
    <w:rsid w:val="7ADC05F0"/>
    <w:rsid w:val="7AF5744D"/>
    <w:rsid w:val="7AF94FE5"/>
    <w:rsid w:val="7B12248F"/>
    <w:rsid w:val="7B206431"/>
    <w:rsid w:val="7B276BC7"/>
    <w:rsid w:val="7B2B06C7"/>
    <w:rsid w:val="7B2B779C"/>
    <w:rsid w:val="7B4675EF"/>
    <w:rsid w:val="7B5F164A"/>
    <w:rsid w:val="7B63200E"/>
    <w:rsid w:val="7B6D0992"/>
    <w:rsid w:val="7B8564C9"/>
    <w:rsid w:val="7BA3117B"/>
    <w:rsid w:val="7BDA3E30"/>
    <w:rsid w:val="7C284E45"/>
    <w:rsid w:val="7C483429"/>
    <w:rsid w:val="7C49646C"/>
    <w:rsid w:val="7C547083"/>
    <w:rsid w:val="7C783FFA"/>
    <w:rsid w:val="7C7A6A01"/>
    <w:rsid w:val="7C817AB4"/>
    <w:rsid w:val="7C841DCC"/>
    <w:rsid w:val="7C8A7659"/>
    <w:rsid w:val="7CAC083C"/>
    <w:rsid w:val="7CAD301A"/>
    <w:rsid w:val="7CB479C7"/>
    <w:rsid w:val="7CD20D26"/>
    <w:rsid w:val="7CEC74B4"/>
    <w:rsid w:val="7CED13C2"/>
    <w:rsid w:val="7CFC3068"/>
    <w:rsid w:val="7CFC3F02"/>
    <w:rsid w:val="7D007A2F"/>
    <w:rsid w:val="7D0864A9"/>
    <w:rsid w:val="7D160D5D"/>
    <w:rsid w:val="7D2E5B0F"/>
    <w:rsid w:val="7D3E6E97"/>
    <w:rsid w:val="7DAD22ED"/>
    <w:rsid w:val="7DBB5005"/>
    <w:rsid w:val="7DBD1D05"/>
    <w:rsid w:val="7DEF4E15"/>
    <w:rsid w:val="7E08693A"/>
    <w:rsid w:val="7E0C1293"/>
    <w:rsid w:val="7E2262E0"/>
    <w:rsid w:val="7E2B52F4"/>
    <w:rsid w:val="7E3178D0"/>
    <w:rsid w:val="7E346B9D"/>
    <w:rsid w:val="7E830234"/>
    <w:rsid w:val="7E863295"/>
    <w:rsid w:val="7E9465A7"/>
    <w:rsid w:val="7EB40ACA"/>
    <w:rsid w:val="7EB775A1"/>
    <w:rsid w:val="7EB90B65"/>
    <w:rsid w:val="7EBC37CF"/>
    <w:rsid w:val="7EE41135"/>
    <w:rsid w:val="7EEB3813"/>
    <w:rsid w:val="7F070DF1"/>
    <w:rsid w:val="7F1F7466"/>
    <w:rsid w:val="7F2E698C"/>
    <w:rsid w:val="7F397F15"/>
    <w:rsid w:val="7F4701B2"/>
    <w:rsid w:val="7F50451D"/>
    <w:rsid w:val="7F613D86"/>
    <w:rsid w:val="7F7967DA"/>
    <w:rsid w:val="7F9E7E08"/>
    <w:rsid w:val="7FA75F15"/>
    <w:rsid w:val="7FAB2B5F"/>
    <w:rsid w:val="7FCE5950"/>
    <w:rsid w:val="7FE807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outlineLvl w:val="0"/>
    </w:pPr>
    <w:rPr>
      <w:rFonts w:eastAsia="华文新魏"/>
      <w:b/>
    </w:rPr>
  </w:style>
  <w:style w:type="paragraph" w:styleId="4">
    <w:name w:val="heading 2"/>
    <w:basedOn w:val="1"/>
    <w:next w:val="1"/>
    <w:link w:val="54"/>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5"/>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7"/>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58"/>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59"/>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0"/>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1"/>
    <w:qFormat/>
    <w:uiPriority w:val="0"/>
    <w:pPr>
      <w:keepNext/>
      <w:keepLines/>
      <w:spacing w:before="240" w:after="64" w:line="319"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99"/>
    <w:pPr>
      <w:spacing w:after="120"/>
    </w:p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2"/>
    <w:qFormat/>
    <w:uiPriority w:val="99"/>
    <w:rPr>
      <w:rFonts w:ascii="宋体" w:eastAsia="华文新魏"/>
      <w:sz w:val="18"/>
      <w:szCs w:val="18"/>
    </w:rPr>
  </w:style>
  <w:style w:type="paragraph" w:styleId="15">
    <w:name w:val="annotation text"/>
    <w:basedOn w:val="1"/>
    <w:link w:val="63"/>
    <w:qFormat/>
    <w:uiPriority w:val="0"/>
    <w:pPr>
      <w:jc w:val="left"/>
    </w:pPr>
  </w:style>
  <w:style w:type="paragraph" w:styleId="16">
    <w:name w:val="Body Text Indent"/>
    <w:basedOn w:val="1"/>
    <w:link w:val="65"/>
    <w:qFormat/>
    <w:uiPriority w:val="99"/>
    <w:pPr>
      <w:spacing w:line="200" w:lineRule="exact"/>
      <w:ind w:firstLine="301"/>
    </w:pPr>
    <w:rPr>
      <w:rFonts w:ascii="宋体" w:eastAsia="华文新魏"/>
      <w:spacing w:val="-4"/>
      <w:sz w:val="18"/>
      <w:szCs w:val="20"/>
    </w:rPr>
  </w:style>
  <w:style w:type="paragraph" w:styleId="17">
    <w:name w:val="List 2"/>
    <w:basedOn w:val="1"/>
    <w:qFormat/>
    <w:uiPriority w:val="99"/>
    <w:pPr>
      <w:tabs>
        <w:tab w:val="left" w:pos="0"/>
      </w:tabs>
      <w:spacing w:line="360" w:lineRule="auto"/>
      <w:ind w:left="454"/>
    </w:pPr>
    <w:rPr>
      <w:rFonts w:eastAsia="华文新魏"/>
      <w:sz w:val="24"/>
    </w:rPr>
  </w:style>
  <w:style w:type="paragraph" w:styleId="18">
    <w:name w:val="toc 5"/>
    <w:basedOn w:val="1"/>
    <w:next w:val="1"/>
    <w:qFormat/>
    <w:uiPriority w:val="39"/>
    <w:pPr>
      <w:ind w:left="840"/>
      <w:jc w:val="left"/>
    </w:pPr>
    <w:rPr>
      <w:rFonts w:ascii="等线" w:hAnsi="等线" w:eastAsia="等线"/>
      <w:sz w:val="18"/>
      <w:szCs w:val="18"/>
    </w:rPr>
  </w:style>
  <w:style w:type="paragraph" w:styleId="19">
    <w:name w:val="toc 3"/>
    <w:basedOn w:val="1"/>
    <w:next w:val="1"/>
    <w:qFormat/>
    <w:uiPriority w:val="39"/>
    <w:pPr>
      <w:ind w:left="400" w:leftChars="400"/>
    </w:pPr>
    <w:rPr>
      <w:rFonts w:eastAsia="华文新魏"/>
    </w:rPr>
  </w:style>
  <w:style w:type="paragraph" w:styleId="20">
    <w:name w:val="Plain Text"/>
    <w:basedOn w:val="1"/>
    <w:next w:val="1"/>
    <w:link w:val="66"/>
    <w:qFormat/>
    <w:uiPriority w:val="0"/>
    <w:rPr>
      <w:rFonts w:ascii="宋体"/>
      <w:kern w:val="0"/>
      <w:sz w:val="20"/>
      <w:szCs w:val="20"/>
    </w:rPr>
  </w:style>
  <w:style w:type="paragraph" w:styleId="21">
    <w:name w:val="toc 8"/>
    <w:basedOn w:val="1"/>
    <w:next w:val="1"/>
    <w:qFormat/>
    <w:uiPriority w:val="39"/>
    <w:pPr>
      <w:ind w:left="1470"/>
      <w:jc w:val="left"/>
    </w:pPr>
    <w:rPr>
      <w:rFonts w:ascii="等线" w:hAnsi="等线" w:eastAsia="等线"/>
      <w:sz w:val="18"/>
      <w:szCs w:val="18"/>
    </w:rPr>
  </w:style>
  <w:style w:type="paragraph" w:styleId="22">
    <w:name w:val="Date"/>
    <w:basedOn w:val="1"/>
    <w:next w:val="1"/>
    <w:link w:val="67"/>
    <w:qFormat/>
    <w:uiPriority w:val="99"/>
    <w:pPr>
      <w:ind w:left="2500" w:leftChars="2500"/>
    </w:pPr>
    <w:rPr>
      <w:rFonts w:ascii="宋体" w:eastAsia="华文新魏"/>
      <w:bCs/>
      <w:sz w:val="24"/>
      <w:szCs w:val="20"/>
    </w:rPr>
  </w:style>
  <w:style w:type="paragraph" w:styleId="23">
    <w:name w:val="Body Text Indent 2"/>
    <w:basedOn w:val="1"/>
    <w:link w:val="68"/>
    <w:qFormat/>
    <w:uiPriority w:val="0"/>
    <w:pPr>
      <w:ind w:firstLine="196" w:firstLineChars="196"/>
    </w:pPr>
    <w:rPr>
      <w:rFonts w:eastAsia="华文新魏"/>
    </w:rPr>
  </w:style>
  <w:style w:type="paragraph" w:styleId="24">
    <w:name w:val="Balloon Text"/>
    <w:basedOn w:val="1"/>
    <w:link w:val="69"/>
    <w:qFormat/>
    <w:uiPriority w:val="99"/>
    <w:rPr>
      <w:rFonts w:eastAsia="华文新魏"/>
      <w:sz w:val="18"/>
      <w:szCs w:val="18"/>
    </w:rPr>
  </w:style>
  <w:style w:type="paragraph" w:styleId="25">
    <w:name w:val="footer"/>
    <w:basedOn w:val="1"/>
    <w:link w:val="70"/>
    <w:qFormat/>
    <w:uiPriority w:val="99"/>
    <w:pPr>
      <w:tabs>
        <w:tab w:val="center" w:pos="4153"/>
        <w:tab w:val="right" w:pos="8306"/>
      </w:tabs>
      <w:snapToGrid w:val="0"/>
      <w:jc w:val="left"/>
    </w:pPr>
    <w:rPr>
      <w:rFonts w:ascii="宋体"/>
      <w:kern w:val="0"/>
      <w:sz w:val="18"/>
      <w:szCs w:val="20"/>
    </w:r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7">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28">
    <w:name w:val="toc 4"/>
    <w:basedOn w:val="1"/>
    <w:next w:val="1"/>
    <w:qFormat/>
    <w:uiPriority w:val="39"/>
    <w:pPr>
      <w:ind w:left="630"/>
      <w:jc w:val="left"/>
    </w:pPr>
    <w:rPr>
      <w:rFonts w:ascii="等线" w:hAnsi="等线" w:eastAsia="等线"/>
      <w:sz w:val="18"/>
      <w:szCs w:val="18"/>
    </w:rPr>
  </w:style>
  <w:style w:type="paragraph" w:styleId="29">
    <w:name w:val="footnote text"/>
    <w:basedOn w:val="1"/>
    <w:link w:val="183"/>
    <w:unhideWhenUsed/>
    <w:qFormat/>
    <w:locked/>
    <w:uiPriority w:val="99"/>
    <w:pPr>
      <w:snapToGrid w:val="0"/>
      <w:jc w:val="left"/>
    </w:pPr>
    <w:rPr>
      <w:rFonts w:ascii="Calibri" w:hAnsi="Calibri"/>
      <w:sz w:val="18"/>
      <w:szCs w:val="18"/>
    </w:rPr>
  </w:style>
  <w:style w:type="paragraph" w:styleId="30">
    <w:name w:val="toc 6"/>
    <w:basedOn w:val="1"/>
    <w:next w:val="1"/>
    <w:qFormat/>
    <w:uiPriority w:val="39"/>
    <w:pPr>
      <w:ind w:left="1050"/>
      <w:jc w:val="left"/>
    </w:pPr>
    <w:rPr>
      <w:rFonts w:ascii="等线" w:hAnsi="等线" w:eastAsia="等线"/>
      <w:sz w:val="18"/>
      <w:szCs w:val="18"/>
    </w:rPr>
  </w:style>
  <w:style w:type="paragraph" w:styleId="31">
    <w:name w:val="Body Text Indent 3"/>
    <w:basedOn w:val="1"/>
    <w:link w:val="72"/>
    <w:qFormat/>
    <w:uiPriority w:val="99"/>
    <w:pPr>
      <w:spacing w:after="120"/>
      <w:ind w:left="200" w:leftChars="200"/>
    </w:pPr>
    <w:rPr>
      <w:rFonts w:eastAsia="华文新魏"/>
      <w:sz w:val="16"/>
      <w:szCs w:val="16"/>
    </w:rPr>
  </w:style>
  <w:style w:type="paragraph" w:styleId="32">
    <w:name w:val="toc 2"/>
    <w:basedOn w:val="1"/>
    <w:next w:val="1"/>
    <w:qFormat/>
    <w:uiPriority w:val="39"/>
    <w:rPr>
      <w:rFonts w:ascii="宋体" w:eastAsia="华文新魏" w:cs="Arial"/>
      <w:b/>
      <w:szCs w:val="21"/>
    </w:rPr>
  </w:style>
  <w:style w:type="paragraph" w:styleId="33">
    <w:name w:val="toc 9"/>
    <w:basedOn w:val="1"/>
    <w:next w:val="1"/>
    <w:qFormat/>
    <w:uiPriority w:val="39"/>
    <w:pPr>
      <w:ind w:left="1600" w:leftChars="1600"/>
    </w:pPr>
    <w:rPr>
      <w:rFonts w:eastAsia="华文新魏"/>
    </w:rPr>
  </w:style>
  <w:style w:type="paragraph" w:styleId="34">
    <w:name w:val="Body Text 2"/>
    <w:basedOn w:val="1"/>
    <w:link w:val="73"/>
    <w:qFormat/>
    <w:uiPriority w:val="99"/>
    <w:pPr>
      <w:spacing w:after="120" w:line="480" w:lineRule="auto"/>
    </w:pPr>
    <w:rPr>
      <w:rFonts w:eastAsia="华文新魏"/>
    </w:rPr>
  </w:style>
  <w:style w:type="paragraph" w:styleId="35">
    <w:name w:val="List 4"/>
    <w:basedOn w:val="1"/>
    <w:qFormat/>
    <w:uiPriority w:val="99"/>
    <w:pPr>
      <w:tabs>
        <w:tab w:val="left" w:pos="0"/>
      </w:tabs>
      <w:adjustRightInd w:val="0"/>
      <w:snapToGrid w:val="0"/>
      <w:spacing w:line="360" w:lineRule="auto"/>
      <w:ind w:left="1361"/>
    </w:pPr>
    <w:rPr>
      <w:rFonts w:eastAsia="华文新魏"/>
      <w:sz w:val="24"/>
    </w:rPr>
  </w:style>
  <w:style w:type="paragraph" w:styleId="36">
    <w:name w:val="HTML Preformatted"/>
    <w:basedOn w:val="1"/>
    <w:link w:val="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7">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38">
    <w:name w:val="index 1"/>
    <w:basedOn w:val="1"/>
    <w:next w:val="1"/>
    <w:qFormat/>
    <w:uiPriority w:val="99"/>
    <w:pPr>
      <w:spacing w:line="360" w:lineRule="auto"/>
    </w:pPr>
    <w:rPr>
      <w:rFonts w:ascii="宋体" w:eastAsia="华文新魏"/>
      <w:bCs/>
      <w:szCs w:val="21"/>
    </w:rPr>
  </w:style>
  <w:style w:type="paragraph" w:styleId="39">
    <w:name w:val="Title"/>
    <w:basedOn w:val="1"/>
    <w:link w:val="75"/>
    <w:qFormat/>
    <w:uiPriority w:val="0"/>
    <w:pPr>
      <w:spacing w:before="240" w:after="60"/>
      <w:jc w:val="center"/>
      <w:outlineLvl w:val="0"/>
    </w:pPr>
    <w:rPr>
      <w:rFonts w:ascii="Arial" w:hAnsi="Arial" w:eastAsia="华文新魏"/>
      <w:b/>
      <w:bCs/>
      <w:sz w:val="32"/>
      <w:szCs w:val="32"/>
    </w:rPr>
  </w:style>
  <w:style w:type="paragraph" w:styleId="40">
    <w:name w:val="annotation subject"/>
    <w:basedOn w:val="15"/>
    <w:next w:val="15"/>
    <w:link w:val="76"/>
    <w:qFormat/>
    <w:uiPriority w:val="99"/>
    <w:rPr>
      <w:rFonts w:eastAsia="华文新魏"/>
      <w:b/>
      <w:bCs/>
    </w:rPr>
  </w:style>
  <w:style w:type="paragraph" w:styleId="41">
    <w:name w:val="Body Text First Indent"/>
    <w:basedOn w:val="2"/>
    <w:link w:val="77"/>
    <w:qFormat/>
    <w:uiPriority w:val="99"/>
    <w:pPr>
      <w:ind w:firstLine="100" w:firstLineChars="100"/>
    </w:pPr>
  </w:style>
  <w:style w:type="paragraph" w:styleId="42">
    <w:name w:val="Body Text First Indent 2"/>
    <w:basedOn w:val="16"/>
    <w:qFormat/>
    <w:locked/>
    <w:uiPriority w:val="99"/>
    <w:pPr>
      <w:spacing w:after="120" w:line="240" w:lineRule="auto"/>
      <w:ind w:left="420" w:leftChars="200" w:firstLine="420" w:firstLineChars="200"/>
    </w:pPr>
    <w:rPr>
      <w:rFonts w:ascii="Calibri" w:hAnsi="Calibri"/>
      <w:spacing w:val="0"/>
      <w:sz w:val="21"/>
      <w:szCs w:val="24"/>
    </w:rPr>
  </w:style>
  <w:style w:type="character" w:styleId="45">
    <w:name w:val="Strong"/>
    <w:qFormat/>
    <w:uiPriority w:val="99"/>
    <w:rPr>
      <w:rFonts w:ascii="Times New Roman" w:hAnsi="Times New Roman" w:eastAsia="华文新魏" w:cs="Times New Roman"/>
      <w:b/>
    </w:rPr>
  </w:style>
  <w:style w:type="character" w:styleId="46">
    <w:name w:val="page number"/>
    <w:qFormat/>
    <w:uiPriority w:val="0"/>
    <w:rPr>
      <w:rFonts w:ascii="Times New Roman" w:hAnsi="Times New Roman" w:eastAsia="华文新魏" w:cs="Times New Roman"/>
    </w:rPr>
  </w:style>
  <w:style w:type="character" w:styleId="47">
    <w:name w:val="FollowedHyperlink"/>
    <w:qFormat/>
    <w:uiPriority w:val="99"/>
    <w:rPr>
      <w:rFonts w:ascii="Times New Roman" w:hAnsi="Times New Roman" w:eastAsia="华文新魏" w:cs="Times New Roman"/>
      <w:color w:val="800080"/>
      <w:u w:val="single"/>
    </w:rPr>
  </w:style>
  <w:style w:type="character" w:styleId="48">
    <w:name w:val="Emphasis"/>
    <w:qFormat/>
    <w:uiPriority w:val="20"/>
    <w:rPr>
      <w:color w:val="CC0000"/>
    </w:rPr>
  </w:style>
  <w:style w:type="character" w:styleId="49">
    <w:name w:val="line number"/>
    <w:qFormat/>
    <w:uiPriority w:val="99"/>
    <w:rPr>
      <w:rFonts w:ascii="Times New Roman" w:hAnsi="Times New Roman" w:eastAsia="华文新魏" w:cs="Times New Roman"/>
    </w:rPr>
  </w:style>
  <w:style w:type="character" w:styleId="50">
    <w:name w:val="Hyperlink"/>
    <w:qFormat/>
    <w:uiPriority w:val="99"/>
    <w:rPr>
      <w:rFonts w:ascii="Times New Roman" w:hAnsi="Times New Roman" w:eastAsia="华文新魏" w:cs="Times New Roman"/>
      <w:color w:val="0000FF"/>
      <w:u w:val="single"/>
    </w:rPr>
  </w:style>
  <w:style w:type="character" w:styleId="51">
    <w:name w:val="annotation reference"/>
    <w:qFormat/>
    <w:uiPriority w:val="99"/>
    <w:rPr>
      <w:rFonts w:ascii="Times New Roman" w:hAnsi="Times New Roman" w:eastAsia="华文新魏" w:cs="Times New Roman"/>
      <w:sz w:val="21"/>
    </w:rPr>
  </w:style>
  <w:style w:type="character" w:styleId="52">
    <w:name w:val="footnote reference"/>
    <w:unhideWhenUsed/>
    <w:qFormat/>
    <w:locked/>
    <w:uiPriority w:val="99"/>
    <w:rPr>
      <w:vertAlign w:val="superscript"/>
    </w:rPr>
  </w:style>
  <w:style w:type="character" w:customStyle="1" w:styleId="53">
    <w:name w:val="标题 1 字符"/>
    <w:link w:val="3"/>
    <w:qFormat/>
    <w:locked/>
    <w:uiPriority w:val="99"/>
    <w:rPr>
      <w:rFonts w:ascii="Times New Roman" w:hAnsi="Times New Roman" w:eastAsia="华文新魏" w:cs="Times New Roman"/>
      <w:b/>
      <w:sz w:val="24"/>
      <w:szCs w:val="24"/>
    </w:rPr>
  </w:style>
  <w:style w:type="character" w:customStyle="1" w:styleId="54">
    <w:name w:val="标题 2 字符"/>
    <w:link w:val="4"/>
    <w:qFormat/>
    <w:locked/>
    <w:uiPriority w:val="99"/>
    <w:rPr>
      <w:rFonts w:ascii="Arial" w:hAnsi="Arial" w:eastAsia="黑体" w:cs="Times New Roman"/>
      <w:b/>
      <w:kern w:val="0"/>
      <w:sz w:val="20"/>
      <w:szCs w:val="20"/>
    </w:rPr>
  </w:style>
  <w:style w:type="character" w:customStyle="1" w:styleId="55">
    <w:name w:val="标题 3 字符"/>
    <w:link w:val="5"/>
    <w:qFormat/>
    <w:locked/>
    <w:uiPriority w:val="99"/>
    <w:rPr>
      <w:rFonts w:ascii="Times New Roman" w:hAnsi="Times New Roman" w:eastAsia="华文新魏" w:cs="Times New Roman"/>
      <w:b/>
      <w:bCs/>
      <w:sz w:val="32"/>
      <w:szCs w:val="32"/>
    </w:rPr>
  </w:style>
  <w:style w:type="character" w:customStyle="1" w:styleId="56">
    <w:name w:val="标题 4 字符"/>
    <w:link w:val="6"/>
    <w:qFormat/>
    <w:locked/>
    <w:uiPriority w:val="99"/>
    <w:rPr>
      <w:rFonts w:ascii="Arial" w:hAnsi="Arial" w:eastAsia="黑体" w:cs="Times New Roman"/>
      <w:b/>
      <w:bCs/>
      <w:sz w:val="28"/>
      <w:szCs w:val="28"/>
    </w:rPr>
  </w:style>
  <w:style w:type="character" w:customStyle="1" w:styleId="57">
    <w:name w:val="标题 5 字符"/>
    <w:link w:val="7"/>
    <w:qFormat/>
    <w:locked/>
    <w:uiPriority w:val="99"/>
    <w:rPr>
      <w:rFonts w:ascii="Times New Roman" w:hAnsi="Times New Roman" w:eastAsia="华文新魏" w:cs="Times New Roman"/>
      <w:b/>
      <w:sz w:val="20"/>
      <w:szCs w:val="20"/>
    </w:rPr>
  </w:style>
  <w:style w:type="character" w:customStyle="1" w:styleId="58">
    <w:name w:val="标题 6 字符"/>
    <w:link w:val="9"/>
    <w:qFormat/>
    <w:locked/>
    <w:uiPriority w:val="99"/>
    <w:rPr>
      <w:rFonts w:ascii="Arial" w:hAnsi="Arial" w:eastAsia="黑体" w:cs="Times New Roman"/>
      <w:b/>
      <w:sz w:val="20"/>
      <w:szCs w:val="20"/>
    </w:rPr>
  </w:style>
  <w:style w:type="character" w:customStyle="1" w:styleId="59">
    <w:name w:val="标题 7 字符"/>
    <w:link w:val="10"/>
    <w:qFormat/>
    <w:locked/>
    <w:uiPriority w:val="99"/>
    <w:rPr>
      <w:rFonts w:ascii="Times New Roman" w:hAnsi="Times New Roman" w:eastAsia="华文新魏" w:cs="Times New Roman"/>
      <w:b/>
      <w:sz w:val="20"/>
      <w:szCs w:val="20"/>
    </w:rPr>
  </w:style>
  <w:style w:type="character" w:customStyle="1" w:styleId="60">
    <w:name w:val="标题 8 字符"/>
    <w:link w:val="11"/>
    <w:qFormat/>
    <w:locked/>
    <w:uiPriority w:val="99"/>
    <w:rPr>
      <w:rFonts w:ascii="Arial" w:hAnsi="Arial" w:eastAsia="黑体" w:cs="Times New Roman"/>
      <w:sz w:val="20"/>
      <w:szCs w:val="20"/>
    </w:rPr>
  </w:style>
  <w:style w:type="character" w:customStyle="1" w:styleId="61">
    <w:name w:val="标题 9 字符"/>
    <w:link w:val="12"/>
    <w:qFormat/>
    <w:locked/>
    <w:uiPriority w:val="99"/>
    <w:rPr>
      <w:rFonts w:ascii="Arial" w:hAnsi="Arial" w:eastAsia="黑体" w:cs="Times New Roman"/>
      <w:sz w:val="20"/>
      <w:szCs w:val="20"/>
    </w:rPr>
  </w:style>
  <w:style w:type="character" w:customStyle="1" w:styleId="62">
    <w:name w:val="文档结构图 字符"/>
    <w:link w:val="14"/>
    <w:qFormat/>
    <w:locked/>
    <w:uiPriority w:val="99"/>
    <w:rPr>
      <w:rFonts w:ascii="宋体" w:hAnsi="Times New Roman" w:eastAsia="华文新魏" w:cs="Times New Roman"/>
      <w:sz w:val="18"/>
      <w:szCs w:val="18"/>
    </w:rPr>
  </w:style>
  <w:style w:type="character" w:customStyle="1" w:styleId="63">
    <w:name w:val="批注文字 字符"/>
    <w:link w:val="15"/>
    <w:semiHidden/>
    <w:qFormat/>
    <w:locked/>
    <w:uiPriority w:val="99"/>
    <w:rPr>
      <w:rFonts w:ascii="Times New Roman" w:hAnsi="Times New Roman" w:eastAsia="宋体" w:cs="Times New Roman"/>
      <w:sz w:val="24"/>
      <w:szCs w:val="24"/>
    </w:rPr>
  </w:style>
  <w:style w:type="character" w:customStyle="1" w:styleId="64">
    <w:name w:val="正文文本 字符"/>
    <w:link w:val="2"/>
    <w:semiHidden/>
    <w:qFormat/>
    <w:locked/>
    <w:uiPriority w:val="99"/>
    <w:rPr>
      <w:rFonts w:ascii="Times New Roman" w:hAnsi="Times New Roman" w:eastAsia="宋体" w:cs="Times New Roman"/>
      <w:sz w:val="24"/>
      <w:szCs w:val="24"/>
    </w:rPr>
  </w:style>
  <w:style w:type="character" w:customStyle="1" w:styleId="65">
    <w:name w:val="正文文本缩进 字符"/>
    <w:link w:val="16"/>
    <w:qFormat/>
    <w:locked/>
    <w:uiPriority w:val="99"/>
    <w:rPr>
      <w:rFonts w:ascii="宋体" w:hAnsi="Times New Roman" w:eastAsia="华文新魏" w:cs="Times New Roman"/>
      <w:spacing w:val="-4"/>
      <w:sz w:val="20"/>
      <w:szCs w:val="20"/>
    </w:rPr>
  </w:style>
  <w:style w:type="character" w:customStyle="1" w:styleId="66">
    <w:name w:val="纯文本 字符2"/>
    <w:link w:val="20"/>
    <w:qFormat/>
    <w:locked/>
    <w:uiPriority w:val="99"/>
    <w:rPr>
      <w:rFonts w:ascii="宋体" w:hAnsi="Times New Roman" w:eastAsia="宋体" w:cs="Times New Roman"/>
    </w:rPr>
  </w:style>
  <w:style w:type="character" w:customStyle="1" w:styleId="67">
    <w:name w:val="日期 字符"/>
    <w:link w:val="22"/>
    <w:qFormat/>
    <w:locked/>
    <w:uiPriority w:val="99"/>
    <w:rPr>
      <w:rFonts w:ascii="宋体" w:hAnsi="Times New Roman" w:eastAsia="华文新魏" w:cs="Times New Roman"/>
      <w:bCs/>
      <w:sz w:val="20"/>
      <w:szCs w:val="20"/>
    </w:rPr>
  </w:style>
  <w:style w:type="character" w:customStyle="1" w:styleId="68">
    <w:name w:val="正文文本缩进 2 字符"/>
    <w:link w:val="23"/>
    <w:qFormat/>
    <w:locked/>
    <w:uiPriority w:val="99"/>
    <w:rPr>
      <w:rFonts w:ascii="Times New Roman" w:hAnsi="Times New Roman" w:eastAsia="华文新魏" w:cs="Times New Roman"/>
      <w:sz w:val="24"/>
      <w:szCs w:val="24"/>
    </w:rPr>
  </w:style>
  <w:style w:type="character" w:customStyle="1" w:styleId="69">
    <w:name w:val="批注框文本 字符"/>
    <w:link w:val="24"/>
    <w:qFormat/>
    <w:locked/>
    <w:uiPriority w:val="99"/>
    <w:rPr>
      <w:rFonts w:ascii="Times New Roman" w:hAnsi="Times New Roman" w:eastAsia="华文新魏" w:cs="Times New Roman"/>
      <w:sz w:val="18"/>
      <w:szCs w:val="18"/>
    </w:rPr>
  </w:style>
  <w:style w:type="character" w:customStyle="1" w:styleId="70">
    <w:name w:val="页脚 字符"/>
    <w:link w:val="25"/>
    <w:qFormat/>
    <w:locked/>
    <w:uiPriority w:val="99"/>
    <w:rPr>
      <w:rFonts w:ascii="宋体" w:hAnsi="Times New Roman" w:eastAsia="宋体" w:cs="Times New Roman"/>
      <w:sz w:val="18"/>
    </w:rPr>
  </w:style>
  <w:style w:type="character" w:customStyle="1" w:styleId="71">
    <w:name w:val="页眉 字符"/>
    <w:link w:val="26"/>
    <w:qFormat/>
    <w:locked/>
    <w:uiPriority w:val="99"/>
    <w:rPr>
      <w:rFonts w:ascii="宋体" w:hAnsi="Times New Roman" w:eastAsia="华文新魏" w:cs="Times New Roman"/>
      <w:sz w:val="20"/>
      <w:szCs w:val="20"/>
    </w:rPr>
  </w:style>
  <w:style w:type="character" w:customStyle="1" w:styleId="72">
    <w:name w:val="正文文本缩进 3 字符"/>
    <w:link w:val="31"/>
    <w:qFormat/>
    <w:locked/>
    <w:uiPriority w:val="99"/>
    <w:rPr>
      <w:rFonts w:ascii="Times New Roman" w:hAnsi="Times New Roman" w:eastAsia="华文新魏" w:cs="Times New Roman"/>
      <w:sz w:val="16"/>
      <w:szCs w:val="16"/>
    </w:rPr>
  </w:style>
  <w:style w:type="character" w:customStyle="1" w:styleId="73">
    <w:name w:val="正文文本 2 字符"/>
    <w:link w:val="34"/>
    <w:qFormat/>
    <w:locked/>
    <w:uiPriority w:val="99"/>
    <w:rPr>
      <w:rFonts w:ascii="Times New Roman" w:hAnsi="Times New Roman" w:eastAsia="华文新魏" w:cs="Times New Roman"/>
      <w:sz w:val="24"/>
      <w:szCs w:val="24"/>
    </w:rPr>
  </w:style>
  <w:style w:type="character" w:customStyle="1" w:styleId="74">
    <w:name w:val="HTML 预设格式 字符"/>
    <w:link w:val="36"/>
    <w:qFormat/>
    <w:locked/>
    <w:uiPriority w:val="99"/>
    <w:rPr>
      <w:rFonts w:ascii="Arial" w:hAnsi="Arial" w:eastAsia="华文新魏" w:cs="Arial"/>
      <w:kern w:val="0"/>
      <w:sz w:val="21"/>
      <w:szCs w:val="21"/>
    </w:rPr>
  </w:style>
  <w:style w:type="character" w:customStyle="1" w:styleId="75">
    <w:name w:val="标题 字符"/>
    <w:link w:val="39"/>
    <w:qFormat/>
    <w:locked/>
    <w:uiPriority w:val="99"/>
    <w:rPr>
      <w:rFonts w:ascii="Arial" w:hAnsi="Arial" w:eastAsia="华文新魏" w:cs="Times New Roman"/>
      <w:b/>
      <w:bCs/>
      <w:sz w:val="32"/>
      <w:szCs w:val="32"/>
    </w:rPr>
  </w:style>
  <w:style w:type="character" w:customStyle="1" w:styleId="76">
    <w:name w:val="批注主题 字符"/>
    <w:link w:val="40"/>
    <w:qFormat/>
    <w:locked/>
    <w:uiPriority w:val="99"/>
    <w:rPr>
      <w:rFonts w:ascii="Times New Roman" w:hAnsi="Times New Roman" w:eastAsia="华文新魏" w:cs="Times New Roman"/>
      <w:b/>
      <w:bCs/>
      <w:sz w:val="24"/>
      <w:szCs w:val="24"/>
    </w:rPr>
  </w:style>
  <w:style w:type="character" w:customStyle="1" w:styleId="77">
    <w:name w:val="正文文本首行缩进 字符"/>
    <w:basedOn w:val="64"/>
    <w:link w:val="41"/>
    <w:qFormat/>
    <w:locked/>
    <w:uiPriority w:val="99"/>
    <w:rPr>
      <w:rFonts w:ascii="Times New Roman" w:hAnsi="Times New Roman" w:eastAsia="宋体" w:cs="Times New Roman"/>
      <w:sz w:val="24"/>
      <w:szCs w:val="24"/>
    </w:rPr>
  </w:style>
  <w:style w:type="character" w:customStyle="1" w:styleId="78">
    <w:name w:val="marklong"/>
    <w:qFormat/>
    <w:uiPriority w:val="99"/>
    <w:rPr>
      <w:rFonts w:ascii="Times New Roman" w:hAnsi="Times New Roman" w:eastAsia="华文新魏"/>
    </w:rPr>
  </w:style>
  <w:style w:type="character" w:customStyle="1" w:styleId="79">
    <w:name w:val="批注文字 Char"/>
    <w:qFormat/>
    <w:uiPriority w:val="0"/>
    <w:rPr>
      <w:rFonts w:ascii="Times New Roman" w:hAnsi="Times New Roman" w:eastAsia="宋体"/>
      <w:kern w:val="2"/>
      <w:sz w:val="24"/>
    </w:rPr>
  </w:style>
  <w:style w:type="character" w:customStyle="1" w:styleId="80">
    <w:name w:val="zi1"/>
    <w:qFormat/>
    <w:uiPriority w:val="99"/>
    <w:rPr>
      <w:rFonts w:ascii="??" w:hAnsi="??" w:eastAsia="华文新魏"/>
      <w:color w:val="000000"/>
      <w:sz w:val="22"/>
      <w:u w:val="none"/>
    </w:rPr>
  </w:style>
  <w:style w:type="character" w:customStyle="1" w:styleId="81">
    <w:name w:val="main141"/>
    <w:qFormat/>
    <w:uiPriority w:val="99"/>
    <w:rPr>
      <w:rFonts w:ascii="Times New Roman" w:hAnsi="Times New Roman" w:eastAsia="华文新魏"/>
      <w:sz w:val="21"/>
    </w:rPr>
  </w:style>
  <w:style w:type="character" w:customStyle="1" w:styleId="82">
    <w:name w:val="huei12b1"/>
    <w:qFormat/>
    <w:uiPriority w:val="99"/>
    <w:rPr>
      <w:rFonts w:ascii="Times New Roman" w:hAnsi="Times New Roman" w:eastAsia="华文新魏"/>
      <w:b/>
      <w:color w:val="333333"/>
      <w:sz w:val="18"/>
    </w:rPr>
  </w:style>
  <w:style w:type="character" w:customStyle="1" w:styleId="83">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4">
    <w:name w:val="纯文本 字符1"/>
    <w:qFormat/>
    <w:uiPriority w:val="99"/>
    <w:rPr>
      <w:rFonts w:ascii="宋体" w:hAnsi="Times New Roman" w:eastAsia="宋体"/>
      <w:sz w:val="21"/>
    </w:rPr>
  </w:style>
  <w:style w:type="character" w:customStyle="1" w:styleId="85">
    <w:name w:val="小标题 Char"/>
    <w:qFormat/>
    <w:uiPriority w:val="99"/>
    <w:rPr>
      <w:rFonts w:ascii="Times New Roman" w:hAnsi="Times New Roman" w:eastAsia="华文新魏"/>
      <w:b/>
      <w:kern w:val="2"/>
      <w:sz w:val="32"/>
    </w:rPr>
  </w:style>
  <w:style w:type="character" w:customStyle="1" w:styleId="86">
    <w:name w:val="px141"/>
    <w:qFormat/>
    <w:uiPriority w:val="99"/>
    <w:rPr>
      <w:rFonts w:ascii="Times New Roman" w:hAnsi="Times New Roman" w:eastAsia="华文新魏"/>
      <w:sz w:val="21"/>
    </w:rPr>
  </w:style>
  <w:style w:type="character" w:customStyle="1" w:styleId="87">
    <w:name w:val="普通文字 Char Char2"/>
    <w:qFormat/>
    <w:uiPriority w:val="99"/>
    <w:rPr>
      <w:rFonts w:ascii="宋体" w:hAnsi="Times New Roman" w:eastAsia="宋体"/>
      <w:sz w:val="21"/>
    </w:rPr>
  </w:style>
  <w:style w:type="character" w:customStyle="1" w:styleId="88">
    <w:name w:val="price7"/>
    <w:qFormat/>
    <w:uiPriority w:val="99"/>
    <w:rPr>
      <w:rFonts w:ascii="Times New Roman" w:hAnsi="Times New Roman" w:eastAsia="华文新魏"/>
      <w:color w:val="CC0000"/>
    </w:rPr>
  </w:style>
  <w:style w:type="character" w:customStyle="1" w:styleId="89">
    <w:name w:val="纯文本 Char1"/>
    <w:qFormat/>
    <w:uiPriority w:val="0"/>
    <w:rPr>
      <w:rFonts w:ascii="宋体" w:hAnsi="Times New Roman" w:eastAsia="宋体"/>
      <w:sz w:val="20"/>
    </w:rPr>
  </w:style>
  <w:style w:type="character" w:customStyle="1" w:styleId="90">
    <w:name w:val="纯文本 Char2"/>
    <w:qFormat/>
    <w:uiPriority w:val="0"/>
    <w:rPr>
      <w:rFonts w:ascii="宋体" w:hAnsi="Times New Roman" w:eastAsia="宋体"/>
      <w:kern w:val="2"/>
      <w:sz w:val="21"/>
      <w:lang w:val="en-US" w:eastAsia="zh-CN"/>
    </w:rPr>
  </w:style>
  <w:style w:type="character" w:customStyle="1" w:styleId="91">
    <w:name w:val="paramname3"/>
    <w:qFormat/>
    <w:uiPriority w:val="99"/>
    <w:rPr>
      <w:rFonts w:ascii="Times New Roman" w:hAnsi="Times New Roman" w:eastAsia="华文新魏"/>
    </w:rPr>
  </w:style>
  <w:style w:type="character" w:customStyle="1" w:styleId="92">
    <w:name w:val="h"/>
    <w:qFormat/>
    <w:uiPriority w:val="99"/>
    <w:rPr>
      <w:rFonts w:ascii="Times New Roman" w:hAnsi="Times New Roman" w:eastAsia="华文新魏"/>
    </w:rPr>
  </w:style>
  <w:style w:type="character" w:customStyle="1" w:styleId="93">
    <w:name w:val="style2"/>
    <w:qFormat/>
    <w:uiPriority w:val="99"/>
    <w:rPr>
      <w:rFonts w:ascii="Times New Roman" w:hAnsi="Times New Roman" w:eastAsia="华文新魏"/>
    </w:rPr>
  </w:style>
  <w:style w:type="character" w:customStyle="1" w:styleId="94">
    <w:name w:val="标题 4 Char2"/>
    <w:qFormat/>
    <w:uiPriority w:val="99"/>
    <w:rPr>
      <w:rFonts w:ascii="Arial" w:hAnsi="Arial" w:eastAsia="黑体"/>
      <w:sz w:val="28"/>
    </w:rPr>
  </w:style>
  <w:style w:type="character" w:customStyle="1" w:styleId="95">
    <w:name w:val="font01"/>
    <w:qFormat/>
    <w:uiPriority w:val="99"/>
    <w:rPr>
      <w:rFonts w:ascii="宋体" w:hAnsi="Times New Roman" w:eastAsia="宋体"/>
      <w:color w:val="000000"/>
      <w:sz w:val="20"/>
      <w:u w:val="none"/>
    </w:rPr>
  </w:style>
  <w:style w:type="character" w:customStyle="1" w:styleId="96">
    <w:name w:val="city3"/>
    <w:qFormat/>
    <w:uiPriority w:val="99"/>
    <w:rPr>
      <w:rFonts w:ascii="Times New Roman" w:hAnsi="Times New Roman" w:eastAsia="华文新魏"/>
      <w:color w:val="999999"/>
    </w:rPr>
  </w:style>
  <w:style w:type="character" w:customStyle="1" w:styleId="97">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98">
    <w:name w:val="text11"/>
    <w:qFormat/>
    <w:uiPriority w:val="99"/>
    <w:rPr>
      <w:rFonts w:ascii="Verdana" w:hAnsi="Verdana" w:eastAsia="华文新魏"/>
      <w:color w:val="4E4E4E"/>
      <w:sz w:val="18"/>
    </w:rPr>
  </w:style>
  <w:style w:type="character" w:customStyle="1" w:styleId="99">
    <w:name w:val="正文缩进 字符"/>
    <w:qFormat/>
    <w:uiPriority w:val="99"/>
    <w:rPr>
      <w:rFonts w:ascii="Verdana" w:hAnsi="Verdana" w:eastAsia="华文新魏"/>
      <w:kern w:val="2"/>
      <w:sz w:val="21"/>
    </w:rPr>
  </w:style>
  <w:style w:type="character" w:customStyle="1" w:styleId="100">
    <w:name w:val="纯文本 Char3"/>
    <w:semiHidden/>
    <w:qFormat/>
    <w:uiPriority w:val="99"/>
    <w:rPr>
      <w:rFonts w:ascii="宋体" w:hAnsi="Courier New" w:eastAsia="宋体" w:cs="Courier New"/>
      <w:sz w:val="21"/>
      <w:szCs w:val="21"/>
    </w:rPr>
  </w:style>
  <w:style w:type="character" w:customStyle="1" w:styleId="101">
    <w:name w:val="页脚 Char1"/>
    <w:semiHidden/>
    <w:qFormat/>
    <w:uiPriority w:val="99"/>
    <w:rPr>
      <w:rFonts w:ascii="Times New Roman" w:hAnsi="Times New Roman" w:eastAsia="宋体" w:cs="Times New Roman"/>
      <w:sz w:val="18"/>
      <w:szCs w:val="18"/>
    </w:rPr>
  </w:style>
  <w:style w:type="paragraph" w:customStyle="1" w:styleId="102">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3">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4">
    <w:name w:val="CSS1级编号"/>
    <w:basedOn w:val="1"/>
    <w:qFormat/>
    <w:uiPriority w:val="99"/>
    <w:pPr>
      <w:tabs>
        <w:tab w:val="left" w:pos="0"/>
      </w:tabs>
      <w:spacing w:line="360" w:lineRule="auto"/>
    </w:pPr>
    <w:rPr>
      <w:rFonts w:eastAsia="华文新魏"/>
      <w:sz w:val="24"/>
    </w:rPr>
  </w:style>
  <w:style w:type="paragraph" w:customStyle="1" w:styleId="105">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06">
    <w:name w:val="2"/>
    <w:basedOn w:val="1"/>
    <w:next w:val="20"/>
    <w:qFormat/>
    <w:uiPriority w:val="99"/>
    <w:rPr>
      <w:rFonts w:ascii="宋体" w:eastAsia="华文新魏"/>
      <w:szCs w:val="20"/>
    </w:rPr>
  </w:style>
  <w:style w:type="paragraph" w:customStyle="1" w:styleId="107">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08">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09">
    <w:name w:val="图B-"/>
    <w:basedOn w:val="1"/>
    <w:qFormat/>
    <w:uiPriority w:val="99"/>
    <w:pPr>
      <w:tabs>
        <w:tab w:val="left" w:pos="0"/>
      </w:tabs>
      <w:jc w:val="center"/>
    </w:pPr>
    <w:rPr>
      <w:rFonts w:eastAsia="黑体"/>
      <w:szCs w:val="21"/>
    </w:rPr>
  </w:style>
  <w:style w:type="paragraph" w:customStyle="1" w:styleId="110">
    <w:name w:val="3"/>
    <w:basedOn w:val="1"/>
    <w:next w:val="20"/>
    <w:qFormat/>
    <w:uiPriority w:val="99"/>
    <w:rPr>
      <w:rFonts w:ascii="宋体" w:eastAsia="华文新魏"/>
      <w:szCs w:val="20"/>
    </w:rPr>
  </w:style>
  <w:style w:type="paragraph" w:customStyle="1" w:styleId="111">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2">
    <w:name w:val="纯文本2"/>
    <w:basedOn w:val="1"/>
    <w:qFormat/>
    <w:uiPriority w:val="99"/>
    <w:pPr>
      <w:suppressAutoHyphens/>
    </w:pPr>
    <w:rPr>
      <w:rFonts w:ascii="宋体" w:eastAsia="华文新魏" w:cs="Courier New"/>
      <w:szCs w:val="21"/>
      <w:lang w:eastAsia="ar-SA"/>
    </w:rPr>
  </w:style>
  <w:style w:type="paragraph" w:customStyle="1" w:styleId="113">
    <w:name w:val="1"/>
    <w:basedOn w:val="1"/>
    <w:next w:val="20"/>
    <w:qFormat/>
    <w:uiPriority w:val="99"/>
    <w:rPr>
      <w:rFonts w:ascii="宋体" w:eastAsia="华文新魏"/>
      <w:szCs w:val="20"/>
    </w:rPr>
  </w:style>
  <w:style w:type="paragraph" w:customStyle="1" w:styleId="114">
    <w:name w:val="项目-正文"/>
    <w:basedOn w:val="1"/>
    <w:qFormat/>
    <w:uiPriority w:val="99"/>
    <w:pPr>
      <w:spacing w:line="360" w:lineRule="auto"/>
      <w:ind w:firstLine="200" w:firstLineChars="200"/>
    </w:pPr>
    <w:rPr>
      <w:rFonts w:eastAsia="华文新魏"/>
      <w:kern w:val="0"/>
      <w:sz w:val="28"/>
      <w:szCs w:val="28"/>
    </w:rPr>
  </w:style>
  <w:style w:type="paragraph" w:customStyle="1" w:styleId="115">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16">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17">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18">
    <w:name w:val="列出段落1"/>
    <w:basedOn w:val="1"/>
    <w:qFormat/>
    <w:uiPriority w:val="99"/>
    <w:pPr>
      <w:ind w:firstLine="200" w:firstLineChars="200"/>
    </w:pPr>
    <w:rPr>
      <w:rFonts w:ascii="Calibri" w:hAnsi="Calibri" w:eastAsia="华文新魏" w:cs="Calibri"/>
      <w:szCs w:val="21"/>
    </w:rPr>
  </w:style>
  <w:style w:type="paragraph" w:customStyle="1" w:styleId="119">
    <w:name w:val="字元"/>
    <w:basedOn w:val="1"/>
    <w:qFormat/>
    <w:uiPriority w:val="99"/>
    <w:pPr>
      <w:widowControl/>
      <w:tabs>
        <w:tab w:val="left" w:pos="4665"/>
        <w:tab w:val="left" w:pos="8970"/>
      </w:tabs>
      <w:ind w:firstLine="400"/>
    </w:pPr>
    <w:rPr>
      <w:rFonts w:eastAsia="华文新魏"/>
      <w:szCs w:val="22"/>
    </w:rPr>
  </w:style>
  <w:style w:type="paragraph" w:customStyle="1" w:styleId="120">
    <w:name w:val="方案正文"/>
    <w:basedOn w:val="1"/>
    <w:qFormat/>
    <w:uiPriority w:val="99"/>
    <w:pPr>
      <w:spacing w:line="360" w:lineRule="auto"/>
      <w:ind w:firstLine="420"/>
    </w:pPr>
    <w:rPr>
      <w:rFonts w:ascii="宋体" w:eastAsia="华文新魏" w:cs="宋体"/>
      <w:sz w:val="24"/>
    </w:rPr>
  </w:style>
  <w:style w:type="paragraph" w:customStyle="1" w:styleId="121">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2">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3">
    <w:name w:val="正文11"/>
    <w:qFormat/>
    <w:uiPriority w:val="99"/>
    <w:pPr>
      <w:ind w:firstLine="200" w:firstLineChars="200"/>
    </w:pPr>
    <w:rPr>
      <w:rFonts w:ascii="Times New Roman" w:hAnsi="Times New Roman" w:eastAsia="宋体" w:cs="宋体"/>
      <w:lang w:val="en-US" w:eastAsia="zh-CN" w:bidi="ar-SA"/>
    </w:rPr>
  </w:style>
  <w:style w:type="paragraph" w:customStyle="1" w:styleId="124">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5">
    <w:name w:val="表A-"/>
    <w:basedOn w:val="1"/>
    <w:qFormat/>
    <w:uiPriority w:val="99"/>
    <w:pPr>
      <w:tabs>
        <w:tab w:val="left" w:pos="0"/>
      </w:tabs>
      <w:jc w:val="center"/>
    </w:pPr>
    <w:rPr>
      <w:rFonts w:eastAsia="华文新魏"/>
      <w:szCs w:val="21"/>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28">
    <w:name w:val="Char1 Char Char Char"/>
    <w:basedOn w:val="1"/>
    <w:qFormat/>
    <w:uiPriority w:val="0"/>
    <w:rPr>
      <w:rFonts w:eastAsia="华文新魏"/>
    </w:rPr>
  </w:style>
  <w:style w:type="paragraph" w:customStyle="1" w:styleId="129">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0">
    <w:name w:val="默认段落字体 Para Char"/>
    <w:basedOn w:val="1"/>
    <w:qFormat/>
    <w:uiPriority w:val="99"/>
    <w:rPr>
      <w:rFonts w:eastAsia="华文新魏"/>
    </w:rPr>
  </w:style>
  <w:style w:type="paragraph" w:customStyle="1" w:styleId="13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2">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3">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5">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36">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7">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38">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3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0">
    <w:name w:val="正文首行缩进两字符"/>
    <w:basedOn w:val="1"/>
    <w:qFormat/>
    <w:uiPriority w:val="99"/>
    <w:pPr>
      <w:spacing w:line="360" w:lineRule="auto"/>
      <w:ind w:firstLine="200" w:firstLineChars="200"/>
    </w:pPr>
    <w:rPr>
      <w:rFonts w:eastAsia="华文新魏"/>
      <w:kern w:val="0"/>
      <w:sz w:val="24"/>
    </w:rPr>
  </w:style>
  <w:style w:type="paragraph" w:customStyle="1" w:styleId="141">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2">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3">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4">
    <w:name w:val="Char Char Char1 Char"/>
    <w:basedOn w:val="1"/>
    <w:qFormat/>
    <w:uiPriority w:val="99"/>
    <w:rPr>
      <w:rFonts w:ascii="Tahoma" w:hAnsi="Tahoma" w:eastAsia="华文新魏"/>
      <w:sz w:val="24"/>
    </w:rPr>
  </w:style>
  <w:style w:type="paragraph" w:customStyle="1" w:styleId="145">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6">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4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8">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49">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0">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1">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2">
    <w:name w:val="纯文本1"/>
    <w:basedOn w:val="1"/>
    <w:qFormat/>
    <w:uiPriority w:val="0"/>
    <w:pPr>
      <w:suppressAutoHyphens/>
    </w:pPr>
    <w:rPr>
      <w:rFonts w:ascii="宋体" w:eastAsia="华文新魏"/>
      <w:sz w:val="20"/>
      <w:szCs w:val="21"/>
      <w:lang w:eastAsia="ar-SA"/>
    </w:rPr>
  </w:style>
  <w:style w:type="paragraph" w:customStyle="1" w:styleId="15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4">
    <w:name w:val="列出段落2"/>
    <w:basedOn w:val="1"/>
    <w:qFormat/>
    <w:uiPriority w:val="99"/>
    <w:pPr>
      <w:ind w:firstLine="200" w:firstLineChars="200"/>
    </w:pPr>
    <w:rPr>
      <w:rFonts w:eastAsia="华文新魏"/>
    </w:rPr>
  </w:style>
  <w:style w:type="paragraph" w:customStyle="1" w:styleId="15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7">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8">
    <w:name w:val="4"/>
    <w:basedOn w:val="1"/>
    <w:next w:val="20"/>
    <w:qFormat/>
    <w:uiPriority w:val="99"/>
    <w:rPr>
      <w:rFonts w:ascii="宋体" w:eastAsia="华文新魏"/>
      <w:szCs w:val="20"/>
    </w:rPr>
  </w:style>
  <w:style w:type="paragraph" w:customStyle="1" w:styleId="15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0">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1">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2">
    <w:name w:val="样式 目录 1"/>
    <w:basedOn w:val="27"/>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4">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5">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6">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6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8">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69">
    <w:name w:val="p0"/>
    <w:basedOn w:val="1"/>
    <w:qFormat/>
    <w:uiPriority w:val="99"/>
    <w:pPr>
      <w:widowControl/>
    </w:pPr>
    <w:rPr>
      <w:rFonts w:eastAsia="华文新魏"/>
      <w:kern w:val="0"/>
      <w:szCs w:val="21"/>
    </w:rPr>
  </w:style>
  <w:style w:type="paragraph" w:customStyle="1" w:styleId="17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1">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2">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4">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5">
    <w:name w:val="param-value"/>
    <w:qFormat/>
    <w:uiPriority w:val="0"/>
  </w:style>
  <w:style w:type="character" w:customStyle="1" w:styleId="176">
    <w:name w:val="纯文本 字符"/>
    <w:qFormat/>
    <w:uiPriority w:val="99"/>
    <w:rPr>
      <w:rFonts w:ascii="Ђˎ̥" w:hAnsi="Verdana" w:eastAsia="Ђˎ̥" w:cs="Verdana"/>
      <w:szCs w:val="21"/>
    </w:rPr>
  </w:style>
  <w:style w:type="character" w:customStyle="1" w:styleId="177">
    <w:name w:val="正文文本_"/>
    <w:link w:val="178"/>
    <w:qFormat/>
    <w:uiPriority w:val="0"/>
    <w:rPr>
      <w:rFonts w:ascii="Arial Unicode MS" w:hAnsi="Arial Unicode MS" w:eastAsia="Arial Unicode MS" w:cs="Arial Unicode MS"/>
      <w:shd w:val="clear" w:color="auto" w:fill="FFFFFF"/>
    </w:rPr>
  </w:style>
  <w:style w:type="paragraph" w:customStyle="1" w:styleId="178">
    <w:name w:val="正文文本10"/>
    <w:basedOn w:val="1"/>
    <w:link w:val="177"/>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79">
    <w:name w:val="脚注文本 Char"/>
    <w:qFormat/>
    <w:uiPriority w:val="99"/>
    <w:rPr>
      <w:kern w:val="2"/>
      <w:sz w:val="18"/>
      <w:szCs w:val="18"/>
    </w:rPr>
  </w:style>
  <w:style w:type="character" w:customStyle="1" w:styleId="180">
    <w:name w:val="普通文字 Char Char4"/>
    <w:qFormat/>
    <w:uiPriority w:val="0"/>
    <w:rPr>
      <w:rFonts w:ascii="宋体" w:eastAsia="宋体" w:cs="Courier New"/>
      <w:kern w:val="2"/>
      <w:sz w:val="21"/>
      <w:szCs w:val="21"/>
      <w:lang w:val="en-US" w:eastAsia="zh-CN" w:bidi="ar-SA"/>
    </w:rPr>
  </w:style>
  <w:style w:type="character" w:customStyle="1" w:styleId="181">
    <w:name w:val="正文文本 + MingLiU"/>
    <w:qFormat/>
    <w:uiPriority w:val="0"/>
    <w:rPr>
      <w:rFonts w:ascii="MingLiU" w:hAnsi="MingLiU" w:eastAsia="MingLiU" w:cs="MingLiU"/>
      <w:color w:val="000000"/>
      <w:spacing w:val="0"/>
      <w:w w:val="100"/>
      <w:position w:val="0"/>
      <w:sz w:val="16"/>
      <w:szCs w:val="16"/>
      <w:u w:val="none"/>
      <w:lang w:val="zh-TW"/>
    </w:rPr>
  </w:style>
  <w:style w:type="character" w:customStyle="1" w:styleId="182">
    <w:name w:val="正文文本 + Batang"/>
    <w:basedOn w:val="177"/>
    <w:qFormat/>
    <w:uiPriority w:val="0"/>
    <w:rPr>
      <w:rFonts w:ascii="Arial Unicode MS" w:hAnsi="Arial Unicode MS" w:eastAsia="Arial Unicode MS" w:cs="Arial Unicode MS"/>
      <w:shd w:val="clear" w:color="auto" w:fill="FFFFFF"/>
    </w:rPr>
  </w:style>
  <w:style w:type="character" w:customStyle="1" w:styleId="183">
    <w:name w:val="脚注文本 字符"/>
    <w:link w:val="29"/>
    <w:semiHidden/>
    <w:qFormat/>
    <w:uiPriority w:val="99"/>
    <w:rPr>
      <w:rFonts w:ascii="Times New Roman" w:hAnsi="Times New Roman"/>
      <w:kern w:val="2"/>
      <w:sz w:val="18"/>
      <w:szCs w:val="18"/>
    </w:rPr>
  </w:style>
  <w:style w:type="paragraph" w:customStyle="1" w:styleId="184">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5">
    <w:name w:val="_Style 12"/>
    <w:basedOn w:val="1"/>
    <w:qFormat/>
    <w:uiPriority w:val="0"/>
    <w:pPr>
      <w:spacing w:line="360" w:lineRule="auto"/>
      <w:ind w:firstLine="200" w:firstLineChars="200"/>
    </w:pPr>
    <w:rPr>
      <w:rFonts w:ascii="Arial" w:hAnsi="Arial"/>
      <w:kern w:val="0"/>
      <w:sz w:val="24"/>
    </w:rPr>
  </w:style>
  <w:style w:type="paragraph" w:customStyle="1" w:styleId="186">
    <w:name w:val="Char Char Char Char Char Char Char Char Char"/>
    <w:basedOn w:val="1"/>
    <w:qFormat/>
    <w:uiPriority w:val="0"/>
    <w:pPr>
      <w:widowControl/>
      <w:spacing w:after="160" w:line="240" w:lineRule="exact"/>
      <w:jc w:val="left"/>
    </w:pPr>
  </w:style>
  <w:style w:type="paragraph" w:customStyle="1" w:styleId="187">
    <w:name w:val="彩色底纹 - 着色 11"/>
    <w:qFormat/>
    <w:uiPriority w:val="0"/>
    <w:rPr>
      <w:rFonts w:ascii="Calibri" w:hAnsi="Calibri" w:eastAsia="宋体" w:cs="Times New Roman"/>
      <w:kern w:val="2"/>
      <w:sz w:val="21"/>
      <w:szCs w:val="22"/>
      <w:lang w:val="en-US" w:eastAsia="zh-CN" w:bidi="ar-SA"/>
    </w:rPr>
  </w:style>
  <w:style w:type="paragraph" w:customStyle="1" w:styleId="188">
    <w:name w:val="修订2"/>
    <w:qFormat/>
    <w:uiPriority w:val="0"/>
    <w:rPr>
      <w:rFonts w:ascii="Calibri" w:hAnsi="Calibri" w:eastAsia="宋体" w:cs="Times New Roman"/>
      <w:kern w:val="2"/>
      <w:sz w:val="21"/>
      <w:szCs w:val="22"/>
      <w:lang w:val="en-US" w:eastAsia="zh-CN" w:bidi="ar-SA"/>
    </w:rPr>
  </w:style>
  <w:style w:type="paragraph" w:customStyle="1" w:styleId="189">
    <w:name w:val="正文文字"/>
    <w:basedOn w:val="1"/>
    <w:qFormat/>
    <w:uiPriority w:val="0"/>
    <w:pPr>
      <w:spacing w:before="60" w:after="60" w:line="360" w:lineRule="auto"/>
      <w:ind w:firstLine="200" w:firstLineChars="200"/>
      <w:jc w:val="left"/>
    </w:pPr>
    <w:rPr>
      <w:sz w:val="24"/>
    </w:rPr>
  </w:style>
  <w:style w:type="paragraph" w:customStyle="1" w:styleId="190">
    <w:name w:val="List Paragraph1"/>
    <w:basedOn w:val="1"/>
    <w:qFormat/>
    <w:uiPriority w:val="0"/>
    <w:pPr>
      <w:ind w:firstLine="420" w:firstLineChars="200"/>
    </w:pPr>
  </w:style>
  <w:style w:type="paragraph" w:styleId="191">
    <w:name w:val="List Paragraph"/>
    <w:basedOn w:val="1"/>
    <w:qFormat/>
    <w:uiPriority w:val="34"/>
    <w:pPr>
      <w:ind w:firstLine="420" w:firstLineChars="200"/>
    </w:pPr>
  </w:style>
  <w:style w:type="paragraph" w:customStyle="1" w:styleId="192">
    <w:name w:val="BodyText"/>
    <w:basedOn w:val="1"/>
    <w:qFormat/>
    <w:uiPriority w:val="0"/>
    <w:pPr>
      <w:spacing w:line="380" w:lineRule="exact"/>
      <w:textAlignment w:val="baseline"/>
    </w:pPr>
    <w:rPr>
      <w:sz w:val="24"/>
    </w:rPr>
  </w:style>
  <w:style w:type="paragraph" w:customStyle="1" w:styleId="19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66</Pages>
  <Words>36771</Words>
  <Characters>39697</Characters>
  <Lines>318</Lines>
  <Paragraphs>89</Paragraphs>
  <TotalTime>3</TotalTime>
  <ScaleCrop>false</ScaleCrop>
  <LinksUpToDate>false</LinksUpToDate>
  <CharactersWithSpaces>41404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2019-07-24T02:30:00Z</dcterms:created>
  <dc:creator>Administrator</dc:creator>
  <cp:lastModifiedBy>齐榴丹</cp:lastModifiedBy>
  <cp:lastPrinted>2022-05-09T02:06:00Z</cp:lastPrinted>
  <dcterms:modified xsi:type="dcterms:W3CDTF">2022-06-15T08:28:43Z</dcterms:modified>
  <dc:title>广西科联招标中心有限公司</dc:title>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97F0BFF3F7F141CFA5DFECA896E722E7</vt:lpwstr>
  </property>
</Properties>
</file>